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创金合信价值红利灵活配置混合型证券投资基金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556"/>
      <w:r>
        <w:rPr>
          <w:rFonts w:hint="eastAsia" w:hAnsi="Calibri"/>
          <w:b/>
          <w:color w:val="000000"/>
        </w:rPr>
        <w:t>§1  重要提示及目录</w:t>
      </w:r>
      <w:bookmarkEnd w:id="0"/>
      <w:r>
        <w:rPr>
          <w:rFonts w:hint="eastAsia"/>
        </w:rPr>
        <w:t xml:space="preserve"> </w:t>
      </w:r>
    </w:p>
    <w:p>
      <w:pPr>
        <w:pStyle w:val="14"/>
        <w:rPr>
          <w:rFonts w:hint="eastAsia"/>
        </w:rPr>
      </w:pPr>
      <w:bookmarkStart w:id="1" w:name="_Toc417355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本报告期自2018年04月23日起至2018年12月31日止。</w:t>
            </w:r>
          </w:p>
        </w:tc>
      </w:tr>
    </w:tbl>
    <w:p>
      <w:pPr>
        <w:pStyle w:val="14"/>
        <w:rPr>
          <w:rFonts w:hint="eastAsia"/>
        </w:rPr>
      </w:pPr>
      <w:r>
        <w:rPr>
          <w:rFonts w:ascii="Times New Roman" w:hAnsi="Times New Roman"/>
        </w:rPr>
        <w:br w:type="page"/>
      </w:r>
      <w:bookmarkStart w:id="2" w:name="_Toc417355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"_Toc4173556"</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_Toc4173556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"_Toc4173557"</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_Toc4173557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"_Toc4173558"</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_Toc4173558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"_Toc4173559"</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_Toc4173559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"_Toc4173560"</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_Toc4173560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"_Toc4173561"</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_Toc4173561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"_Toc4173562"</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_Toc4173562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"_Toc4173563"</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_Toc4173563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"_Toc4173564"</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_Toc4173564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"_Toc4173565"</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_Toc4173565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"_Toc4173566"</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_Toc4173566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"_Toc4173567"</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_Toc4173567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"_Toc4173568"</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_Toc4173568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"_Toc4173569"</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_Toc4173569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"_Toc4173570"</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_Toc4173570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"_Toc4173571"</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_Toc4173571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"_Toc4173572"</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_Toc4173572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"_Toc4173573"</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_Toc4173573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"_Toc4173574"</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_Toc4173574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"_Toc4173575"</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_Toc4173575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"_Toc4173576"</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_Toc4173576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"_Toc4173577"</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_Toc4173577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"_Toc4173578"</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_Toc4173578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"_Toc4173579"</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_Toc4173579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"_Toc4173580"</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_Toc4173580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"_Toc4173581"</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_Toc4173581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"_Toc4173582"</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_Toc4173582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"_Toc4173583"</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_Toc4173583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"_Toc4173584"</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_Toc4173584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"_Toc4173585"</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_Toc4173585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"_Toc4173586"</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_Toc4173586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"_Toc4173587"</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_Toc4173587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"_Toc4173588"</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_Toc4173588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"_Toc4173589"</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_Toc4173589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"_Toc4173590"</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_Toc4173590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"_Toc4173591"</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_Toc4173591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"_Toc4173592"</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_Toc4173592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"_Toc4173593"</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_Toc4173593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"_Toc4173594"</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_Toc4173594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"_Toc4173595"</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_Toc4173595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"_Toc4173596"</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_Toc4173596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"_Toc4173597"</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_Toc4173597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_Toc4173598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_Toc4173599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_Toc4173600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_Toc4173601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_Toc4173602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_Toc4173603 \h </w:instrText>
      </w:r>
      <w:r>
        <w:rPr>
          <w:lang/>
        </w:rPr>
        <w:fldChar w:fldCharType="separate"/>
      </w:r>
      <w:r>
        <w:rPr>
          <w:lang/>
        </w:rPr>
        <w:t>54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"_Toc4173604"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_Toc4173604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_Toc4173605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"_Toc4173606"</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_Toc4173606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"_Toc4173607"</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_Toc4173607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"_Toc4173608"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_Toc4173608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"_Toc4173609"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_Toc4173609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_Toc4173610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_Toc4173611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_Toc4173612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_Toc4173613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_Toc4173614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_Toc4173615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_Toc4173616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_Toc4173617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"_Toc4173618"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_Toc4173618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_Toc4173619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_Toc4173620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"_Toc4173621"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_Toc4173621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_Toc4173622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_Toc4173623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_Toc4173624 \h </w:instrText>
      </w:r>
      <w:r>
        <w:rPr>
          <w:lang/>
        </w:rPr>
        <w:fldChar w:fldCharType="separate"/>
      </w:r>
      <w:r>
        <w:rPr>
          <w:lang/>
        </w:rPr>
        <w:t>63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55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56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创金合信价值红利灵活配置混合型证券投资基金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002463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2018年04月23日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23,319,097.30份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005404</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8,866,709.87份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14,452,387.43份</w:t>
            </w:r>
          </w:p>
        </w:tc>
      </w:tr>
    </w:tbl>
    <w:p>
      <w:pPr>
        <w:widowControl/>
        <w:jc w:val="left"/>
        <w:rPr>
          <w:rFonts w:hint="eastAsia" w:ascii="宋体" w:hAnsi="宋体" w:cs="宋体"/>
          <w:kern w:val="0"/>
          <w:sz w:val="24"/>
          <w:szCs w:val="24"/>
        </w:rPr>
      </w:pPr>
    </w:p>
    <w:p>
      <w:pPr>
        <w:pStyle w:val="14"/>
        <w:rPr>
          <w:rFonts w:hint="eastAsia"/>
        </w:rPr>
      </w:pPr>
      <w:bookmarkStart w:id="5" w:name="_Toc417356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本基金将采取定量与定性相结合的方法，运用"自上而下"的资产配置逻辑，形成对大类资产预期收益及风险的判断，进而确定组合中股票、债券、货币市场工具及其他金融工具的具体比例。</w:t>
            </w:r>
          </w:p>
          <w:p>
            <w:pPr>
              <w:pStyle w:val="20"/>
              <w:wordWrap w:val="0"/>
              <w:spacing w:before="0"/>
              <w:ind w:left="0" w:firstLine="480"/>
              <w:rPr>
                <w:rFonts w:hint="eastAsia"/>
              </w:rPr>
            </w:pPr>
            <w:r>
              <w:rPr>
                <w:rFonts w:hint="eastAsia"/>
              </w:rPr>
              <w:t>在资产配置中，本基金主要考虑（1）宏观经济指标，包括GDP增长率、工业增加值、PPI、CPI、市场利率变化、进出口贸易数据、金融政策等，以判断经济波动对市场的影响；（2）微观经济指标，包括各行业主要企业的盈利变化情况及盈利预期；（3）市场方面指标，包括股票及债券市场的涨跌及预期收益率、市场整体估值水平及与国外市场的比较、市场资金供求关系及其变化；（4）政策因素，与证券市场密切相关的各种政策出台对市场的影响等。</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沪深300指数收益率×60%+中债综合指数收益率×40%</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本基金为混合型基金，理论上其预期风险与预期收益水平低于股票型基金，高于债券型基金和货币市场基金。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17356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56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注：本基金自2019年1月19日起信息披露报纸由《证券日报》变更为《中国证券报》。</w:t>
      </w:r>
    </w:p>
    <w:p>
      <w:pPr>
        <w:widowControl/>
        <w:jc w:val="left"/>
        <w:rPr>
          <w:rFonts w:hint="eastAsia" w:ascii="宋体" w:hAnsi="宋体" w:cs="宋体"/>
          <w:kern w:val="0"/>
          <w:sz w:val="24"/>
          <w:szCs w:val="24"/>
        </w:rPr>
      </w:pPr>
    </w:p>
    <w:p>
      <w:pPr>
        <w:pStyle w:val="14"/>
        <w:rPr>
          <w:rFonts w:hint="eastAsia"/>
        </w:rPr>
      </w:pPr>
      <w:bookmarkStart w:id="8" w:name="_Toc417356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56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56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本期2018年04月23日（基金合同生效日）- 2018年12月31日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-680,305.47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-1,253,748.64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-781,928.27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-1,438,471.80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-786,556.91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-1,427,228.24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8,080,152.96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13,025,159.19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4.本基金合同生效日为2018年4月23日，截至报告期末，本基金成立不满一年。合同生效当期的相关数据和指标按实际存续期计算。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567"/>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创金合信价值红利混合A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7"/>
        <w:rPr>
          <w:rFonts w:hint="eastAsia"/>
        </w:rPr>
      </w:pPr>
      <w:r>
        <w:rPr>
          <w:rFonts w:hint="eastAsia" w:hAnsi="Calibri"/>
          <w:color w:val="000000"/>
        </w:rPr>
        <w:t>创金合信价值红利混合C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463_FB010010_20190002_2.jpg" type="#_x0000_t75" style="height:286.5pt;width:441pt;" filled="f" stroked="f" coordsize="21600,21600">
            <v:path/>
            <v:fill on="f" focussize="0,0"/>
            <v:stroke on="f"/>
            <v:imagedata r:id="rId7" grayscale="f" bilevel="f" o:title="CN_50990000_002463_FB010010_20190002_2"/>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1、本基金的基金合同于2018年4月23日生效,截至报告期末,本基金成立不满一年。2、本基金的建仓期为6个月,建仓期结束时各项资产配置比例符合合同规定。</w:t>
      </w:r>
    </w:p>
    <w:p>
      <w:pPr>
        <w:pStyle w:val="17"/>
        <w:rPr>
          <w:rFonts w:hint="eastAsia"/>
        </w:rPr>
      </w:pPr>
      <w:r>
        <w:rPr>
          <w:rFonts w:hAnsi="Calibri"/>
          <w:color w:val="000000"/>
          <w:lang/>
        </w:rPr>
        <w:pict>
          <v:shape id="_x0000_i1026" o:spt="75" alt="D:\fcsc\HSFA\Bin\Bin\MOD\TMP\CN_50990000_002463_FB010010_20190002_3.jpg" type="#_x0000_t75" style="height:286.5pt;width:441pt;" filled="f" stroked="f" coordsize="21600,21600">
            <v:path/>
            <v:fill on="f" focussize="0,0"/>
            <v:stroke on="f"/>
            <v:imagedata r:id="rId8" grayscale="f" bilevel="f" o:title="CN_50990000_002463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463_FB010010_20190002_6.jpg" type="#_x0000_t75" style="height:286.5pt;width:441pt;" filled="f" stroked="f" coordsize="21600,21600">
            <v:path/>
            <v:fill on="f" focussize="0,0"/>
            <v:stroke on="f"/>
            <v:imagedata r:id="rId9" grayscale="f" bilevel="f" o:title="CN_50990000_002463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463_FB010010_20190002_7.jpg" type="#_x0000_t75" style="height:286.5pt;width:441pt;" filled="f" stroked="f" coordsize="21600,21600">
            <v:path/>
            <v:fill on="f" focussize="0,0"/>
            <v:stroke on="f"/>
            <v:imagedata r:id="rId10" grayscale="f" bilevel="f" o:title="CN_50990000_002463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568"/>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本基金自基金合同生效日（2018年4月23日）至本报告期末未发生利润分配。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56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570"/>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先生，中国国籍，厦门大学经济学学士，1998年7月就职于中国银河证券，从事研究工作，2004年3月就职于茂业集团，从事资本运作、证券投资工作，成功操作了A股市场仅有的两例从二级市场收购并控股上市公司的案例，对上市公司的运作转型和并购重组有深刻的理解，擅长从实业的独特视角去看待资本市场，2010年4月加盟第一创业证券，历任资产管理部行业研究员、资产管理部投资部副总监。曾获《证券时报》“2013中国最佳财富管理机构评选”最佳资管产品经理；2014年获《中国基金报》“第一届中国最佳基金经理评选”三年期权益</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571"/>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因证券市场波动、上市公司合并、基金规模变动等基金管理人之外的因素致使基金投资不符合《公开募集证券投资基金运作管理办法》第三十二条规定的比例或者基金合同约定的投资比例的，基金管理人会在十个交易日内进行调整。</w:t>
      </w:r>
    </w:p>
    <w:p>
      <w:pPr>
        <w:widowControl/>
        <w:jc w:val="left"/>
        <w:rPr>
          <w:rFonts w:hint="eastAsia" w:ascii="宋体" w:hAnsi="宋体" w:cs="宋体"/>
          <w:kern w:val="0"/>
          <w:sz w:val="24"/>
          <w:szCs w:val="24"/>
        </w:rPr>
      </w:pPr>
    </w:p>
    <w:p>
      <w:pPr>
        <w:pStyle w:val="14"/>
        <w:rPr>
          <w:rFonts w:hint="eastAsia"/>
        </w:rPr>
      </w:pPr>
      <w:bookmarkStart w:id="16" w:name="_Toc4173572"/>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1次，与本基金发生反向交易的基金为公司量化选股策略的基金，该基金经理基于对市场和个股的判断，同时出于组合调仓的需要，做出该投资行为，该交易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573"/>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2018年受国内"去杠杆"和国外美国贸易摩擦影响， A股震荡下行，主要股指全线收跌，其中中小板指、深证成指跌幅均超30%。创金合信价值红利产品采取了较低仓位策略。虽然较大幅度跑赢了市场，但还是受到了一定损失。</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价值红利混合A基金份额净值为0.9113元，本报告期内，该类基金份额净值增长率为-8.87%，同期业绩比较基准收益率为-11.24%；截至报告期末创金合信价值红利混合C基金份额净值为0.9012元，本报告期内，该类基金份额净值增长率为-9.88%，同期业绩比较基准收益率为-11.24%。</w:t>
      </w:r>
    </w:p>
    <w:p>
      <w:pPr>
        <w:widowControl/>
        <w:jc w:val="left"/>
        <w:rPr>
          <w:rFonts w:hint="eastAsia" w:ascii="宋体" w:hAnsi="宋体" w:cs="宋体"/>
          <w:kern w:val="0"/>
          <w:sz w:val="24"/>
          <w:szCs w:val="24"/>
        </w:rPr>
      </w:pPr>
    </w:p>
    <w:p>
      <w:pPr>
        <w:pStyle w:val="14"/>
        <w:rPr>
          <w:rFonts w:hint="eastAsia"/>
        </w:rPr>
      </w:pPr>
      <w:bookmarkStart w:id="18" w:name="_Toc4173574"/>
      <w:r>
        <w:rPr>
          <w:rFonts w:hint="eastAsia" w:hAnsi="Calibri"/>
          <w:b/>
          <w:color w:val="000000"/>
        </w:rPr>
        <w:t>4.5 管理人对宏观经济、证券市场及行业走势的简要展望</w:t>
      </w:r>
      <w:bookmarkEnd w:id="18"/>
    </w:p>
    <w:p>
      <w:pPr>
        <w:pStyle w:val="20"/>
        <w:spacing w:before="0"/>
        <w:ind w:left="0" w:firstLine="480"/>
        <w:rPr>
          <w:rFonts w:hint="eastAsia" w:hAnsi="Calibri"/>
          <w:color w:val="000000"/>
        </w:rPr>
      </w:pPr>
      <w:r>
        <w:rPr>
          <w:rFonts w:hint="eastAsia" w:hAnsi="Calibri"/>
          <w:color w:val="000000"/>
        </w:rPr>
        <w:t>展望2019年的投资，虽然不能寄希望于宏观经济反转，但是部分穿越宏观经济周期的优质成长型公司确实到了很便宜的时候。价值投资的核心是以便宜的价格买到好公司，熊市会给投资人从容挑选好公司并以便宜价格买入的机会。</w:t>
      </w:r>
    </w:p>
    <w:p>
      <w:pPr>
        <w:pStyle w:val="20"/>
        <w:spacing w:before="0"/>
        <w:ind w:left="0" w:firstLine="480"/>
        <w:rPr>
          <w:rFonts w:hint="eastAsia"/>
        </w:rPr>
      </w:pPr>
      <w:r>
        <w:rPr>
          <w:rFonts w:hint="eastAsia" w:hAnsi="Calibri"/>
          <w:color w:val="000000"/>
        </w:rPr>
        <w:t>我们认为未来中国的经济不能再依赖传统的基建、地产，而消费升级与新兴产业的结合将造就中国新兴产业的巨大发展潜力，因而2019年看好新能源汽车、智能汽车、互联网云计算、生物医药、半导体、清洁能源等领域龙头企业的投资机会。</w:t>
      </w:r>
    </w:p>
    <w:p>
      <w:pPr>
        <w:widowControl/>
        <w:jc w:val="left"/>
        <w:rPr>
          <w:rFonts w:hint="eastAsia" w:ascii="宋体" w:hAnsi="宋体" w:cs="宋体"/>
          <w:kern w:val="0"/>
          <w:sz w:val="24"/>
          <w:szCs w:val="24"/>
        </w:rPr>
      </w:pPr>
    </w:p>
    <w:p>
      <w:pPr>
        <w:pStyle w:val="14"/>
        <w:rPr>
          <w:rFonts w:hint="eastAsia"/>
        </w:rPr>
      </w:pPr>
      <w:bookmarkStart w:id="19" w:name="_Toc4173575"/>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576"/>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577"/>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578"/>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417357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580"/>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581"/>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582"/>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58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58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普华永道中天审字(2019)第24777号</w:t>
            </w:r>
          </w:p>
        </w:tc>
      </w:tr>
    </w:tbl>
    <w:p>
      <w:pPr>
        <w:widowControl/>
        <w:jc w:val="left"/>
        <w:rPr>
          <w:rFonts w:hint="eastAsia" w:ascii="宋体" w:hAnsi="宋体" w:cs="宋体"/>
          <w:kern w:val="0"/>
          <w:sz w:val="24"/>
          <w:szCs w:val="24"/>
        </w:rPr>
      </w:pPr>
    </w:p>
    <w:p>
      <w:pPr>
        <w:pStyle w:val="14"/>
        <w:rPr>
          <w:rFonts w:hint="eastAsia"/>
        </w:rPr>
      </w:pPr>
      <w:bookmarkStart w:id="29" w:name="_Toc417358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我们审计了创金合信价值红利灵活配置混合型证券投资基金 (以下简称“ 创金合信价值红利混合基金”)的财务报表，包括2018年12月31日的资产负债表，2018年4月23日(基金合同生效日)至2018年12月31日止期间的利润表和所有者权益(基金净值)变动表以及财务报表附注。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价值红利混合基金2018年12月31日的财务状况以及2018年4月23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按照中国注册会计师职业道德守则，我们独立于创金合信价值红利混合基金，并履行了职业道德方面的其他责任。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价值红利混合基金的持续经营能力，披露与持续经营相关的事项(如适用)，并运用持续经营假设，除非基金管理人管理层计划清算创金合信价值红利混合基金、终止运营或别无其他现实的选择。 基金管理人治理层负责监督创金合信价值红利混合基金的财务报告过程。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价值红利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价值红利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58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587"/>
      <w:r>
        <w:rPr>
          <w:rFonts w:hint="eastAsia"/>
          <w:b/>
          <w:bCs/>
        </w:rPr>
        <w:t>7.1 资产负债表</w:t>
      </w:r>
      <w:bookmarkEnd w:id="31"/>
    </w:p>
    <w:p>
      <w:pPr>
        <w:pStyle w:val="17"/>
        <w:rPr>
          <w:rFonts w:hint="eastAsia"/>
        </w:rPr>
      </w:pPr>
      <w:r>
        <w:rPr>
          <w:rFonts w:hint="eastAsia"/>
        </w:rPr>
        <w:t>会计主体：创金合信价值红利灵活配置混合型证券投资基金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407,076.23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28,795.45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6,971,685.32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1,059,224.54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86,729.90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21,462,368.09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128,605.10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9,583.76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30,069.12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5,011.52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9,292.97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41,993.47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357,055.94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23,319,097.30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-2,213,785.15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21,105,312.15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21,462,368.09</w:t>
            </w:r>
          </w:p>
        </w:tc>
      </w:tr>
    </w:tbl>
    <w:p>
      <w:pPr>
        <w:pStyle w:val="20"/>
        <w:rPr>
          <w:rFonts w:hint="eastAsia"/>
        </w:rPr>
      </w:pPr>
      <w:r>
        <w:rPr>
          <w:rFonts w:hint="eastAsia"/>
        </w:rPr>
        <w:t>注：1.报告截止日2018年12月31日，基金份额总额23,319,097.30份，其中下属A类基金份额8,866,709.87份，C类基金份额14,452,387.43份。下属A类基金份额净值0.9113元，C类基金份额净值0.9012元。</w:t>
      </w:r>
      <w:r>
        <w:rPr>
          <w:rFonts w:hint="eastAsia"/>
        </w:rPr>
        <w:br w:type="textWrapping"/>
      </w:r>
      <w:r>
        <w:rPr>
          <w:rFonts w:hint="eastAsia"/>
        </w:rPr>
        <w:t>2.本财务报表的实际报告期间为2018年4月23日(基金合同生效日)至2018年12月31日。截至报告期末本基金合同生效未满1年，本报告期的财务报表及报表附注均无同期对比数据。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588"/>
      <w:r>
        <w:rPr>
          <w:rFonts w:hint="eastAsia"/>
          <w:b/>
          <w:bCs/>
        </w:rPr>
        <w:t>7.2 利润表</w:t>
      </w:r>
      <w:bookmarkEnd w:id="32"/>
    </w:p>
    <w:p>
      <w:pPr>
        <w:pStyle w:val="17"/>
        <w:rPr>
          <w:rFonts w:hint="eastAsia"/>
        </w:rPr>
      </w:pPr>
      <w:r>
        <w:rPr>
          <w:rFonts w:hint="eastAsia"/>
        </w:rPr>
        <w:t>会计主体：创金合信价值红利灵活配置混合型证券投资基金</w:t>
      </w:r>
    </w:p>
    <w:p>
      <w:pPr>
        <w:pStyle w:val="17"/>
        <w:rPr>
          <w:rFonts w:hint="eastAsia"/>
        </w:rPr>
      </w:pPr>
      <w:r>
        <w:rPr>
          <w:rFonts w:hint="eastAsia"/>
        </w:rPr>
        <w:t>本报告期：2018年04月23日（基金合同生效日）至2018年12月31日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-767,632.28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1,167,555.12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762,374.17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1,708.77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403,472.18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-1,727,680.75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-1,829,290.39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101,609.64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78,839.31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1,452,767.79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719,666.18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119,944.31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313,358.17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157,436.75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142,362.38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r>
    </w:tbl>
    <w:p>
      <w:pPr>
        <w:pStyle w:val="20"/>
        <w:rPr>
          <w:rFonts w:hint="eastAsia"/>
        </w:rPr>
      </w:pPr>
      <w:r>
        <w:rPr>
          <w:rFonts w:hint="eastAsia"/>
        </w:rPr>
        <w:t>注：本财务报表的实际报告期间为2018年4月23日(基金合同生效日)至2018年12月31日。截至报告期末本基金合同生效未满1年，本报告期的财务报表及报表附注均无同期对比数据。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589"/>
      <w:r>
        <w:rPr>
          <w:rFonts w:hint="eastAsia"/>
          <w:b/>
          <w:bCs/>
        </w:rPr>
        <w:t>7.3 所有者权益（基金净值）变动表</w:t>
      </w:r>
      <w:bookmarkEnd w:id="33"/>
    </w:p>
    <w:p>
      <w:pPr>
        <w:pStyle w:val="17"/>
        <w:rPr>
          <w:rFonts w:hint="eastAsia"/>
        </w:rPr>
      </w:pPr>
      <w:r>
        <w:rPr>
          <w:rFonts w:hint="eastAsia"/>
        </w:rPr>
        <w:t>会计主体：创金合信价值红利灵活配置混合型证券投资基金</w:t>
      </w:r>
    </w:p>
    <w:p>
      <w:pPr>
        <w:pStyle w:val="17"/>
        <w:rPr>
          <w:rFonts w:hint="eastAsia"/>
        </w:rPr>
      </w:pPr>
      <w:r>
        <w:rPr>
          <w:rFonts w:hint="eastAsia"/>
        </w:rPr>
        <w:t>本报告期：2018年04月23日（基金合同生效日）至2018年12月31日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354,154,585.00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354,154,585.00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-330,835,487.70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6,614.92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-330,828,872.78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2,861,323.77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-194,459.98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2,666,863.79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-333,696,811.47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201,074.90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-333,495,736.57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23,319,097.30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-2,213,785.15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21,105,312.15</w:t>
            </w:r>
          </w:p>
        </w:tc>
      </w:tr>
    </w:tbl>
    <w:p>
      <w:pPr>
        <w:pStyle w:val="20"/>
        <w:rPr>
          <w:rFonts w:hint="eastAsia"/>
        </w:rPr>
      </w:pPr>
      <w:r>
        <w:rPr>
          <w:rFonts w:hint="eastAsia"/>
        </w:rPr>
        <w:t>注：本财务报表的实际报告期间为2018年4月23日(基金合同生效日)至2018年12月31日。截至报告期末本基金合同生效未满1年，本报告期的财务报表及报表附注均无同期对比数据。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590"/>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价值红利灵活配置混合型证券投资基金(以下简称"本基金")经中国证券监督管理委员会(以下简称"中国证监会")证监许可[2017]1334号《关于准予创金合信尊益纯债债券型证券投资基金变更注册的批复》核准，由创金合信基金管理有限公司依照《中华人民共和国证券投资基金法》和《创金合信价值红利灵活配置混合型证券投资基金基金合同》负责公开募集。本基金为契约型开放式，存续期限不定，首次设立募集不包括认购资金利息共募集人民币354,132,371.05元，业经普华永道中天会计师事务所(特殊普通合伙)普华永道中天验字(2018)第0033号验资报告予以验证。经向中国证监会备案，《创金合信价值红利灵活配置混合型证券投资基金基金合同》于2018年4月23日正式生效，基金合同生效日的基金份额总额为354,154,585.00份基金份额，其中认购资金利息折合22,213.95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价值红利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价值红利灵活配置混合型证券投资基金基金合同》的有关规定，本基金的投资范围包括国内依法发行上市的股票(包括主板、创业板、中小板以及其他中国证监会允许基金投资的股票)、债券(包括国债、央行票据、地方政府债、金融债、企业债、公司债、证券公司短期公司债、公开发行的次级债、中期票据、短期融资券、超短期融资券、中小企业私募债、可转换债券(含可分离交易可转债的纯债部分)、可交换债券等)、资产支持证券、债券回购、货币市场工具、金融衍生品(包括权证、股指期货、股票期权、国债期货等)及法律法规或中国证监会允许基金投资的其他金融工具。本基金的业绩比较基准为：沪深300指数收益率×60%+中债综合指数收益率×40%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价值红利灵活配置混合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 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4月23日至2018年12月31日止期间的财务报表符合企业会计准则的要求,真实、完整地反映了本基金2018年12月31日的财务状况以及2018年4月23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本基金会计年度为公历1月1日起至12月31日止。本期财务报表的实际编制期间为2018年4月23日（基金合同生效日）至2018年12月31日。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该组成部分能够在日常活动中产生收入、发生费用;(2)本基金的基金管理人能够定期评价该组成部分的经营成果,以决定向其配置资源、评价其业绩;(3)本基金能够取得该组成部分的财务状况、经营成果和现金流量等有关会计信息。如果两个或多个经营分部具有相似的经济特征,并且满足一定条件的,则合并为一个经营分部。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[2008]38号《关于进一步规范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在银行间同业市场交易的债券品种，根据中国证监会证监会计字[2007]21号《关于证券投资基金执行&lt;企业会计准则&gt;估值业务及份额净值计价有关事项的通知》采用估值技术确定公允价值。本基金持有的银行间同业市场债券按现金流量折现法估值，具体估值模型、参数及结果由中央国债登记结算有限责任公司独立提供。</w:t>
      </w:r>
    </w:p>
    <w:p>
      <w:pPr>
        <w:pStyle w:val="20"/>
        <w:spacing w:before="0"/>
        <w:ind w:left="0" w:firstLine="480"/>
        <w:rPr>
          <w:rFonts w:hint="eastAsia"/>
        </w:rPr>
      </w:pPr>
      <w:r>
        <w:rPr>
          <w:rFonts w:hint="eastAsia"/>
        </w:rPr>
        <w:t>(3)对于在证券交易所上市或挂牌转让的固定收益品种(可转换债券、资产支持证券和私募债券除外)，按照中证指数有限公司根据《中国证券投资基金业协会估值核算工作小组关于2015年1季度固定收益品种的估值处理标准》所独立提供的债券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4,248,731.28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-290,245.96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7,258,031.28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6,971,685.32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86,729.90</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41,993.47</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创金合信价值红利混合A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28,472,141.72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28,472,141.72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2,479,669.51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2,479,669.51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-22,085,101.36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-22,085,101.36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8,866,709.87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8,866,709.87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创金合信价值红利混合C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325,682,443.28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325,682,443.28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381,654.26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381,654.26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-311,611,710.11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-311,611,710.11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14,452,387.43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14,452,387.43</w:t>
            </w:r>
          </w:p>
        </w:tc>
      </w:tr>
    </w:tbl>
    <w:p>
      <w:pPr>
        <w:pStyle w:val="20"/>
        <w:rPr>
          <w:rFonts w:hint="eastAsia"/>
        </w:rPr>
      </w:pPr>
      <w:r>
        <w:rPr>
          <w:rFonts w:hint="eastAsia"/>
        </w:rPr>
        <w:t>注：1. 申购含转换入份额；赎回含转换出份额。</w:t>
      </w:r>
      <w:r>
        <w:rPr>
          <w:rFonts w:hint="eastAsia"/>
        </w:rPr>
        <w:br w:type="textWrapping"/>
      </w:r>
      <w:r>
        <w:rPr>
          <w:rFonts w:hint="eastAsia"/>
        </w:rPr>
        <w:t>    2. 本基金自2018年1月19日至2018年4月18日止期间公开发售，共募集有效净认购资金人民币354,132,371.05元，折合为354,132,371.05份基金份额(其中A类基金份额28,469,467.62份，C类基金份额325,662,903.43份)。根据《创金合信价值红利灵活配置混合型证券投资基金基金合同》的规定，本基金设立募集期内认购资金产生的利息收入人民币22,213.95元，在本基金成立后，折合为22,213.95份基金份额(其中A类基金份额2,674.10份，C类基金份额19,539.85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创金合信价值红利混合A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-680,305.47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-101,622.80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-781,928.27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-35,892.66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31,264.02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-4,628.64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-176,292.46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-174,574.67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140,399.80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29,546.23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169,946.03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-716,198.13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-70,358.78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-786,556.91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创金合信价值红利混合C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-1,253,748.64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-184,723.16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-1,438,471.80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-59,563.95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70,807.51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11,243.56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-24,946.80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-19,885.31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65,746.02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31,128.87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-1,313,312.59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-113,915.65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-1,427,228.24</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149,362.82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601,222.22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762,374.17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83,276,333.49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85,105,623.88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-1,829,290.39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101,609.64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101,609.64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-290,245.96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78,839.31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78,839.31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157,436.75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157,436.75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142,362.38</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2018年04月23日至2018年12月31日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8,920,403.30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2018年04月23日至2018年12月31日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719,666.18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154,106.88</w:t>
            </w:r>
          </w:p>
        </w:tc>
      </w:tr>
    </w:tbl>
    <w:p>
      <w:pPr>
        <w:pStyle w:val="20"/>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119,944.31</w:t>
            </w:r>
          </w:p>
        </w:tc>
      </w:tr>
    </w:tbl>
    <w:p>
      <w:pPr>
        <w:pStyle w:val="20"/>
        <w:rPr>
          <w:rFonts w:hint="eastAsia"/>
        </w:rPr>
      </w:pPr>
      <w:r>
        <w:rPr>
          <w:rFonts w:hint="eastAsia"/>
        </w:rPr>
        <w:t>注:本基金的托管费按前一日基金资产净值的0.25%的年费率计提。托管费的计算方法如下:H＝E×0.25%÷当年天数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4,031.18</w:t>
            </w:r>
          </w:p>
        </w:tc>
      </w:tr>
    </w:tbl>
    <w:p>
      <w:pPr>
        <w:pStyle w:val="20"/>
        <w:rPr>
          <w:rFonts w:hint="eastAsia"/>
        </w:rPr>
      </w:pPr>
      <w:r>
        <w:rPr>
          <w:rFonts w:hint="eastAsia"/>
        </w:rPr>
        <w:t>本基金A类基金份额不收取销售服务费，仅就C类基金份额收取销售服务费。C类基金份额销售服务费按前一日C类基金份额基金资产净值的0.80%的年费率计提。销售服务费的计算方法如下：</w:t>
      </w:r>
      <w:r>
        <w:rPr>
          <w:rFonts w:hint="eastAsia"/>
        </w:rPr>
        <w:br w:type="textWrapping"/>
      </w:r>
      <w:r>
        <w:rPr>
          <w:rFonts w:hint="eastAsia"/>
        </w:rPr>
        <w:t>H＝E×0.80%÷当年天数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4024"/>
        <w:gridCol w:w="375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149,362.82</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21,023,651.44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本基金投资于交易所及银行间市场交易的固定收益品种比重较大，此外还持有银行存款、结算备付金及存出保证金等利率敏感性资产，因此存在相应的利率风险。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066"/>
        <w:gridCol w:w="1559"/>
        <w:gridCol w:w="1559"/>
        <w:gridCol w:w="1930"/>
        <w:gridCol w:w="206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12,908,666.72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12,908,666.72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407,076.23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407,076.23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28,795.45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28,795.45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3,958,485.32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6,971,685.32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1,059,224.54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1,059,224.54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86,729.90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16,357,738.40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5,104,629.69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21,462,368.09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128,605.10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128,605.10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9,583.76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30,069.12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5,011.52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5,011.52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9,292.97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9,292.97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41,993.47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41,993.47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357,055.94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357,055.94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16,357,738.40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4,747,573.75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21,105,312.15</w:t>
            </w:r>
          </w:p>
        </w:tc>
      </w:tr>
    </w:tbl>
    <w:p>
      <w:pPr>
        <w:pStyle w:val="20"/>
        <w:rPr>
          <w:rFonts w:hint="eastAsia"/>
        </w:rPr>
      </w:pPr>
      <w:r>
        <w:rPr>
          <w:rFonts w:hint="eastAsia"/>
        </w:rPr>
        <w:t>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于2018年12月31日，本基金持有的交易性债券投资公允价值占基金资产净值的比例为14.28%，因此市场利率的变动对于本基金资产净值无重大影响。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3,958,485.32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3,958,485.32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于2018年12月31日，本基金持有的交易性权益类投资公允价值占基金资产净值的比例为18.76%，因此除市场利率和外汇汇率以外的市场价格因素的变动对于本基金资产净值无重大影响。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于2018年12月31日，本基金持有的以公允价值计量且其变动计入当期损益的金融资产中属于第一层次的余额为3,958,485.32元，属于第二层次的余额为3,013,200.00元，无属于第三层次的余额。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59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592"/>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13,315,742.95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1,174,939.82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21,462,368.09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593"/>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w:t>
            </w:r>
          </w:p>
        </w:tc>
      </w:tr>
    </w:tbl>
    <w:p>
      <w:pPr>
        <w:widowControl/>
        <w:jc w:val="left"/>
        <w:rPr>
          <w:rFonts w:hint="eastAsia" w:ascii="宋体" w:hAnsi="宋体" w:cs="宋体"/>
          <w:kern w:val="0"/>
          <w:sz w:val="24"/>
          <w:szCs w:val="24"/>
        </w:rPr>
      </w:pPr>
    </w:p>
    <w:p>
      <w:pPr>
        <w:pStyle w:val="14"/>
        <w:rPr>
          <w:rFonts w:hint="eastAsia"/>
        </w:rPr>
      </w:pPr>
      <w:bookmarkStart w:id="38" w:name="_Toc4173594"/>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173595"/>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4,411,923.00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3,726,330.82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3,461,165.00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2,806,677.19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2,756,221.00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2,691,890.35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2,674,933.82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2,573,308.00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2,432,666.40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2,246,125.00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1,067,769.64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海鸥住工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837,262.66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739,113.30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698,599.50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中文在线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482,244.48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中际旭创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4,228,904.80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3,359,867.42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2,880,680.11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2,721,811.00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2,404,706.20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2,367,368.07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1,898,080.04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1,741,283.00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1,651,412.00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1,610,634.88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1,509,471.15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969,559.67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海鸥住工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709,686.50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709,645.64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中文在线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590,120.52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505,926.84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461,802.00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中际旭创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89,354,355.16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83,276,333.49</w:t>
            </w:r>
          </w:p>
        </w:tc>
      </w:tr>
    </w:tbl>
    <w:p>
      <w:pPr>
        <w:pStyle w:val="20"/>
        <w:rPr>
          <w:rFonts w:hint="eastAsia"/>
        </w:rPr>
      </w:pPr>
      <w:r>
        <w:rPr>
          <w:rFonts w:hint="eastAsia"/>
        </w:rPr>
        <w:t>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596"/>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w:t>
            </w:r>
          </w:p>
        </w:tc>
      </w:tr>
    </w:tbl>
    <w:p>
      <w:pPr>
        <w:widowControl/>
        <w:jc w:val="left"/>
        <w:rPr>
          <w:rFonts w:hint="eastAsia" w:ascii="宋体" w:hAnsi="宋体" w:cs="宋体"/>
          <w:kern w:val="0"/>
          <w:sz w:val="24"/>
          <w:szCs w:val="24"/>
        </w:rPr>
      </w:pPr>
    </w:p>
    <w:p>
      <w:pPr>
        <w:pStyle w:val="14"/>
        <w:rPr>
          <w:rFonts w:hint="eastAsia"/>
        </w:rPr>
      </w:pPr>
      <w:bookmarkStart w:id="41" w:name="_Toc4173597"/>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14.28</w:t>
            </w:r>
          </w:p>
        </w:tc>
      </w:tr>
    </w:tbl>
    <w:p>
      <w:pPr>
        <w:widowControl/>
        <w:jc w:val="left"/>
        <w:rPr>
          <w:rFonts w:hint="eastAsia" w:ascii="宋体" w:hAnsi="宋体" w:cs="宋体"/>
          <w:kern w:val="0"/>
          <w:sz w:val="24"/>
          <w:szCs w:val="24"/>
        </w:rPr>
      </w:pPr>
    </w:p>
    <w:p>
      <w:pPr>
        <w:pStyle w:val="14"/>
        <w:rPr>
          <w:rFonts w:hint="eastAsia"/>
        </w:rPr>
      </w:pPr>
      <w:bookmarkStart w:id="42" w:name="_Toc4173598"/>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59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60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60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602"/>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603"/>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28,795.45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1,059,224.54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86,729.90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1,174,939.82</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60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605"/>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26,868.82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8,866,709.87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42,012.75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14,452,387.43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35,119.12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23,319,097.30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17360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17360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173608"/>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基金合同生效日(2018年04月23日)基金份额总额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28,472,141.72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325,682,443.28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2,479,669.51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381,654.26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22,085,101.36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311,611,710.11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8,866,709.87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14,452,387.43</w:t>
            </w:r>
          </w:p>
        </w:tc>
      </w:tr>
    </w:tbl>
    <w:p>
      <w:pPr>
        <w:widowControl/>
        <w:jc w:val="left"/>
        <w:rPr>
          <w:rFonts w:hint="eastAsia" w:ascii="宋体" w:hAnsi="宋体" w:cs="宋体"/>
          <w:kern w:val="0"/>
          <w:sz w:val="24"/>
          <w:szCs w:val="24"/>
        </w:rPr>
      </w:pPr>
    </w:p>
    <w:p>
      <w:pPr>
        <w:pStyle w:val="13"/>
        <w:rPr>
          <w:rFonts w:hint="eastAsia"/>
        </w:rPr>
      </w:pPr>
      <w:bookmarkStart w:id="53" w:name="_Toc4173609"/>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3610"/>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3611"/>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3612"/>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3613"/>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3614"/>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本报告期内本基金未更换会计师事务所,本年度支付给普华永道中天会计师事务所(特殊普通合伙)审计费用62,000.00元,该审计机构连续提供审计服务的年限为1年。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173615"/>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3616"/>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8,920,403.30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6,486.65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117,629,351.89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37,433.41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22,140,709.92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23,940,223.54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7,719.17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1,304,600,000.00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3,009,300.00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359,000,000.00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57,000,000.00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3617"/>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创金合信基金管理有限公司关于旗下部分开放式基金在直销渠道开展费率优惠活动的公告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创金合信基金关于创金合信价值红利灵活配置混合型证券投资基金增加部分代销机构的公告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创金合信价值红利灵活配置混合型证券投资基金增加第一创业证券为代销机构暨参加其费率优惠活动的公告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创金合信基金管理有限公司关于创金合信价值红利灵活配置混合型证券投资基金增加中信建投证券为代销机构的公告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创金合信基金管理有限公司关于创金合信价值红利灵活配置混合型证券投资基金增加招商证券为代销机构的公告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创金合信基金管理有限公司关于创金合信价值红利灵活配置混合型证券投资基金增加英大证券为代销机构的公告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创金合信价值红利灵活配置混合型证券投资基金2018年第2季度报告.doc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2018-12-06</w:t>
            </w:r>
          </w:p>
        </w:tc>
      </w:tr>
    </w:tbl>
    <w:p>
      <w:pPr>
        <w:widowControl/>
        <w:jc w:val="left"/>
        <w:rPr>
          <w:rFonts w:hint="eastAsia" w:ascii="宋体" w:hAnsi="宋体" w:cs="宋体"/>
          <w:kern w:val="0"/>
          <w:sz w:val="24"/>
          <w:szCs w:val="24"/>
        </w:rPr>
      </w:pPr>
    </w:p>
    <w:p>
      <w:pPr>
        <w:pStyle w:val="13"/>
        <w:rPr>
          <w:rFonts w:hint="eastAsia"/>
        </w:rPr>
      </w:pPr>
      <w:bookmarkStart w:id="62" w:name="_Toc4173618"/>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3619"/>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4" w:name="_Toc4173620"/>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3621"/>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3622"/>
      <w:r>
        <w:rPr>
          <w:rFonts w:hint="eastAsia"/>
          <w:b/>
          <w:bCs/>
        </w:rPr>
        <w:t>13.1 备查文件目录</w:t>
      </w:r>
      <w:bookmarkEnd w:id="66"/>
    </w:p>
    <w:p>
      <w:pPr>
        <w:pStyle w:val="20"/>
        <w:spacing w:before="0"/>
        <w:ind w:left="0" w:firstLine="480"/>
        <w:rPr>
          <w:rFonts w:hint="eastAsia"/>
        </w:rPr>
      </w:pPr>
      <w:r>
        <w:rPr>
          <w:rFonts w:hint="eastAsia"/>
        </w:rPr>
        <w:t>1、《创金合信价值红利灵活配置混合型证券投资基金基金合同》；</w:t>
      </w:r>
    </w:p>
    <w:p>
      <w:pPr>
        <w:pStyle w:val="20"/>
        <w:spacing w:before="0"/>
        <w:ind w:left="0" w:firstLine="480"/>
        <w:rPr>
          <w:rFonts w:hint="eastAsia"/>
        </w:rPr>
      </w:pPr>
      <w:r>
        <w:rPr>
          <w:rFonts w:hint="eastAsia"/>
        </w:rPr>
        <w:t>2、《创金合信价值红利灵活配置混合型证券投资基金托管协议》；</w:t>
      </w:r>
    </w:p>
    <w:p>
      <w:pPr>
        <w:pStyle w:val="20"/>
        <w:spacing w:before="0"/>
        <w:ind w:left="0" w:firstLine="480"/>
        <w:rPr>
          <w:rFonts w:hint="eastAsia"/>
        </w:rPr>
      </w:pPr>
      <w:r>
        <w:rPr>
          <w:rFonts w:hint="eastAsia"/>
        </w:rPr>
        <w:t>3、创金合信价值红利灵活配置混合型证券投资基金2018年年度报告。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3623"/>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3624"/>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58</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创金合信价值红利灵活配置混合型证券投资基金2018年年度报告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7F1D"/>
    <w:rsid w:val="00184170"/>
    <w:rsid w:val="00413077"/>
    <w:rsid w:val="0088588E"/>
    <w:rsid w:val="00D11652"/>
    <w:rsid w:val="00F47F1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7232</Words>
  <Characters>41228</Characters>
  <Lines>343</Lines>
  <Paragraphs>96</Paragraphs>
  <TotalTime>0</TotalTime>
  <ScaleCrop>false</ScaleCrop>
  <LinksUpToDate>false</LinksUpToDate>
  <CharactersWithSpaces>48364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2019-03-22T10:58:00Z</dcterms:created>
  <dc:creator>石怡翔</dc:creator>
  <cp:lastModifiedBy>Administrator</cp:lastModifiedBy>
  <dcterms:modified xsi:type="dcterms:W3CDTF">2019-12-26T14:06:18Z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