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创金合信鑫安保本混合型证券投资基金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88961"/>
      <w:r>
        <w:rPr>
          <w:rFonts w:hint="eastAsia" w:hAnsi="Calibri"/>
          <w:b/>
          <w:color w:val="000000"/>
        </w:rPr>
        <w:t>§1  重要提示及目录</w:t>
      </w:r>
      <w:bookmarkEnd w:id="0"/>
      <w:r>
        <w:rPr>
          <w:rFonts w:hint="eastAsia"/>
        </w:rPr>
        <w:t xml:space="preserve"> </w:t>
      </w:r>
    </w:p>
    <w:p>
      <w:pPr>
        <w:pStyle w:val="14"/>
        <w:rPr>
          <w:rFonts w:hint="eastAsia"/>
        </w:rPr>
      </w:pPr>
      <w:bookmarkStart w:id="1" w:name="_Toc510188962"/>
      <w:r>
        <w:rPr>
          <w:rFonts w:hint="eastAsia"/>
          <w:b/>
          <w:bCs/>
        </w:rPr>
        <w:t>1.1 重要提示</w:t>
      </w:r>
      <w:bookmarkEnd w:id="1"/>
    </w:p>
    <w:tbl>
      <w:tblPr>
        <w:tblStyle w:val="7"/>
        <w:tblW w:w="0" w:type="auto"/>
        <w:tblInd w:w="224"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本报告期自2017年01月01日起至2017年12月31日止。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88963"/>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"_Toc510188961"</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_Toc510188961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"_Toc510188962"</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_Toc510188962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"_Toc510188963"</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_Toc510188963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"_Toc510188964"</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_Toc510188964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"_Toc510188965"</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_Toc510188965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"_Toc510188966"</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_Toc510188966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"_Toc510188967"</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_Toc510188967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"_Toc510188968"</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_Toc510188968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"_Toc510188969"</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_Toc510188969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"_Toc510188970"</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_Toc510188970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"_Toc510188971"</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_Toc510188971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"_Toc510188972"</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_Toc510188972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"_Toc510188973"</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_Toc510188973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"_Toc510188974"</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_Toc510188974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"_Toc510188975"</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_Toc510188975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"_Toc510188976"</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_Toc510188976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"_Toc510188977"</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_Toc510188977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"_Toc510188978"</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_Toc510188978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"_Toc510188979"</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_Toc510188979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"_Toc510188980"</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_Toc510188980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"_Toc510188981"</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_Toc510188981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"_Toc510188982"</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_Toc510188982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"_Toc510188983"</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_Toc510188983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"_Toc510188984"</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_Toc510188984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"_Toc510188985"</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_Toc510188985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"_Toc510188986"</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_Toc510188986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"_Toc510188987"</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_Toc510188987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"_Toc510188988"</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_Toc510188988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"_Toc510188989"</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_Toc510188989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"_Toc510188990"</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_Toc510188990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"_Toc510188991"</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_Toc510188991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"_Toc510188992"</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_Toc510188992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"_Toc510188993"</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_Toc510188993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"_Toc510188994"</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_Toc510188994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"_Toc510188995"</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_Toc510188995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"_Toc510188996"</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_Toc510188996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"_Toc510188997"</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_Toc510188997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"_Toc510188998"</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_Toc510188998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"_Toc510188999"</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_Toc510188999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"_Toc510189000"</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_Toc510189000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"_Toc510189001"</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_Toc510189001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"_Toc510189002"</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_Toc510189002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"_Toc510189003"</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_Toc510189003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"_Toc510189004"</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_Toc510189004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"_Toc510189005"</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_Toc510189005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"_Toc510189006"</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_Toc510189006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"_Toc510189007"</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_Toc510189007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"_Toc510189008"</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_Toc510189008 \h </w:instrText>
      </w:r>
      <w:r>
        <w:rPr>
          <w:lang/>
        </w:rPr>
        <w:fldChar w:fldCharType="separate"/>
      </w:r>
      <w:r>
        <w:rPr>
          <w:lang/>
        </w:rPr>
        <w:t>70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"_Toc510189009"</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_Toc510189009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"_Toc510189010"</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_Toc510189010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"_Toc510189011"</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_Toc510189011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"_Toc510189012"</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_Toc510189012 \h </w:instrText>
      </w:r>
      <w:r>
        <w:rPr>
          <w:lang/>
        </w:rPr>
        <w:fldChar w:fldCharType="separate"/>
      </w:r>
      <w:r>
        <w:rPr>
          <w:lang/>
        </w:rPr>
        <w:t>72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"_Toc510189013"</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_Toc510189013 \h </w:instrText>
      </w:r>
      <w:r>
        <w:rPr>
          <w:lang/>
        </w:rPr>
        <w:fldChar w:fldCharType="separate"/>
      </w:r>
      <w:r>
        <w:rPr>
          <w:lang/>
        </w:rPr>
        <w:t>73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"_Toc510189014"</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_Toc510189014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"_Toc510189015"</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_Toc510189015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"_Toc510189016"</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_Toc510189016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"_Toc510189017"</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_Toc510189017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"_Toc510189018"</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_Toc510189018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"_Toc510189019"</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_Toc510189019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"_Toc510189020"</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_Toc510189020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"_Toc510189021"</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_Toc510189021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"_Toc510189022"</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_Toc510189022 \h </w:instrText>
      </w:r>
      <w:r>
        <w:rPr>
          <w:lang/>
        </w:rPr>
        <w:fldChar w:fldCharType="separate"/>
      </w:r>
      <w:r>
        <w:rPr>
          <w:lang/>
        </w:rPr>
        <w:t>77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"_Toc510189023"</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_Toc510189023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"_Toc510189024"</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_Toc510189024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"_Toc510189025"</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_Toc510189025 \h </w:instrText>
      </w:r>
      <w:r>
        <w:rPr>
          <w:lang/>
        </w:rPr>
        <w:fldChar w:fldCharType="separate"/>
      </w:r>
      <w:r>
        <w:rPr>
          <w:lang/>
        </w:rPr>
        <w:t>81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"_Toc510189026"</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_Toc510189026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"_Toc510189027"</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_Toc510189027 \h </w:instrText>
      </w:r>
      <w:r>
        <w:rPr>
          <w:lang/>
        </w:rPr>
        <w:fldChar w:fldCharType="separate"/>
      </w:r>
      <w:r>
        <w:rPr>
          <w:lang/>
        </w:rPr>
        <w:t>82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"_Toc510189028"</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_Toc510189028 \h </w:instrText>
      </w:r>
      <w:r>
        <w:rPr>
          <w:lang/>
        </w:rPr>
        <w:fldChar w:fldCharType="separate"/>
      </w:r>
      <w:r>
        <w:rPr>
          <w:lang/>
        </w:rPr>
        <w:t>82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"_Toc510189029"</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_Toc510189029 \h </w:instrText>
      </w:r>
      <w:r>
        <w:rPr>
          <w:lang/>
        </w:rPr>
        <w:fldChar w:fldCharType="separate"/>
      </w:r>
      <w:r>
        <w:rPr>
          <w:lang/>
        </w:rPr>
        <w:t>82</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510188964"/>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88965"/>
      <w:r>
        <w:rPr>
          <w:rFonts w:hint="eastAsia"/>
          <w:b/>
          <w:bCs/>
        </w:rPr>
        <w:t>2.1 基金基本情况</w:t>
      </w:r>
      <w:bookmarkEnd w:id="4"/>
    </w:p>
    <w:tbl>
      <w:tblPr>
        <w:tblStyle w:val="7"/>
        <w:tblW w:w="9120" w:type="dxa"/>
        <w:tblInd w:w="226"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002565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2016年05月11日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757,394,304.55份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002566</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574,654,005.35份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182,740,299.20份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88966"/>
      <w:r>
        <w:rPr>
          <w:rFonts w:hint="eastAsia"/>
          <w:b/>
          <w:bCs/>
        </w:rPr>
        <w:t>2.2 基金产品说明</w:t>
      </w:r>
      <w:bookmarkEnd w:id="5"/>
    </w:p>
    <w:tbl>
      <w:tblPr>
        <w:tblStyle w:val="7"/>
        <w:tblW w:w="9120" w:type="dxa"/>
        <w:tblInd w:w="226"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本基金通过运用投资组合保险技术控制本金损失的风险，并力争实现基金资产的稳健增值。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本基金采用恒定比例组合保险策略（Constant Proportion Portfolio Insurance，即CPPI策略）。基金管理人主要通过数量分析，根据市场的波动来调整和修正安全垫放大倍数（即风险乘数），动态调整安全资产与风险资产的投资比例，以确保基金在一段时间以后其价值不低于事先设定的某一目标价值，从而实现投资组合的保本增值目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两年期人民币定期存款利率（税后）+1%</w:t>
            </w:r>
            <w:r>
              <w:rPr>
                <w:rFonts w:hint="eastAsia"/>
              </w:rPr>
              <w:br w:type="textWrapping"/>
            </w:r>
            <w:r>
              <w:rPr>
                <w:rFonts w:hint="eastAsia"/>
              </w:rPr>
              <w:t>  上述“两年期人民币定期存款利率（税后）”指当期保本周期起始日（若为第一个保本周期，则为基金合同生效日）中国人民银行公布并执行的两年期金融机构人民币存款基准税后利率。</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本基金为保本混合型基金，属证券投资基金中的低风险品种，其预期风险与预期收益率低于股票型基金、非保本的混合型基金，高于货币市场基金。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88967"/>
      <w:r>
        <w:rPr>
          <w:rFonts w:hint="eastAsia"/>
          <w:b/>
          <w:bCs/>
        </w:rPr>
        <w:t>2.3 基金管理人和基金托管人</w:t>
      </w:r>
      <w:bookmarkEnd w:id="6"/>
    </w:p>
    <w:tbl>
      <w:tblPr>
        <w:tblStyle w:val="7"/>
        <w:tblW w:w="9120" w:type="dxa"/>
        <w:tblInd w:w="226"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510188968"/>
      <w:r>
        <w:rPr>
          <w:rFonts w:hint="eastAsia"/>
          <w:b/>
          <w:bCs/>
        </w:rPr>
        <w:t>2.4 信息披露方式</w:t>
      </w:r>
      <w:bookmarkEnd w:id="7"/>
    </w:p>
    <w:tbl>
      <w:tblPr>
        <w:tblStyle w:val="7"/>
        <w:tblW w:w="9120" w:type="dxa"/>
        <w:tblInd w:w="226"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88969"/>
      <w:r>
        <w:rPr>
          <w:rFonts w:hint="eastAsia"/>
          <w:b/>
          <w:bCs/>
        </w:rPr>
        <w:t>2.5 其他相关资料</w:t>
      </w:r>
      <w:bookmarkEnd w:id="8"/>
    </w:p>
    <w:tbl>
      <w:tblPr>
        <w:tblStyle w:val="7"/>
        <w:tblW w:w="9120" w:type="dxa"/>
        <w:tblInd w:w="226"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基金保证人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北京首创融资担保有限公司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北京市西城区闹市口大街1号院长安兴融中心4号楼3层03B-03G</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88970"/>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88971"/>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1844"/>
        <w:gridCol w:w="1656"/>
        <w:gridCol w:w="1657"/>
        <w:gridCol w:w="1722"/>
        <w:gridCol w:w="1722"/>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2016年5月11日（基金合同生效日）-2016年12月31日</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创金合信鑫安保本混合C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创金合信鑫安保本混合C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-1,138,676.66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-1,425,067.08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44,500,073.09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10,919,161.13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12,843,304.57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3,123,730.47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29,001,371.38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6,788,160.97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0.0256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27,350,195.30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6,842,393.82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23,175,754.23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6,251,192.77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0.0247</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603,726,070.42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190,123,151.77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803,433,315.59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259,298,983.14</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4.本基金合同生效日为2016年5月11日，上年度可比期间的相关数据和指标按实际存续期计算。</w:t>
      </w:r>
    </w:p>
    <w:p>
      <w:pPr>
        <w:pStyle w:val="14"/>
        <w:rPr>
          <w:rFonts w:hint="eastAsia"/>
        </w:rPr>
      </w:pPr>
      <w:bookmarkStart w:id="11" w:name="_Toc510188972"/>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创金合信鑫安保本混合A</w:t>
      </w:r>
    </w:p>
    <w:tbl>
      <w:tblPr>
        <w:tblStyle w:val="7"/>
        <w:tblW w:w="0" w:type="auto"/>
        <w:jc w:val="center"/>
        <w:tblLayout w:type="autofit"/>
        <w:tblCellMar>
          <w:top w:w="0" w:type="dxa"/>
          <w:left w:w="108" w:type="dxa"/>
          <w:bottom w:w="0" w:type="dxa"/>
          <w:right w:w="108" w:type="dxa"/>
        </w:tblCellMar>
      </w:tblPr>
      <w:tblGrid>
        <w:gridCol w:w="1438"/>
        <w:gridCol w:w="931"/>
        <w:gridCol w:w="931"/>
        <w:gridCol w:w="1267"/>
        <w:gridCol w:w="1501"/>
        <w:gridCol w:w="1501"/>
        <w:gridCol w:w="1501"/>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r>
    </w:tbl>
    <w:p>
      <w:pPr>
        <w:pStyle w:val="17"/>
        <w:rPr>
          <w:rFonts w:hint="eastAsia"/>
        </w:rPr>
      </w:pPr>
      <w:r>
        <w:rPr>
          <w:rFonts w:hint="eastAsia" w:hAnsi="Calibri"/>
          <w:color w:val="000000"/>
        </w:rPr>
        <w:t>创金合信鑫安保本混合C</w:t>
      </w:r>
    </w:p>
    <w:tbl>
      <w:tblPr>
        <w:tblStyle w:val="7"/>
        <w:tblW w:w="0" w:type="auto"/>
        <w:jc w:val="center"/>
        <w:tblLayout w:type="autofit"/>
        <w:tblCellMar>
          <w:top w:w="0" w:type="dxa"/>
          <w:left w:w="108" w:type="dxa"/>
          <w:bottom w:w="0" w:type="dxa"/>
          <w:right w:w="108" w:type="dxa"/>
        </w:tblCellMar>
      </w:tblPr>
      <w:tblGrid>
        <w:gridCol w:w="1438"/>
        <w:gridCol w:w="931"/>
        <w:gridCol w:w="931"/>
        <w:gridCol w:w="1267"/>
        <w:gridCol w:w="1501"/>
        <w:gridCol w:w="1501"/>
        <w:gridCol w:w="1501"/>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2565_FB010010_20180002_2.jpg" type="#_x0000_t75" style="height:286.5pt;width:441pt;" filled="f" stroked="f" coordsize="21600,21600">
            <v:path/>
            <v:fill on="f" focussize="0,0"/>
            <v:stroke on="f"/>
            <v:imagedata r:id="rId10" grayscale="f" bilevel="f" o:title="CN_50990000_002565_FB010010_20180002_2"/>
            <o:lock v:ext="edit" grouping="f" rotation="f" aspectratio="t"/>
            <w10:wrap type="none"/>
            <w10:anchorlock/>
          </v:shape>
        </w:pict>
      </w:r>
    </w:p>
    <w:p>
      <w:pPr>
        <w:pStyle w:val="17"/>
        <w:rPr>
          <w:rFonts w:hint="eastAsia"/>
        </w:rPr>
      </w:pPr>
      <w:r>
        <w:rPr>
          <w:rFonts w:hAnsi="Calibri"/>
          <w:color w:val="000000"/>
          <w:lang/>
        </w:rPr>
        <w:pict>
          <v:shape id="_x0000_i1027" o:spt="75" alt="D:\恒生系统安装\B13\Bin\MOD\TMP\CN_50990000_002565_FB010010_20180002_3.jpg" type="#_x0000_t75" style="height:286.5pt;width:441pt;" filled="f" stroked="f" coordsize="21600,21600">
            <v:path/>
            <v:fill on="f" focussize="0,0"/>
            <v:stroke on="f"/>
            <v:imagedata r:id="rId11" grayscale="f" bilevel="f" o:title="CN_50990000_002565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6" o:spt="75" alt="D:\恒生系统安装\B13\Bin\MOD\TMP\CN_50990000_002565_FB010010_20180002_4.jpg" type="#_x0000_t75" style="height:286.65pt;width:441.2pt;" filled="f" stroked="f" coordsize="21600,21600">
            <v:path/>
            <v:fill on="f" focussize="0,0"/>
            <v:stroke on="f"/>
            <v:imagedata r:id="rId12" grayscale="f" bilevel="f" o:title="CN_50990000_002565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2565_FB010010_20180002_5.jpg" type="#_x0000_t75" style="height:286.65pt;width:441.2pt;" filled="f" stroked="f" coordsize="21600,21600">
            <v:path/>
            <v:fill on="f" focussize="0,0"/>
            <v:stroke on="f"/>
            <v:imagedata r:id="rId13" grayscale="f" bilevel="f" o:title="CN_50990000_002565_FB010010_20180002_5"/>
            <o:lock v:ext="edit" grouping="f" rotation="f" aspectratio="t"/>
            <w10:wrap type="none"/>
            <w10:anchorlock/>
          </v:shape>
        </w:pict>
      </w:r>
    </w:p>
    <w:p>
      <w:pPr>
        <w:pStyle w:val="14"/>
        <w:rPr>
          <w:rFonts w:hint="eastAsia"/>
        </w:rPr>
      </w:pPr>
      <w:bookmarkStart w:id="12" w:name="_Toc510188973"/>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本基金自基金合同生效日(2016年5月11日)至本报告期末未发生利润分配。</w:t>
      </w:r>
    </w:p>
    <w:p>
      <w:pPr>
        <w:pStyle w:val="13"/>
        <w:rPr>
          <w:rFonts w:hint="eastAsia"/>
        </w:rPr>
      </w:pPr>
      <w:bookmarkStart w:id="13" w:name="_Toc510188974"/>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88975"/>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226" w:type="dxa"/>
        <w:tblLayout w:type="autofit"/>
        <w:tblCellMar>
          <w:top w:w="0" w:type="dxa"/>
          <w:left w:w="108" w:type="dxa"/>
          <w:bottom w:w="0" w:type="dxa"/>
          <w:right w:w="108" w:type="dxa"/>
        </w:tblCellMar>
      </w:tblPr>
      <w:tblGrid>
        <w:gridCol w:w="1076"/>
        <w:gridCol w:w="1165"/>
        <w:gridCol w:w="1165"/>
        <w:gridCol w:w="1165"/>
        <w:gridCol w:w="1075"/>
        <w:gridCol w:w="3316"/>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王一兵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本基金经理、固定收益部总监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一兵先生，中国国籍，四川大学MBA。1994年即进入证券期货行业，作为公司出市代表任海南中商期货交易所红马甲。1997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88976"/>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88977"/>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公司旗下所有投资组合参与的交易所公开竞价交易中，同日反向交易成交较少的单边交易量超过该证券当日成交量的5%的交易共16次，该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r>
        <w:rPr>
          <w:rFonts w:hint="eastAsia"/>
        </w:rPr>
        <w:br w:type="textWrapping"/>
      </w: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88978"/>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本基金延续采用恒定比例组合保险策略（Constant Proportion Portfolio Insurance，即CPPI策略）。主要通过数量分析，根据市场的波动来调整和修正安全垫放大倍数（即风险乘数），动态调整安全资产与风险资产的投资比例，以力争实现基金在一段时间以后其价值不低于事先设定的某一目标价值，从而实现投资组合的保本增值目标。在CPPI策略的大框架下，2017年产品基于金融防风险、去杠杆的大背景判断，在债券投资上持续维持短久期、高评级、低杠杆的防御型投资策略，在防范风险的同时追求产品净值的稳定增长；在权益投资上，基于周期向上与供给侧改革的大背景，产品以大盘股为主要配置对象，在控制产品回撤的基础上，积极参与权益的投资机会。</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鑫安保本混合A基金份额净值为1.051元;本报告期内，基金份额净值增长率为2.04%，同期业绩比较基准收益率为3.1%;截至报告期末创金合信鑫安保本混合C基金份额净值为1.040元;本报告期内，基金份额净值增长率为1.46%，同期业绩比较基准收益率为3.1%。</w:t>
      </w:r>
    </w:p>
    <w:p>
      <w:pPr>
        <w:widowControl/>
        <w:jc w:val="left"/>
        <w:rPr>
          <w:rFonts w:hint="eastAsia" w:ascii="宋体" w:hAnsi="宋体" w:cs="宋体"/>
          <w:kern w:val="0"/>
          <w:sz w:val="24"/>
          <w:szCs w:val="24"/>
        </w:rPr>
      </w:pPr>
    </w:p>
    <w:p>
      <w:pPr>
        <w:pStyle w:val="14"/>
        <w:rPr>
          <w:rFonts w:hint="eastAsia"/>
        </w:rPr>
      </w:pPr>
      <w:bookmarkStart w:id="18" w:name="_Toc510188979"/>
      <w:r>
        <w:rPr>
          <w:rFonts w:hint="eastAsia"/>
          <w:b/>
          <w:bCs/>
        </w:rPr>
        <w:t>4.5 管理人对宏观经济、证券市场及行业走势的简要展望</w:t>
      </w:r>
      <w:bookmarkEnd w:id="18"/>
    </w:p>
    <w:p>
      <w:pPr>
        <w:pStyle w:val="20"/>
        <w:rPr>
          <w:rFonts w:hint="eastAsia"/>
        </w:rPr>
      </w:pPr>
      <w:r>
        <w:rPr>
          <w:rFonts w:hint="eastAsia"/>
        </w:rPr>
        <w:t>  2018年利率债缺乏趋势性机会。一方面，虽然经济平稳可能略降，但经济韧性仍强，结构持续改善，货币政策整体难宽松，严监管还将持续；另一方面，银行资产负债扩张将继续放缓，债市配置力量预计维持较弱。2017年对同业理财的治理导致债市的大幅调整，2018年对银行理财的治理将成为债市的主要风险来源。而信用债方面，在资本利得机会不大的环境下，票息策略仍将是主要策略。当前债市收益率绝对水平处于历史较高位置，曲线期限利差较窄，短期债券的配置价值较高。经济总体偏稳下，伴随企业盈利的整体改善，信用出现系统性违约风险的概率较低，不过在银行信用扩张放缓阶段，弱资质民企获取流动性能力下降，发生信用风险的可能性加大。因此，综合来看，2018年债市投资选择上需要严格控制久期，不宜明显拉长，信用下沉程度要有所控制。</w:t>
      </w:r>
      <w:r>
        <w:rPr>
          <w:rFonts w:hint="eastAsia"/>
        </w:rPr>
        <w:br w:type="textWrapping"/>
      </w:r>
      <w:r>
        <w:rPr>
          <w:rFonts w:hint="eastAsia"/>
        </w:rPr>
        <w:t>  权益方面，旧经济市场出清，供给侧改革推进，新兴经济活跃，盈利具备持续转好基础；利率上行尚未明显损害经济，监管冲击未明显冲击风险情绪。市场短期回调震荡，结构分化特征将依旧存在。大盘股将继续受益于不高的估值和较确定的盈利增长，尤其是经济转型过程中龙头的优势提升；小盘股在偏高估值下，对利率上行和监管冲击的反应较为敏感，可能将继续底部震荡；关注中盘蓝筹机会。未来继续关注可中期战略配置的板块，如银行、消费、新能源车等。同时周期行业受益于供求出清，盈利改善有持续性，看好钢铁、煤炭等周期股。</w:t>
      </w:r>
    </w:p>
    <w:p>
      <w:pPr>
        <w:widowControl/>
        <w:jc w:val="left"/>
        <w:rPr>
          <w:rFonts w:hint="eastAsia" w:ascii="宋体" w:hAnsi="宋体" w:cs="宋体"/>
          <w:kern w:val="0"/>
          <w:sz w:val="24"/>
          <w:szCs w:val="24"/>
        </w:rPr>
      </w:pPr>
    </w:p>
    <w:p>
      <w:pPr>
        <w:pStyle w:val="14"/>
        <w:rPr>
          <w:rFonts w:hint="eastAsia"/>
        </w:rPr>
      </w:pPr>
      <w:bookmarkStart w:id="19" w:name="_Toc510188980"/>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88981"/>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88982"/>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88983"/>
      <w:r>
        <w:rPr>
          <w:rFonts w:hint="eastAsia"/>
          <w:b/>
          <w:bCs/>
        </w:rPr>
        <w:t>4.9 报告期内管理人对本基金持有人数或基金资产净值预警情形的说明</w:t>
      </w:r>
      <w:bookmarkEnd w:id="22"/>
    </w:p>
    <w:p>
      <w:pPr>
        <w:pStyle w:val="20"/>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510188984"/>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88985"/>
      <w:r>
        <w:rPr>
          <w:rFonts w:hint="eastAsia"/>
          <w:b/>
          <w:bCs/>
        </w:rPr>
        <w:t>5.1 报告期内本基金托管人遵规守信情况声明</w:t>
      </w:r>
      <w:bookmarkEnd w:id="24"/>
    </w:p>
    <w:p>
      <w:pPr>
        <w:pStyle w:val="20"/>
        <w:rPr>
          <w:rFonts w:hint="eastAsia"/>
        </w:rPr>
      </w:pPr>
      <w:r>
        <w:rPr>
          <w:rFonts w:hint="eastAsia"/>
        </w:rPr>
        <w:t>  本报告期内，本基金托管人在对创金合信鑫安保本混合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510188986"/>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创金合信鑫安保本混合型证券投资基金的管理人--创金合信基金管理有限公司在创金合信鑫安保本混合型证券投资基金的投资运作、基金资产净值计算、基金份额申购赎回价格计算、基金费用开支等问题上，不存在任何损害基金份额持有人利益的行为，在各重要方面的运作严格按照基金合同的规定进行。本报告期内，创金合信鑫安保本混合型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510188987"/>
      <w:r>
        <w:rPr>
          <w:rFonts w:hint="eastAsia"/>
          <w:b/>
          <w:bCs/>
        </w:rPr>
        <w:t>5.3 托管人对本年度报告中财务信息等内容的真实、准确和完整发表意见</w:t>
      </w:r>
      <w:bookmarkEnd w:id="26"/>
    </w:p>
    <w:p>
      <w:pPr>
        <w:pStyle w:val="20"/>
        <w:rPr>
          <w:rFonts w:hint="eastAsia"/>
        </w:rPr>
      </w:pPr>
      <w:r>
        <w:rPr>
          <w:rFonts w:hint="eastAsia"/>
        </w:rPr>
        <w:t>  本托管人依法对创金合信基金管理有限公司编制和披露的创金合信鑫安保本混合型证券投资基金2017年年度报告中财务指标、净值表现、利润分配情况、财务会计报告、投资组合报告等内容进行了核查，以上内容真实、准确和完整。</w:t>
      </w:r>
    </w:p>
    <w:p>
      <w:pPr>
        <w:pStyle w:val="13"/>
        <w:rPr>
          <w:rFonts w:hint="eastAsia"/>
        </w:rPr>
      </w:pPr>
      <w:bookmarkStart w:id="27" w:name="_Toc510188988"/>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88989"/>
      <w:r>
        <w:rPr>
          <w:rFonts w:hint="eastAsia"/>
          <w:b/>
          <w:bCs/>
        </w:rPr>
        <w:t>6.1 审计报告基本信息</w:t>
      </w:r>
      <w:bookmarkEnd w:id="28"/>
    </w:p>
    <w:tbl>
      <w:tblPr>
        <w:tblStyle w:val="7"/>
        <w:tblW w:w="9045" w:type="dxa"/>
        <w:tblInd w:w="226"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普华永道中天审字(2018)第21843号</w:t>
            </w:r>
          </w:p>
        </w:tc>
      </w:tr>
    </w:tbl>
    <w:p>
      <w:pPr>
        <w:widowControl/>
        <w:jc w:val="left"/>
        <w:rPr>
          <w:rFonts w:hint="eastAsia" w:ascii="宋体" w:hAnsi="宋体" w:cs="宋体"/>
          <w:kern w:val="0"/>
          <w:sz w:val="24"/>
          <w:szCs w:val="24"/>
        </w:rPr>
      </w:pPr>
    </w:p>
    <w:p>
      <w:pPr>
        <w:pStyle w:val="14"/>
        <w:rPr>
          <w:rFonts w:hint="eastAsia"/>
        </w:rPr>
      </w:pPr>
      <w:bookmarkStart w:id="29" w:name="_Toc510188990"/>
      <w:r>
        <w:rPr>
          <w:rFonts w:hint="eastAsia"/>
          <w:b/>
          <w:bCs/>
        </w:rPr>
        <w:t>6.2 审计报告的基本内容</w:t>
      </w:r>
      <w:bookmarkEnd w:id="29"/>
    </w:p>
    <w:tbl>
      <w:tblPr>
        <w:tblStyle w:val="7"/>
        <w:tblW w:w="9045" w:type="dxa"/>
        <w:tblInd w:w="226"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我们审计了创金合信鑫安保本混合型证券投资基金 (以下简称"创金合信鑫安保本混合基金")的财务报表，包括2017年12月31日的资产负债表，2017年度的利润表和所有者权益(基金净值)变动表以及财务报表附注。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安保本混合基金2017年12月31日的财务状况以及2017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按照中国注册会计师职业道德守则，我们独立于创金合信鑫安保本混合基金，并履行了职业道德方面的其他责任。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安保本混合基金的持续经营能力，披露与持续经营相关的事项(如适用)，并运用持续经营假设，除非基金管理人管理层计划清算创金合信鑫安保本混合基金、终止运营或别无其他现实的选择。 基金管理人治理层负责监督创金合信鑫安保本混合基金的财务报告过程。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安保本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安保本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88991"/>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88992"/>
      <w:r>
        <w:rPr>
          <w:rFonts w:hint="eastAsia"/>
          <w:b/>
          <w:bCs/>
        </w:rPr>
        <w:t>7.1 资产负债表</w:t>
      </w:r>
      <w:bookmarkEnd w:id="31"/>
    </w:p>
    <w:p>
      <w:pPr>
        <w:pStyle w:val="17"/>
        <w:rPr>
          <w:rFonts w:hint="eastAsia"/>
        </w:rPr>
      </w:pPr>
      <w:r>
        <w:rPr>
          <w:rFonts w:hint="eastAsia"/>
        </w:rPr>
        <w:t>会计主体：创金合信鑫安保本混合型证券投资基金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226" w:type="dxa"/>
        <w:tblLayout w:type="autofit"/>
        <w:tblCellMar>
          <w:top w:w="0" w:type="dxa"/>
          <w:left w:w="108" w:type="dxa"/>
          <w:bottom w:w="0" w:type="dxa"/>
          <w:right w:w="108" w:type="dxa"/>
        </w:tblCellMar>
      </w:tblPr>
      <w:tblGrid>
        <w:gridCol w:w="2888"/>
        <w:gridCol w:w="1083"/>
        <w:gridCol w:w="2529"/>
        <w:gridCol w:w="2620"/>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2016年12月31日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7,895,723.62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20,019,737.05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2,981,431.10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5,206,255.03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70,718.22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81,998.38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883,344,816.74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1,686,427,337.09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115,095,471.64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196,884,565.49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768,249,345.10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1,489,542,771.60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69,468,464.21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1,210,191.08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14,483,111.15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24,588,153.99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629.07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978,245,693.60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1,737,534,301.69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181,714,827.50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671,808,857.28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1,117,619.52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249,013.77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818,984.42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1,228,310.00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136,497.40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204,718.33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131,691.62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177,116.60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43,636.66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438,231.83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224,136.45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504,943.71</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209,077.84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190,811.44</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184,396,471.41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674,802,002.96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757,394,304.55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1,033,305,351.73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36,454,917.64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29,426,947.00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793,849,222.19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1,062,732,298.73</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978,245,693.60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1,737,534,301.69</w:t>
            </w:r>
          </w:p>
        </w:tc>
      </w:tr>
    </w:tbl>
    <w:p>
      <w:pPr>
        <w:pStyle w:val="20"/>
        <w:rPr>
          <w:rFonts w:hint="eastAsia"/>
        </w:rPr>
      </w:pPr>
      <w:r>
        <w:rPr>
          <w:rFonts w:hint="eastAsia"/>
        </w:rPr>
        <w:t>注：1.报告截止日2017年12月31日，基金份额总额757,394,304.55份，其中A类基金份额的份额总额为574,654,005.35份，份额净值1.051元；C类基金份额的份额总额为182,740,299.20份，份额净值1.04元。</w:t>
      </w:r>
      <w:r>
        <w:rPr>
          <w:rFonts w:hint="eastAsia"/>
        </w:rPr>
        <w:br w:type="textWrapping"/>
      </w:r>
      <w:r>
        <w:rPr>
          <w:rFonts w:hint="eastAsia"/>
        </w:rPr>
        <w:t>2.本基金合同生效日为2016年5月11日，上年度可比期间为2016年5月11日至2016年12月31日。</w:t>
      </w:r>
    </w:p>
    <w:p>
      <w:pPr>
        <w:pStyle w:val="14"/>
        <w:rPr>
          <w:rFonts w:hint="eastAsia"/>
        </w:rPr>
      </w:pPr>
      <w:bookmarkStart w:id="32" w:name="_Toc510188993"/>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会计主体：创金合信鑫安保本混合型证券投资基金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226" w:type="dxa"/>
        <w:tblLayout w:type="autofit"/>
        <w:tblCellMar>
          <w:top w:w="0" w:type="dxa"/>
          <w:left w:w="108" w:type="dxa"/>
          <w:bottom w:w="0" w:type="dxa"/>
          <w:right w:w="108" w:type="dxa"/>
        </w:tblCellMar>
      </w:tblPr>
      <w:tblGrid>
        <w:gridCol w:w="3249"/>
        <w:gridCol w:w="1083"/>
        <w:gridCol w:w="2168"/>
        <w:gridCol w:w="2620"/>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2016年05月11日（基金合同生效日）至2016年12月31日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43,940,572.00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55,390,312.23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39,463,444.81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28,605,936.32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297,456.06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643,050.79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38,816,003.65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27,543,619.74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349,985.10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419,265.79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-15,655,448.32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44,497,532.13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-3,052,332.95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36,421,240.35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-14,140,614.94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7,832,210.53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1,537,499.57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244,081.25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18,530,778.78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-19,629,701.87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1,601,796.73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1,916,545.65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27,973,536.96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19,600,779.88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11,080,898.75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9,680,601.54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1,846,816.33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1,613,433.55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1,798,153.70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1,387,375.95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2,045,880.98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1,758,383.87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10,951,390.29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4,951,283.80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10,951,390.29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4,951,283.80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250,396.91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209,701.17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15,967,035.04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35,789,532.35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15,967,035.04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35,789,532.35</w:t>
            </w:r>
          </w:p>
        </w:tc>
      </w:tr>
    </w:tbl>
    <w:p>
      <w:pPr>
        <w:pStyle w:val="20"/>
        <w:rPr>
          <w:rFonts w:hint="eastAsia"/>
        </w:rPr>
      </w:pPr>
      <w:r>
        <w:rPr>
          <w:rFonts w:hint="eastAsia"/>
        </w:rPr>
        <w:t>注：本基金合同生效日为2016年5月11日，上年度可比期间为2016年5月11日至2016年12月31日。</w:t>
      </w:r>
    </w:p>
    <w:p>
      <w:pPr>
        <w:pStyle w:val="14"/>
        <w:rPr>
          <w:rFonts w:hint="eastAsia"/>
        </w:rPr>
      </w:pPr>
      <w:bookmarkStart w:id="33" w:name="_Toc510188994"/>
      <w:r>
        <w:rPr>
          <w:rFonts w:hint="eastAsia"/>
          <w:b/>
          <w:bCs/>
        </w:rPr>
        <w:t>7.3 所有者权益（基金净值）变动表</w:t>
      </w:r>
      <w:bookmarkEnd w:id="33"/>
    </w:p>
    <w:p>
      <w:pPr>
        <w:pStyle w:val="17"/>
        <w:rPr>
          <w:rFonts w:hint="eastAsia"/>
        </w:rPr>
      </w:pPr>
      <w:r>
        <w:rPr>
          <w:rFonts w:hint="eastAsia"/>
        </w:rPr>
        <w:t>会计主体：创金合信鑫安保本混合型证券投资基金</w:t>
      </w:r>
    </w:p>
    <w:p>
      <w:pPr>
        <w:pStyle w:val="17"/>
        <w:rPr>
          <w:rFonts w:hint="eastAsia"/>
        </w:rPr>
      </w:pPr>
      <w:r>
        <w:rPr>
          <w:rFonts w:hint="eastAsia"/>
        </w:rPr>
        <w:t>本报告期：2017年01月01日至2017年12月31日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226" w:type="dxa"/>
        <w:tblLayout w:type="autofit"/>
        <w:tblCellMar>
          <w:top w:w="0" w:type="dxa"/>
          <w:left w:w="108" w:type="dxa"/>
          <w:bottom w:w="0" w:type="dxa"/>
          <w:right w:w="108" w:type="dxa"/>
        </w:tblCellMar>
      </w:tblPr>
      <w:tblGrid>
        <w:gridCol w:w="3227"/>
        <w:gridCol w:w="1793"/>
        <w:gridCol w:w="1793"/>
        <w:gridCol w:w="2149"/>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1,033,305,351.73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29,426,947.00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1,062,732,298.73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15,967,035.04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15,967,035.04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-275,911,047.18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-8,939,064.40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-284,850,111.58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1,291,587.27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35,885.32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1,327,472.59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-277,202,634.45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-8,974,949.72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-286,177,584.17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757,394,304.55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36,454,917.64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793,849,222.19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2016年05月11日（基金合同生效日）至2016年12月31日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1,265,842,004.20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1,265,842,004.20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35,789,532.35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35,789,532.35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-232,536,652.47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-6,362,585.35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-238,899,237.82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10,189,509.88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263,107.19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10,452,617.07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-242,726,162.35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-6,625,692.54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-249,351,854.89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1,033,305,351.73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29,426,947.00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1,062,732,298.73</w:t>
            </w:r>
          </w:p>
        </w:tc>
      </w:tr>
    </w:tbl>
    <w:p>
      <w:pPr>
        <w:pStyle w:val="20"/>
        <w:rPr>
          <w:rFonts w:hint="eastAsia"/>
        </w:rPr>
      </w:pPr>
      <w:r>
        <w:rPr>
          <w:rFonts w:hint="eastAsia"/>
        </w:rPr>
        <w:t>注：本基金合同生效日为2016年5月11日，上年度可比期间为2016年5月11日至2016年12月31日。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216" w:type="dxa"/>
        <w:tblLayout w:type="autofit"/>
        <w:tblCellMar>
          <w:top w:w="0" w:type="dxa"/>
          <w:left w:w="108" w:type="dxa"/>
          <w:bottom w:w="0" w:type="dxa"/>
          <w:right w:w="108" w:type="dxa"/>
        </w:tblCellMar>
      </w:tblPr>
      <w:tblGrid>
        <w:gridCol w:w="3233"/>
        <w:gridCol w:w="2874"/>
        <w:gridCol w:w="2875"/>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88995"/>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鑫安保本混合型证券投资基金(以下简称"本基金")经中国证券监督管理委员会(以下简称"中国证监会")证监许可[2016]488号《关于准予创金合信鑫安保本混合型证券投资基金注册的批复》核准，由创金合信基金管理有限公司依照《中华人民共和国证券投资基金法》和《创金合信鑫安保本混合型证券投资基金基金合同》负责公开募集。本基金为契约型开放式，存续期限不定，首次设立募集不包括认购资金利息共募集人民币1,265,284,467.96元，业经普华永道中天会计师事务所(特殊普通合伙)普华永道中天验字(2016)第478号验资报告予以验证。经向中国证监会备案，《创金合信鑫安保本混合型证券投资基金基金合同》于2016年5月11日正式生效，基金合同生效日的基金份额总额为1,265,842,004.20份基金份额，其中认购资金利息折合557,536.24份基金份额。本基金的基金管理人为创金合信基金管理有限公司，基金托管人为中国工商银行股份有限公司(以下简称"中国工商银行")。</w:t>
      </w:r>
      <w:r>
        <w:rPr>
          <w:rFonts w:hint="eastAsia"/>
        </w:rPr>
        <w:br w:type="textWrapping"/>
      </w:r>
      <w:r>
        <w:rPr>
          <w:rFonts w:hint="eastAsia"/>
        </w:rPr>
        <w:t>  </w:t>
      </w:r>
      <w:r>
        <w:rPr>
          <w:rFonts w:hint="eastAsia"/>
        </w:rPr>
        <w:br w:type="textWrapping"/>
      </w:r>
      <w:r>
        <w:rPr>
          <w:rFonts w:hint="eastAsia"/>
        </w:rPr>
        <w:t>   根据《中华人民共和国证券投资基金法》和《创金合信鑫安保本混合型证券投资基金基金合同》的有关规定，本基金的投资范围为具有良好流动性的金融工具，包括国内依法发行上市的股票(包括中小板、创业板及其他经中国证监会允许基金投资的股票)、权证、股指期货、各类债券(包括国债、央行票据、地方政府债、金融债、企业债、公司债、中小企业私募债、次级债、中期票据、短期融资券、可转换债券、可交换债券以及经法律法规或中国证监会允许投资的其他债券类金融工具)、资产支持证券、债券回购、货币市场工具、银行存款以及法律法规或中国证监会允许基金投资的其他金融工具(但须符合中国证监会相关规定)。本基金的业绩比较基准为：两年期人民币定期存款利率(税后)+1%。</w:t>
      </w:r>
      <w:r>
        <w:rPr>
          <w:rFonts w:hint="eastAsia"/>
        </w:rPr>
        <w:br w:type="textWrapping"/>
      </w:r>
      <w:r>
        <w:rPr>
          <w:rFonts w:hint="eastAsia"/>
        </w:rPr>
        <w:t>  </w:t>
      </w:r>
      <w:r>
        <w:rPr>
          <w:rFonts w:hint="eastAsia"/>
        </w:rPr>
        <w:br w:type="textWrapping"/>
      </w:r>
      <w:r>
        <w:rPr>
          <w:rFonts w:hint="eastAsia"/>
        </w:rPr>
        <w:t>  于2017年12月31日，本基金的保本期安排列示如下：</w:t>
      </w:r>
      <w:r>
        <w:rPr>
          <w:rFonts w:hint="eastAsia"/>
        </w:rPr>
        <w:br w:type="textWrapping"/>
      </w:r>
      <w:r>
        <w:rPr>
          <w:rFonts w:hint="eastAsia"/>
        </w:rPr>
        <w:t>    保本期到期日2018年5月11日，份额数753,325,749.25，最大保本线1.000，截止2017年12月31日基金份额净值1.048。</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安保本混合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r>
        <w:rPr>
          <w:rFonts w:hint="eastAsia"/>
        </w:rPr>
        <w:br w:type="textWrapping"/>
      </w:r>
      <w:r>
        <w:rPr>
          <w:rFonts w:hint="eastAsia"/>
        </w:rPr>
        <w:t>  (2)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r>
        <w:rPr>
          <w:rFonts w:hint="eastAsia"/>
        </w:rPr>
        <w:br w:type="textWrapping"/>
      </w:r>
      <w:r>
        <w:rPr>
          <w:rFonts w:hint="eastAsia"/>
        </w:rPr>
        <w:t>  (3)如经济环境发生重大变化或证券发行人发生影响金融工具价格的重大事件，应对估值进行调整并确定公允价值。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本基金收益分配方式：仅采取现金分红一种收益分配方式，不进行红利再投资；(2)基金收益分配后任一类基金份额净值不能低于面值，即基金收益分配基准日的任一类基金份额净值减去该类每单位基金份额收益分配金额后不能低于面值；(3)由于本基金A 类基金份额不收取销售服务费，而C 类基金份额收取销售服务费，各基金份额类别对应的可供分配利润将有所不同；(4)本基金同一类别的每一基金份额享有同等分配权；(5)法律法规或监管机关另有规定的，从其规定。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226"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7,895,723.62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20,019,737.05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7,895,723.62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20,019,737.05</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226" w:type="dxa"/>
        <w:tblLayout w:type="autofit"/>
        <w:tblCellMar>
          <w:top w:w="0" w:type="dxa"/>
          <w:left w:w="108" w:type="dxa"/>
          <w:bottom w:w="0" w:type="dxa"/>
          <w:right w:w="108" w:type="dxa"/>
        </w:tblCellMar>
      </w:tblPr>
      <w:tblGrid>
        <w:gridCol w:w="718"/>
        <w:gridCol w:w="1793"/>
        <w:gridCol w:w="2151"/>
        <w:gridCol w:w="2150"/>
        <w:gridCol w:w="2150"/>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109,841,625.26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115,095,471.64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5,253,846.38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239,294,550.64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236,524,045.10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-2,770,505.54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535,307,563.93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531,725,300.00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-3,582,263.93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774,602,114.57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768,249,345.10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-6,352,769.47</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884,443,739.83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883,344,816.74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-1,098,923.09</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201,556,302.33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196,884,565.49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-4,671,736.84</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381,153,008.11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379,959,771.60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-1,193,236.51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1,123,347,728.52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1,109,583,000.00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-13,764,728.52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1,504,500,736.63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1,489,542,771.60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-14,957,965.03</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1,706,057,038.96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1,686,427,337.09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-19,629,701.87</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1875"/>
        <w:gridCol w:w="3071"/>
        <w:gridCol w:w="4099"/>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69,468,464.21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69,468,464.21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12,886.39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2,577.08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14,390,956.75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24,572,649.93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89,193.21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14,483,111.15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24,588,153.99</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30,647.54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417,489.58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12,989.12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20,742.25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43,636.66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438,231.83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3,811.44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209,077.84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190,811.44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创金合信鑫安保本混合A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(创金合信鑫安保本混合A)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780,257,561.36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780,257,561.36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545,681.92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545,681.92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-206,149,237.93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-206,149,237.93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574,654,005.35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574,654,005.35</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创金合信鑫安保本混合C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(创金合信鑫安保本混合C)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253,047,790.37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253,047,790.37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745,905.35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745,905.35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-71,053,396.52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-71,053,396.52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182,740,299.20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182,740,299.20</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创金合信鑫安保本混合A</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(创金合信鑫安保本混合A)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36,040,624.30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-12,864,870.07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23,175,754.23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-1,138,676.66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13,981,981.23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12,843,304.57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-7,551,752.34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604,758.61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-6,946,993.73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20,622.41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20,333.21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-7,572,374.75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605,047.81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-6,967,326.94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27,350,195.30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1,721,869.77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29,072,065.07</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创金合信鑫安保本混合C</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(创金合信鑫安保本混合C)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10,405,254.45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-4,154,061.68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6,251,192.77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-1,425,067.08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4,548,797.55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3,123,730.47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-2,137,793.55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145,722.88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-1,992,070.67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26,519.53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-10,967.42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15,552.11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-2,164,313.08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156,690.30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-2,007,622.78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6,842,393.82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540,458.75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7,382,852.57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126,338.56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370,393.58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121,827.78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169,041.83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149,921.73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907.70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297,456.06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643,050.79</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883,397,932.43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713,822,338.90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886,450,265.38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677,401,098.55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-3,052,332.95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36,421,240.35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-14,140,614.94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7,832,210.53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-14,140,614.94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7,832,210.53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3,087,105,336.60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2,177,740,732.03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3,054,018,365.59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2,144,129,132.65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47,227,585.95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25,779,388.85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-14,140,614.94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7,832,210.53</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本基金于本期及上年度可比期间均未发生衍生工具收益。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263"/>
        <w:gridCol w:w="3527"/>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1,537,499.57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244,081.25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1,537,499.57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244,081.25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18,530,778.78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-19,629,701.87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9,925,583.22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-4,671,736.84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8,605,195.56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-14,957,965.03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18,530,778.78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-19,629,701.87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1,596,379.24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1,916,545.65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5,417.49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1,601,796.73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1,916,545.65</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263"/>
        <w:gridCol w:w="3527"/>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2,021,693.48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1,731,883.87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24,187.50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2,045,880.98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1,758,383.87</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13,196.91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250,396.91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209,701.17</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截至本财务报表批准报出日，本基金无需作披露的资产负债表日后事项。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226" w:type="dxa"/>
        <w:tblLayout w:type="autofit"/>
        <w:tblCellMar>
          <w:top w:w="0" w:type="dxa"/>
          <w:left w:w="108" w:type="dxa"/>
          <w:bottom w:w="0" w:type="dxa"/>
          <w:right w:w="108" w:type="dxa"/>
        </w:tblCellMar>
      </w:tblPr>
      <w:tblGrid>
        <w:gridCol w:w="4698"/>
        <w:gridCol w:w="42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226" w:type="dxa"/>
        <w:tblLayout w:type="autofit"/>
        <w:tblCellMar>
          <w:top w:w="0" w:type="dxa"/>
          <w:left w:w="108" w:type="dxa"/>
          <w:bottom w:w="0" w:type="dxa"/>
          <w:right w:w="108" w:type="dxa"/>
        </w:tblCellMar>
      </w:tblPr>
      <w:tblGrid>
        <w:gridCol w:w="3111"/>
        <w:gridCol w:w="1018"/>
        <w:gridCol w:w="1674"/>
        <w:gridCol w:w="1012"/>
        <w:gridCol w:w="2230"/>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2,152,978.41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本基金本报告期内及上年度可比期间内无通过关联方交易单元进行的权证交易。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226" w:type="dxa"/>
        <w:tblLayout w:type="autofit"/>
        <w:tblCellMar>
          <w:top w:w="0" w:type="dxa"/>
          <w:left w:w="108" w:type="dxa"/>
          <w:bottom w:w="0" w:type="dxa"/>
          <w:right w:w="108" w:type="dxa"/>
        </w:tblCellMar>
      </w:tblPr>
      <w:tblGrid>
        <w:gridCol w:w="3111"/>
        <w:gridCol w:w="876"/>
        <w:gridCol w:w="1686"/>
        <w:gridCol w:w="1416"/>
        <w:gridCol w:w="1956"/>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2016年05月11日至2016年12月31日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7.4.10.1.4 债券交易</w:t>
      </w:r>
    </w:p>
    <w:p>
      <w:pPr>
        <w:pStyle w:val="19"/>
        <w:rPr>
          <w:rFonts w:hint="eastAsia"/>
        </w:rPr>
      </w:pPr>
      <w:r>
        <w:rPr>
          <w:rFonts w:hint="eastAsia" w:hAnsi="Calibri"/>
          <w:color w:val="000000"/>
        </w:rPr>
        <w:t>金额单位：人民币元</w:t>
      </w:r>
    </w:p>
    <w:tbl>
      <w:tblPr>
        <w:tblStyle w:val="7"/>
        <w:tblW w:w="9045" w:type="dxa"/>
        <w:tblInd w:w="226" w:type="dxa"/>
        <w:tblLayout w:type="autofit"/>
        <w:tblCellMar>
          <w:top w:w="0" w:type="dxa"/>
          <w:left w:w="108" w:type="dxa"/>
          <w:bottom w:w="0" w:type="dxa"/>
          <w:right w:w="108" w:type="dxa"/>
        </w:tblCellMar>
      </w:tblPr>
      <w:tblGrid>
        <w:gridCol w:w="3111"/>
        <w:gridCol w:w="1078"/>
        <w:gridCol w:w="1786"/>
        <w:gridCol w:w="901"/>
        <w:gridCol w:w="2169"/>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450,540,797.92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债券回购交易</w:t>
      </w:r>
    </w:p>
    <w:p>
      <w:pPr>
        <w:pStyle w:val="19"/>
        <w:rPr>
          <w:rFonts w:hint="eastAsia"/>
        </w:rPr>
      </w:pPr>
      <w:r>
        <w:rPr>
          <w:rFonts w:hint="eastAsia" w:hAnsi="Calibri"/>
          <w:color w:val="000000"/>
        </w:rPr>
        <w:t>金额单位：人民币元</w:t>
      </w:r>
    </w:p>
    <w:tbl>
      <w:tblPr>
        <w:tblStyle w:val="7"/>
        <w:tblW w:w="9045" w:type="dxa"/>
        <w:tblInd w:w="226" w:type="dxa"/>
        <w:tblLayout w:type="autofit"/>
        <w:tblCellMar>
          <w:top w:w="0" w:type="dxa"/>
          <w:left w:w="108" w:type="dxa"/>
          <w:bottom w:w="0" w:type="dxa"/>
          <w:right w:w="108" w:type="dxa"/>
        </w:tblCellMar>
      </w:tblPr>
      <w:tblGrid>
        <w:gridCol w:w="3111"/>
        <w:gridCol w:w="1162"/>
        <w:gridCol w:w="1754"/>
        <w:gridCol w:w="891"/>
        <w:gridCol w:w="212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3,787,300,000.00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11,080,898.75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9,680,601.54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5,201,324.55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5,342,145.20</w:t>
            </w:r>
          </w:p>
        </w:tc>
      </w:tr>
    </w:tbl>
    <w:p>
      <w:pPr>
        <w:pStyle w:val="20"/>
        <w:rPr>
          <w:rFonts w:hint="eastAsia"/>
        </w:rPr>
      </w:pPr>
      <w:r>
        <w:rPr>
          <w:rFonts w:hint="eastAsia"/>
        </w:rPr>
        <w:t>1、基金管理人的管理费 </w:t>
      </w:r>
      <w:r>
        <w:rPr>
          <w:rFonts w:hint="eastAsia"/>
        </w:rPr>
        <w:br w:type="textWrapping"/>
      </w:r>
      <w:r>
        <w:rPr>
          <w:rFonts w:hint="eastAsia"/>
        </w:rPr>
        <w:t>在保本周期内，本基金的管理费按前一日基金资产净值的1.2%年费率计提。管理费的计算方法如下：</w:t>
      </w:r>
      <w:r>
        <w:rPr>
          <w:rFonts w:hint="eastAsia"/>
        </w:rPr>
        <w:br w:type="textWrapping"/>
      </w:r>
      <w:r>
        <w:rPr>
          <w:rFonts w:hint="eastAsia"/>
        </w:rPr>
        <w:t>H＝E×1.2%÷当年天数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2个工作日内从基金财产中一次性支付给基金管理人。若遇法定节假日、公休假等，支付日期顺延。本基金在到期操作期（除保本周期到期日）和过渡期内不收取管理费。</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1,846,816.33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1,613,433.55</w:t>
            </w:r>
          </w:p>
        </w:tc>
      </w:tr>
    </w:tbl>
    <w:p>
      <w:pPr>
        <w:pStyle w:val="20"/>
        <w:rPr>
          <w:rFonts w:hint="eastAsia"/>
        </w:rPr>
      </w:pPr>
      <w:r>
        <w:rPr>
          <w:rFonts w:hint="eastAsia"/>
        </w:rPr>
        <w:t>在保本周期内，本基金的托管费按前一日基金资产净值的0.2%的年费率计提。托管费的计算方法如下：</w:t>
      </w:r>
      <w:r>
        <w:rPr>
          <w:rFonts w:hint="eastAsia"/>
        </w:rPr>
        <w:br w:type="textWrapping"/>
      </w:r>
      <w:r>
        <w:rPr>
          <w:rFonts w:hint="eastAsia"/>
        </w:rPr>
        <w:t>H＝E×0.2%÷当年天数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基金托管费每日计算，逐日累计至每月月末，按月支付，经基金管理人与基金托管人双方核对无误后，基金托管人按照与基金管理人协商一致的方式于次月前2 个工作日内从基金财产中一次性支取。若遇法定节假日、公休日等，支付日期顺延。本基金在到期操作期（除保本周期到期日）和过渡期内不收取托管费。</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2526"/>
        <w:gridCol w:w="2492"/>
        <w:gridCol w:w="2492"/>
        <w:gridCol w:w="1535"/>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创金合信鑫安保本混合C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1,479,377.20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1,479,377.20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1,479,377.20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1,479,377.20</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创金合信鑫安保本混合C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1,121,680.34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1,121,680.34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1,121,680.34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1,121,680.34</w:t>
            </w:r>
          </w:p>
        </w:tc>
      </w:tr>
    </w:tbl>
    <w:p>
      <w:pPr>
        <w:pStyle w:val="20"/>
        <w:rPr>
          <w:rFonts w:hint="eastAsia"/>
        </w:rPr>
      </w:pPr>
      <w:r>
        <w:rPr>
          <w:rFonts w:hint="eastAsia"/>
        </w:rPr>
        <w:t>注：支付基金销售机构的销售服务费按前一日C类基金的基金资产净值0.8%的年费率计提，逐日累计至每月月底，按月支付给创金合信基金管理有限公司，再由创金合信基金管理有限公司计算并支付给各基金销售机构。其计算公式为：日销售服务费＝C类基金前一日基金资产净值× 0.8%/ 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3112"/>
        <w:gridCol w:w="1169"/>
        <w:gridCol w:w="1169"/>
        <w:gridCol w:w="1852"/>
        <w:gridCol w:w="1743"/>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2017年01月01日至2017年12月31日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2016年05月11日（基金合同生效日）至2016年12月31日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7,895,723.62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126,338.56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20,019,737.05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370,393.58</w:t>
            </w:r>
          </w:p>
        </w:tc>
      </w:tr>
    </w:tbl>
    <w:p>
      <w:pPr>
        <w:pStyle w:val="20"/>
        <w:rPr>
          <w:rFonts w:hint="eastAsia"/>
        </w:rPr>
      </w:pPr>
      <w:r>
        <w:rPr>
          <w:rFonts w:hint="eastAsia"/>
        </w:rPr>
        <w:t>本基金的银行存款由基金托管人中国工商银行保管,按银行同业存款利率计息。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本基金本报告期及上年度可比期间无需作说明的其他关联交易事项。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796"/>
        <w:gridCol w:w="797"/>
        <w:gridCol w:w="797"/>
        <w:gridCol w:w="797"/>
        <w:gridCol w:w="797"/>
        <w:gridCol w:w="797"/>
        <w:gridCol w:w="797"/>
        <w:gridCol w:w="993"/>
        <w:gridCol w:w="797"/>
        <w:gridCol w:w="797"/>
        <w:gridCol w:w="797"/>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18,357.45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778"/>
        <w:gridCol w:w="778"/>
        <w:gridCol w:w="778"/>
        <w:gridCol w:w="778"/>
        <w:gridCol w:w="779"/>
        <w:gridCol w:w="779"/>
        <w:gridCol w:w="779"/>
        <w:gridCol w:w="1176"/>
        <w:gridCol w:w="779"/>
        <w:gridCol w:w="779"/>
        <w:gridCol w:w="779"/>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611,241.51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511,098.00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商赢环球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185,447.00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中天金融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中国船舶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中船防务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widowControl/>
        <w:jc w:val="left"/>
        <w:rPr>
          <w:rFonts w:hint="eastAsia" w:ascii="宋体" w:hAnsi="宋体" w:cs="宋体"/>
          <w:kern w:val="0"/>
          <w:sz w:val="24"/>
          <w:szCs w:val="24"/>
        </w:rPr>
      </w:pPr>
      <w:r>
        <w:rPr>
          <w:rFonts w:hint="eastAsia" w:ascii="宋体" w:hAnsi="宋体" w:cs="宋体"/>
          <w:kern w:val="0"/>
          <w:sz w:val="24"/>
          <w:szCs w:val="24"/>
        </w:rPr>
        <w:t xml:space="preserve">  截至本报告期末2017年12月31日止，本基金从事银行间市场债券正回购交易形成的卖出回购证券款余额34,999,827.50元，是以如下债券作为抵押： </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1458"/>
        <w:gridCol w:w="1458"/>
        <w:gridCol w:w="1458"/>
        <w:gridCol w:w="1458"/>
        <w:gridCol w:w="1672"/>
        <w:gridCol w:w="1458"/>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回购到期日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101374003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13北控集MTN001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35,122,500.00</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rPr>
              <w:t>0.00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基金从事证券交易所债券正回购交易形成的卖出回购证券款余额146,715,000.00元，于2018年1月2日和2018年1月4日先后到期。该类交易要求本基金在回购期内持有的证券交易所交易的债券和/或在新质押式回购下转入质押库的债券,按证券交易所规定的比例折算为标准券后,不低于债券回购交易的余额。</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r>
        <w:rPr>
          <w:rFonts w:hint="eastAsia"/>
        </w:rPr>
        <w:br w:type="textWrapping"/>
      </w:r>
      <w:r>
        <w:rPr>
          <w:rFonts w:hint="eastAsia"/>
        </w:rPr>
        <w:t>  </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226"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70,237,000.00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59,884,000.00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231,171,300.00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115,231,180.20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301,408,300.00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175,115,180.20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226"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426,800,780.10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1,263,972,591.40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39,976,000.00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50,455,000.00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466,841,045.10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1,314,427,591.40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除卖出回购金融资产款余额中有181714827.50元将在1个月以内到期且计息(该利息金额不重大)外，本基金所承担的其他金融负债的合约约定到期日均为一个月以内且不计息，可赎回基金份额净值(所有者权益)无固定到期日且不计息，因此账面余额约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973225819.98元，超过经确认的当日净赎回金额。于2017年12月31日，本基金持有的流动性受限资产的估值占基金资产净值的比例为0.24%，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本基金主要投资于交易所及银行间市场交易的固定收益品种，因此存在相应的利率风险。</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226" w:type="dxa"/>
        <w:tblLayout w:type="autofit"/>
        <w:tblCellMar>
          <w:top w:w="0" w:type="dxa"/>
          <w:left w:w="108" w:type="dxa"/>
          <w:bottom w:w="0" w:type="dxa"/>
          <w:right w:w="108" w:type="dxa"/>
        </w:tblCellMar>
      </w:tblPr>
      <w:tblGrid>
        <w:gridCol w:w="2007"/>
        <w:gridCol w:w="1469"/>
        <w:gridCol w:w="1546"/>
        <w:gridCol w:w="1085"/>
        <w:gridCol w:w="1392"/>
        <w:gridCol w:w="1546"/>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7,895,723.62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7,895,723.62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2,981,431.10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2,981,431.10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70,718.22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70,718.22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610,510,597.50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157,263,595.90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475,151.70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115,095,471.64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883,344,816.74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69,468,464.21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69,468,464.21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14,483,111.15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14,483,111.15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690,926,934.65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157,263,595.90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475,151.70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129,580,011.35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978,245,693.60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181,714,827.50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181,714,827.50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1,117,619.52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1,117,619.52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818,984.42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818,984.42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136,497.40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136,497.40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131,691.62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131,691.62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43,636.66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43,636.66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224,136.45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224,136.45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209,077.84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209,077.84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181,714,827.50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2,681,643.91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184,396,471.41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509,212,107.15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157,263,595.90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475,151.70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126,898,367.44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793,849,222.19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上年度末2016年12月31日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20,019,737.05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20,019,737.05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5,206,255.03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5,206,255.03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81,998.38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81,998.38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227,531,504.40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1,262,011,267.20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196,884,565.49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1,686,427,337.09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1,210,191.08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1,210,191.08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24,588,153.99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24,588,153.99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629.07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252,839,494.86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1,262,011,267.20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222,683,539.63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1,737,534,301.69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671,808,857.28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671,808,857.28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249,013.77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1,228,310.00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1,228,310.00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204,718.33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204,718.33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177,116.60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177,116.60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438,231.83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438,231.83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504,943.71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504,943.71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190,811.44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190,811.44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671,808,857.28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2,993,145.68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674,802,002.96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-418,969,362.42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1,262,011,267.20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219,690,393.95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1,062,732,298.73</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tbl>
      <w:tblPr>
        <w:tblStyle w:val="7"/>
        <w:tblW w:w="9120" w:type="dxa"/>
        <w:tblInd w:w="226" w:type="dxa"/>
        <w:tblLayout w:type="autofit"/>
        <w:tblCellMar>
          <w:top w:w="0" w:type="dxa"/>
          <w:left w:w="108" w:type="dxa"/>
          <w:bottom w:w="0" w:type="dxa"/>
          <w:right w:w="108" w:type="dxa"/>
        </w:tblCellMar>
      </w:tblPr>
      <w:tblGrid>
        <w:gridCol w:w="1083"/>
        <w:gridCol w:w="3421"/>
        <w:gridCol w:w="2308"/>
        <w:gridCol w:w="2308"/>
      </w:tblGrid>
      <w:tr>
        <w:tblPrEx>
          <w:tblCellMar>
            <w:top w:w="0" w:type="dxa"/>
            <w:left w:w="108" w:type="dxa"/>
            <w:bottom w:w="0" w:type="dxa"/>
            <w:right w:w="108" w:type="dxa"/>
          </w:tblCellMar>
        </w:tblPrEx>
        <w:trPr>
          <w:wBefore w:w="0" w:type="auto"/>
        </w:trPr>
        <w:tc>
          <w:tcPr>
            <w:tcW w:w="10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7946"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除市场利率以外的其他市场变量保持不变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-899,299.66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-6,417,508.84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902,496.95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6,467,036.14</w:t>
            </w:r>
          </w:p>
        </w:tc>
      </w:tr>
    </w:tbl>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226" w:type="dxa"/>
        <w:tblLayout w:type="autofit"/>
        <w:tblCellMar>
          <w:top w:w="0" w:type="dxa"/>
          <w:left w:w="108" w:type="dxa"/>
          <w:bottom w:w="0" w:type="dxa"/>
          <w:right w:w="108" w:type="dxa"/>
        </w:tblCellMar>
      </w:tblPr>
      <w:tblGrid>
        <w:gridCol w:w="3249"/>
        <w:gridCol w:w="1806"/>
        <w:gridCol w:w="1083"/>
        <w:gridCol w:w="1209"/>
        <w:gridCol w:w="1698"/>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115,095,471.64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196,884,565.49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115,095,471.64</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196,884,565.49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18.53</w:t>
            </w:r>
          </w:p>
        </w:tc>
      </w:tr>
    </w:tbl>
    <w:p>
      <w:pPr>
        <w:pStyle w:val="15"/>
        <w:rPr>
          <w:rFonts w:hint="eastAsia"/>
        </w:rPr>
      </w:pPr>
      <w:r>
        <w:rPr>
          <w:rFonts w:hint="eastAsia"/>
          <w:b/>
          <w:bCs/>
        </w:rPr>
        <w:t>7.4.13.4.3.2 其他价格风险的敏感性分析</w:t>
      </w:r>
    </w:p>
    <w:p>
      <w:pPr>
        <w:pStyle w:val="20"/>
        <w:rPr>
          <w:rFonts w:hint="eastAsia"/>
        </w:rPr>
      </w:pPr>
      <w:r>
        <w:rPr>
          <w:rFonts w:hint="eastAsia"/>
        </w:rPr>
        <w:t>于2017年12月31日，本基金持有的交易性权益类投资公允价值占基金资产净值的比例为14.50%(2016 年12月31日：18.53%)，因此除市场利率和外汇汇率以外的市场价格因素的变动对于本基金资产净值无重大影响(2016年12月31日：同)。</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113,695,053.44元,属于第二层次的余额为769,649,763.30元,无属于第三层次的余额(2016年12月31日:第一层次180,497,279.16元,第二层次1,505,930,057.93元,无属于第三层次的余额)。</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本基金本期持有的以公允价值计量的金融工具的公允价值所属层次未发生重大变动。</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于2017年12月31日,本基金未持有非持续的以公允价值计量的金融资产(2016年12月31日:同)。</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88996"/>
      <w:r>
        <w:rPr>
          <w:rFonts w:hint="eastAsia" w:hAnsi="Calibri"/>
          <w:b/>
          <w:color w:val="000000"/>
        </w:rPr>
        <w:t>§8 投资组合报告</w:t>
      </w:r>
      <w:bookmarkEnd w:id="35"/>
    </w:p>
    <w:p>
      <w:pPr>
        <w:pStyle w:val="14"/>
        <w:rPr>
          <w:rFonts w:hint="eastAsia"/>
        </w:rPr>
      </w:pPr>
      <w:bookmarkStart w:id="36" w:name="_Toc510188997"/>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718"/>
        <w:gridCol w:w="3587"/>
        <w:gridCol w:w="2507"/>
        <w:gridCol w:w="2150"/>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115,095,471.64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115,095,471.64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768,249,345.10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768,249,345.10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69,468,464.21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10,877,154.72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14,555,257.93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978,245,693.60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88998"/>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226" w:type="dxa"/>
        <w:tblLayout w:type="autofit"/>
        <w:tblCellMar>
          <w:top w:w="0" w:type="dxa"/>
          <w:left w:w="108" w:type="dxa"/>
          <w:bottom w:w="0" w:type="dxa"/>
          <w:right w:w="108" w:type="dxa"/>
        </w:tblCellMar>
      </w:tblPr>
      <w:tblGrid>
        <w:gridCol w:w="718"/>
        <w:gridCol w:w="3940"/>
        <w:gridCol w:w="2154"/>
        <w:gridCol w:w="2150"/>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127,053.00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4,609,008.00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41,275,625.59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1,862,530.20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5,653,799.00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2,488,809.20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5,641,645.11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1,901,305.34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43,173,318.20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7,106,344.00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0.90</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301,513.00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102,789.00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347,383.00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102,909.00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115,095,471.64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14.50</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88999"/>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811"/>
        <w:gridCol w:w="1604"/>
        <w:gridCol w:w="1604"/>
        <w:gridCol w:w="1691"/>
        <w:gridCol w:w="1604"/>
        <w:gridCol w:w="1648"/>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4,548,700.00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2,796,380.65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2,585,682.00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2,446,440.00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2,026,745.28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1,964,020.00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1,941,957.00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1,885,233.00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1,863,900.00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1,814,732.35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1,775,680.00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1,764,882.00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1,748,395.00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1,747,980.00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1,744,840.00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1,707,616.00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1,668,603.20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1,648,031.00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1,608,008.00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1,527,573.00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1,506,340.00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1,450,449.00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1,389,885.00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1,384,989.00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1,363,072.00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1,352,278.00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1,342,341.00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1,322,852.20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1,288,737.00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1,248,786.00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1,228,492.00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1,199,778.00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韶钢松山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1,169,520.00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1,135,750.00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中国核电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1,126,020.00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八一钢铁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凌钢股份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1,053,270.00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1,022,623.00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981,111.00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937,729.00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525,939.54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511,098.00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商赢环球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士兰微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334,831.00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228,774.00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康得新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苏宁云商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176,319.00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复星医药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166,537.00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164,882.00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永辉超市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149,480.50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140,740.45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碧水源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宇通客车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三聚环保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东阿阿胶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汇川技术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美年健康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中信国安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安信信托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中航飞机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天士力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葛洲坝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恒生电子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老板电器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海航控股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81,618.00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中天金融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华闻传媒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盐湖股份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铜陵有色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金隅股份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片仔癀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牧原股份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同仁堂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紫光国芯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启迪桑德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南京新百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中国船舶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小商品城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百利电气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中国宝安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网宿科技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中国卫星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国轩高科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神州高铁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华谊兄弟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华兰生物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长城汽车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万向钱潮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陆家嘴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海油工程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宋城演艺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 光 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必康股份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城投控股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张江高科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掌趣科技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世纪华通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天茂集团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同花顺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电广传媒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光线传媒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贵阳银行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际华集团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海南橡胶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巨人网络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三七互娱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中船防务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石基信息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华策影视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游族网络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奥飞娱乐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28,451.80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苏宁环球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贵州百灵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圣农发展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圆通速递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中国核建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石化油服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三角轮胎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杭州银行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玲珑轮胎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步长制药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张家港行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视源股份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裕同科技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pStyle w:val="14"/>
        <w:rPr>
          <w:rFonts w:hint="eastAsia"/>
        </w:rPr>
      </w:pPr>
      <w:bookmarkStart w:id="39" w:name="_Toc510189000"/>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930"/>
        <w:gridCol w:w="2004"/>
        <w:gridCol w:w="2004"/>
        <w:gridCol w:w="2004"/>
        <w:gridCol w:w="2020"/>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14,220,039.00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11,521,840.66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9,167,658.21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8,493,617.00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7,747,235.00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7,743,996.00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7,166,339.37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6,920,379.00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6,918,891.87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6,046,268.00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5,879,188.00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5,764,658.00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5,640,280.91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5,616,886.82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5,536,832.00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5,506,383.00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5,445,362.00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5,434,708.00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5,248,876.00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4,947,695.00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930"/>
        <w:gridCol w:w="2004"/>
        <w:gridCol w:w="2004"/>
        <w:gridCol w:w="2004"/>
        <w:gridCol w:w="2020"/>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11,312,740.07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9,965,754.00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8,228,387.00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8,028,990.20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6,326,285.00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6,119,915.00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6,007,480.00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5,790,348.37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5,274,206.00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5,114,226.00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5,036,817.00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5,032,635.14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5,026,833.00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4,879,438.00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4,829,791.00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4,792,453.03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4,763,703.00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4,487,722.00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珍宝岛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4,390,454.04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4,264,928.87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226" w:type="dxa"/>
        <w:tblLayout w:type="autofit"/>
        <w:tblCellMar>
          <w:top w:w="0" w:type="dxa"/>
          <w:left w:w="108" w:type="dxa"/>
          <w:bottom w:w="0" w:type="dxa"/>
          <w:right w:w="108" w:type="dxa"/>
        </w:tblCellMar>
      </w:tblPr>
      <w:tblGrid>
        <w:gridCol w:w="3944"/>
        <w:gridCol w:w="5018"/>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794,735,588.31</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883,397,932.43</w:t>
            </w:r>
          </w:p>
        </w:tc>
      </w:tr>
    </w:tbl>
    <w:p>
      <w:pPr>
        <w:pStyle w:val="20"/>
        <w:rPr>
          <w:rFonts w:hint="eastAsia"/>
        </w:rPr>
      </w:pPr>
      <w:r>
        <w:rPr>
          <w:rFonts w:hint="eastAsia"/>
        </w:rPr>
        <w:t>买入股票成本、卖出股票收入均按买卖成交金额填列,不考虑相关交易费用。</w:t>
      </w:r>
    </w:p>
    <w:p>
      <w:pPr>
        <w:pStyle w:val="14"/>
        <w:rPr>
          <w:rFonts w:hint="eastAsia"/>
        </w:rPr>
      </w:pPr>
      <w:bookmarkStart w:id="40" w:name="_Toc510189001"/>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718"/>
        <w:gridCol w:w="2511"/>
        <w:gridCol w:w="2508"/>
        <w:gridCol w:w="3225"/>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39,976,000.00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39,976,000.00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205,421,297.50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291,526,800.00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190,341,000.00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31,102,747.60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9,881,500.00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768,249,345.10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96.78</w:t>
            </w:r>
          </w:p>
        </w:tc>
      </w:tr>
    </w:tbl>
    <w:p>
      <w:pPr>
        <w:pStyle w:val="14"/>
        <w:rPr>
          <w:rFonts w:hint="eastAsia"/>
        </w:rPr>
      </w:pPr>
      <w:bookmarkStart w:id="41" w:name="_Toc510189002"/>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226" w:type="dxa"/>
        <w:tblLayout w:type="autofit"/>
        <w:tblCellMar>
          <w:top w:w="0" w:type="dxa"/>
          <w:left w:w="108" w:type="dxa"/>
          <w:bottom w:w="0" w:type="dxa"/>
          <w:right w:w="108" w:type="dxa"/>
        </w:tblCellMar>
      </w:tblPr>
      <w:tblGrid>
        <w:gridCol w:w="807"/>
        <w:gridCol w:w="1586"/>
        <w:gridCol w:w="1586"/>
        <w:gridCol w:w="1766"/>
        <w:gridCol w:w="1586"/>
        <w:gridCol w:w="163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101374003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13北控集MTN001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60,210,000.00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101559018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15南瑞MTN001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50,125,000.00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011754115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17澜沧江SCP006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16葛洲02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48,745,000.00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112318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16白药01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48,725,000.00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w:t>
            </w:r>
          </w:p>
        </w:tc>
      </w:tr>
    </w:tbl>
    <w:p>
      <w:pPr>
        <w:pStyle w:val="14"/>
        <w:rPr>
          <w:rFonts w:hint="eastAsia"/>
        </w:rPr>
      </w:pPr>
      <w:bookmarkStart w:id="42" w:name="_Toc510189003"/>
      <w:r>
        <w:rPr>
          <w:rFonts w:hint="eastAsia"/>
          <w:b/>
          <w:bCs/>
        </w:rPr>
        <w:t>8.7 期末按公允价值占基金资产净值比例大小排序的所有资产支持证券投资明细</w:t>
      </w:r>
      <w:bookmarkEnd w:id="42"/>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89004"/>
      <w:r>
        <w:rPr>
          <w:rFonts w:hint="eastAsia"/>
          <w:b/>
          <w:bCs/>
        </w:rPr>
        <w:t>8.8 报告期末按公允价值占基金资产净值比例大小排序的前五名贵金属投资明细</w:t>
      </w:r>
      <w:bookmarkEnd w:id="43"/>
    </w:p>
    <w:tbl>
      <w:tblPr>
        <w:tblStyle w:val="7"/>
        <w:tblW w:w="0" w:type="auto"/>
        <w:tblInd w:w="216"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89005"/>
      <w:r>
        <w:rPr>
          <w:rFonts w:hint="eastAsia"/>
          <w:b/>
          <w:bCs/>
        </w:rPr>
        <w:t>8.9 期末按公允价值占基金资产净值比例大小排序的前五名权证投资明细</w:t>
      </w:r>
      <w:bookmarkEnd w:id="44"/>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89006"/>
      <w:r>
        <w:rPr>
          <w:rFonts w:hint="eastAsia"/>
          <w:b/>
          <w:bCs/>
        </w:rPr>
        <w:t>8.10 报告期末本基金投资的股指期货交易情况说明</w:t>
      </w:r>
      <w:bookmarkEnd w:id="45"/>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6" w:name="_Toc510189007"/>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89008"/>
      <w:r>
        <w:rPr>
          <w:rFonts w:hint="eastAsia"/>
          <w:b/>
          <w:bCs/>
        </w:rPr>
        <w:t>8.12 投资组合报告附注</w:t>
      </w:r>
      <w:bookmarkEnd w:id="47"/>
    </w:p>
    <w:p>
      <w:pPr>
        <w:pStyle w:val="15"/>
        <w:rPr>
          <w:rFonts w:hint="eastAsia"/>
        </w:rPr>
      </w:pPr>
      <w:r>
        <w:rPr>
          <w:rFonts w:hint="eastAsia"/>
          <w:b/>
          <w:bCs/>
        </w:rPr>
        <w:t>8.12.1 2017年5月5日，西南证券股份有限公司（下称"西南证券"，股票代码：600369）及河南大有能源股份有限公司（以下简称大有能源）2012年非公开发行股票项目及持续督导保荐代表人李阳、吕德富、梁俊收到《中国证券监督管理委员会行政处罚事先告知书》（处罚字[2017]46号，以下简称《行政处罚事先告知书》），告知书主要内容为：一、对西南证券的违法行为责令改正，给予警告，没收业务收入1,000万元，并处以2,000万元罚款； 二、对直接负责的主管人员李阳、吕德富给予警告，并分别处以30万元罚款； 三、对直接负责的主管人员梁俊给予警告，并处以15万元罚款。；</w:t>
      </w:r>
      <w:r>
        <w:rPr>
          <w:rFonts w:hint="eastAsia"/>
          <w:b/>
          <w:bCs/>
        </w:rPr>
        <w:br w:type="textWrapping"/>
      </w:r>
      <w:r>
        <w:rPr>
          <w:rFonts w:hint="eastAsia"/>
          <w:b/>
          <w:bCs/>
        </w:rPr>
        <w:t>  2017年5月9日，西南证券股份有限公司（下称"西南证券"，股票代码：600369）及鞍山重型矿山机器股份有限公司（以下简称鞍重股份）2016年重大资产重组财务顾问主办人童星、朱正贵收到中国证券监督管理委员会（以下简称中国证监会）《行政处罚事先告知书》（处罚字〔2017〕48号），主要内容为：一、责令西南证券改正违法行为，没收业务收入100万元，并处罚款500万元； 二、对童星、朱正贵分别给予警告,并分别处以10万元罚款。 </w:t>
      </w:r>
      <w:r>
        <w:rPr>
          <w:rFonts w:hint="eastAsia"/>
          <w:b/>
          <w:bCs/>
        </w:rPr>
        <w:br w:type="textWrapping"/>
      </w:r>
      <w:r>
        <w:rPr>
          <w:rFonts w:hint="eastAsia"/>
          <w:b/>
          <w:bCs/>
        </w:rPr>
        <w:t>  本基金投研人员分析认为，在受到处罚后，西南证券股份有限公司改正态度积极，并迅速做出反应，查找不足，积极整改。该事件发生后该公司经营状况正常，2017年前三季度净利润达6亿元，并未对西南证券业绩造成重大影响。该公司作为西南地区龙头券商之一，在西南区域业务覆盖面广而深，未来整体业务稳定性有一定的保障，同时西南证券整体负债率处于同行业的中下水平，整体资产质量较高，信用风险极低，因此维持持有评级。本基金基金经理依据基金合同和公司投资管理制度，在投资授权范围内，经正常投资决策程序对债券14西南01，债券代码122379.SH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226" w:type="dxa"/>
        <w:tblLayout w:type="autofit"/>
        <w:tblCellMar>
          <w:top w:w="0" w:type="dxa"/>
          <w:left w:w="108" w:type="dxa"/>
          <w:bottom w:w="0" w:type="dxa"/>
          <w:right w:w="108" w:type="dxa"/>
        </w:tblCellMar>
      </w:tblPr>
      <w:tblGrid>
        <w:gridCol w:w="709"/>
        <w:gridCol w:w="3785"/>
        <w:gridCol w:w="4468"/>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70,718.22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14,483,111.15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1,428.56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14,555,257.93</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tbl>
      <w:tblPr>
        <w:tblStyle w:val="7"/>
        <w:tblW w:w="0" w:type="auto"/>
        <w:tblInd w:w="216"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本基金本报告期末前十名股票中不存在流通受限情况。</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89009"/>
      <w:r>
        <w:rPr>
          <w:rFonts w:hint="eastAsia" w:hAnsi="Calibri"/>
          <w:b/>
          <w:color w:val="000000"/>
        </w:rPr>
        <w:t>§9  基金份额持有人信息</w:t>
      </w:r>
      <w:bookmarkEnd w:id="48"/>
    </w:p>
    <w:p>
      <w:pPr>
        <w:pStyle w:val="14"/>
        <w:rPr>
          <w:rFonts w:hint="eastAsia"/>
        </w:rPr>
      </w:pPr>
      <w:bookmarkStart w:id="49" w:name="_Toc510189010"/>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142,948.76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574,654,005.35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113,292.19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182,740,299.20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757,394,304.55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50" w:name="_Toc510189011"/>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232,253.24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21,001.94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253,255.18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0.0300%</w:t>
            </w:r>
          </w:p>
        </w:tc>
      </w:tr>
    </w:tbl>
    <w:p>
      <w:pPr>
        <w:widowControl/>
        <w:jc w:val="left"/>
        <w:rPr>
          <w:rFonts w:hint="eastAsia" w:ascii="宋体" w:hAnsi="宋体" w:cs="宋体"/>
          <w:kern w:val="0"/>
          <w:sz w:val="24"/>
          <w:szCs w:val="24"/>
        </w:rPr>
      </w:pPr>
    </w:p>
    <w:p>
      <w:pPr>
        <w:pStyle w:val="14"/>
        <w:rPr>
          <w:rFonts w:hint="eastAsia"/>
        </w:rPr>
      </w:pPr>
      <w:bookmarkStart w:id="51" w:name="_Toc510189012"/>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创金合信鑫安保本混合C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3"/>
        <w:rPr>
          <w:rFonts w:hint="eastAsia"/>
        </w:rPr>
      </w:pPr>
      <w:bookmarkStart w:id="52" w:name="_Toc510189013"/>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226" w:type="dxa"/>
        <w:tblLayout w:type="autofit"/>
        <w:tblCellMar>
          <w:top w:w="0" w:type="dxa"/>
          <w:left w:w="108" w:type="dxa"/>
          <w:bottom w:w="0" w:type="dxa"/>
          <w:right w:w="108" w:type="dxa"/>
        </w:tblCellMar>
      </w:tblPr>
      <w:tblGrid>
        <w:gridCol w:w="3617"/>
        <w:gridCol w:w="2714"/>
        <w:gridCol w:w="2714"/>
      </w:tblGrid>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创金合信鑫安保本混合A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创金合信鑫安保本混合C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基金合同生效日(2016年05月11日)基金份额总额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992,436,361.71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273,405,642.49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780,257,561.36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253,047,790.37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545,681.92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745,905.35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206,149,237.93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71,053,396.52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574,654,005.35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182,740,299.20</w:t>
            </w:r>
          </w:p>
        </w:tc>
      </w:tr>
    </w:tbl>
    <w:p>
      <w:pPr>
        <w:pStyle w:val="13"/>
        <w:rPr>
          <w:rFonts w:hint="eastAsia"/>
        </w:rPr>
      </w:pPr>
      <w:bookmarkStart w:id="53" w:name="_Toc510189014"/>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89015"/>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89016"/>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89017"/>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89018"/>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89019"/>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本报告期内本基金未更换会计师事务所,本年度支付给普华永道中天会计师事务所(特殊普通合伙)审计费用100,000.00元,该审计机构连续提供审计服务的年限为2年。</w:t>
      </w:r>
    </w:p>
    <w:p>
      <w:pPr>
        <w:pStyle w:val="14"/>
        <w:rPr>
          <w:rFonts w:hint="eastAsia"/>
        </w:rPr>
      </w:pPr>
      <w:bookmarkStart w:id="59" w:name="_Toc510189020"/>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189021"/>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2152"/>
        <w:gridCol w:w="1080"/>
        <w:gridCol w:w="1733"/>
        <w:gridCol w:w="1050"/>
        <w:gridCol w:w="1299"/>
        <w:gridCol w:w="1050"/>
        <w:gridCol w:w="681"/>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401,151,316.18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88,396.98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2,152,978.41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1,574.47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146,151,550.98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106,882.04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517,928,978.20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374,224.11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2,242,192.00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1,617.10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1,425,264.19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1,042.25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559,237,240.30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404,845.22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40,691,374.27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9,166.12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1,010,943.22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银河证券、光大证券、东吴证券、中信证券、长江证券、天风证券、国泰君安、安信证券、太平洋证券、兴业证券、平安证券、广发证券、申万宏源、西藏东方财富证券、华泰证券、中投证券、广州证券18家券商的36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226" w:type="dxa"/>
        <w:tblLayout w:type="autofit"/>
        <w:tblCellMar>
          <w:top w:w="0" w:type="dxa"/>
          <w:left w:w="108" w:type="dxa"/>
          <w:bottom w:w="0" w:type="dxa"/>
          <w:right w:w="108" w:type="dxa"/>
        </w:tblCellMar>
      </w:tblPr>
      <w:tblGrid>
        <w:gridCol w:w="2151"/>
        <w:gridCol w:w="727"/>
        <w:gridCol w:w="1050"/>
        <w:gridCol w:w="769"/>
        <w:gridCol w:w="1050"/>
        <w:gridCol w:w="599"/>
        <w:gridCol w:w="1050"/>
        <w:gridCol w:w="599"/>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167,215,113.98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2,300,100,000.00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450,540,797.92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3,787,300,000.00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25,951,688.60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2,789,200,000.00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15,545,763.80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2,477,200,000.00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26,301,050.55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178,715,000.00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20,792,433.00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192,500,000.00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159,935,009.39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3,512,394,000.00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282,897,821.11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3,730,500,000.00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3,031.41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1,131,395,000.00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1,509,488.38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642,800,000.00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89022"/>
      <w:r>
        <w:rPr>
          <w:rFonts w:hint="eastAsia"/>
          <w:b/>
          <w:bCs/>
        </w:rPr>
        <w:t>11.8 其他重大事件</w:t>
      </w:r>
      <w:bookmarkEnd w:id="61"/>
    </w:p>
    <w:tbl>
      <w:tblPr>
        <w:tblStyle w:val="7"/>
        <w:tblW w:w="9045" w:type="dxa"/>
        <w:tblInd w:w="226"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创金合信基金管理有限公司关于调整旗下部分开放式证券投资基金申购及赎回金额的公告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创金合信鑫安保本混合型证券投资基金2016年第4季度报告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2017-01-23</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创金合信基金管理有限公司旗下部分开放式证券投资基金增加蛋卷基金为代销机构的公告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创金合信基金管理有限公司旗下部分开放式证券投资基金增加平安证券为代销机构的公告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创金合信基金管理有限公司关于直销柜台申购费率优惠政策调整的公告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创金合信鑫安保本混合型证券投资基金2016年年度报告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创金合信鑫安保本混合型证券投资基金2016年年度报告摘要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创金合信鑫安保本混合型证券投资基金2017年第1季度报告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创金合信鑫安保本混合型证券投资基金（2017年第1号）招募说明书（摘要）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2017-10-19</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创金合信鑫安保本混合型证券投资基金招募说明书（更新）摘要（2017年第2号）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89023"/>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89024"/>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189025"/>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89026"/>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189027"/>
      <w:r>
        <w:rPr>
          <w:rFonts w:hint="eastAsia"/>
          <w:b/>
          <w:bCs/>
        </w:rPr>
        <w:t>13.1 备查文件目录</w:t>
      </w:r>
      <w:r>
        <w:rPr>
          <w:rFonts w:hint="eastAsia"/>
        </w:rPr>
        <w:t>.</w:t>
      </w:r>
      <w:bookmarkEnd w:id="66"/>
    </w:p>
    <w:p>
      <w:pPr>
        <w:pStyle w:val="20"/>
        <w:rPr>
          <w:rFonts w:hint="eastAsia"/>
        </w:rPr>
      </w:pPr>
      <w:r>
        <w:rPr>
          <w:rFonts w:hint="eastAsia"/>
        </w:rPr>
        <w:t>  1、《创金合信鑫安保本混合型证券投资基金基金合同》；</w:t>
      </w:r>
      <w:r>
        <w:rPr>
          <w:rFonts w:hint="eastAsia"/>
        </w:rPr>
        <w:br w:type="textWrapping"/>
      </w:r>
      <w:r>
        <w:rPr>
          <w:rFonts w:hint="eastAsia"/>
        </w:rPr>
        <w:t>  2、《创金合信鑫安保本混合型证券投资基金托管协议》；</w:t>
      </w:r>
      <w:r>
        <w:rPr>
          <w:rFonts w:hint="eastAsia"/>
        </w:rPr>
        <w:br w:type="textWrapping"/>
      </w:r>
      <w:r>
        <w:rPr>
          <w:rFonts w:hint="eastAsia"/>
        </w:rPr>
        <w:t>  3、创金合信鑫安保本混合型证券投资基金2017年年度报告</w:t>
      </w:r>
    </w:p>
    <w:p>
      <w:pPr>
        <w:pStyle w:val="14"/>
        <w:rPr>
          <w:rFonts w:hint="eastAsia"/>
        </w:rPr>
      </w:pPr>
      <w:bookmarkStart w:id="67" w:name="_Toc510189028"/>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189029"/>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w:t>
    </w:r>
    <w:r>
      <w:rPr>
        <w:rStyle w:val="10"/>
      </w:rPr>
      <w:fldChar w:fldCharType="end"/>
    </w:r>
  </w:p>
  <w:p>
    <w:pPr>
      <w:pStyle w:val="2"/>
      <w:jc w:val="center"/>
    </w:pPr>
    <w:r>
      <w:rPr>
        <w:rFonts w:hint="eastAsia"/>
      </w:rPr>
      <w:t xml:space="preserve">                   第       页，共84页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创金合信鑫安保本混合型证券投资基金2017年年度报告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511A"/>
    <w:rsid w:val="0007511A"/>
    <w:rsid w:val="00E330F7"/>
    <w:rsid w:val="67DA233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84</Pages>
  <Words>10126</Words>
  <Characters>57722</Characters>
  <Lines>481</Lines>
  <Paragraphs>135</Paragraphs>
  <TotalTime>0</TotalTime>
  <ScaleCrop>false</ScaleCrop>
  <LinksUpToDate>false</LinksUpToDate>
  <CharactersWithSpaces>67713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2018-03-30T08:00:00Z</dcterms:created>
  <dc:creator>贺祎琪</dc:creator>
  <cp:lastModifiedBy>Administrator</cp:lastModifiedBy>
  <dcterms:modified xsi:type="dcterms:W3CDTF">2019-12-26T14:06:27Z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