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创金合信鑫安保本混合型证券投资基金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基金托管人：中国工商银行股份有限公司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38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3859"/>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基金托管人中国工商银行股份有限公司根据本基金合同规定，于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3860"/>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"_Toc477953858"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_Toc477953858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_Toc477953859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_Toc477953860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"_Toc477953861"</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_Toc477953861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"_Toc477953862"</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_Toc477953862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"_Toc477953863"</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_Toc477953863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"_Toc477953864"</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_Toc477953864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"_Toc477953865"</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_Toc477953865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"_Toc477953866"</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_Toc477953866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"_Toc477953867"</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_Toc477953867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"_Toc477953868"</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_Toc477953868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"_Toc477953869"</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_Toc477953869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"_Toc477953870"</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_Toc477953870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"_Toc477953871"</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_Toc477953871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"_Toc477953872"</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_Toc477953872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"_Toc477953873"</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_Toc477953873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"_Toc477953874"</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_Toc477953874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"_Toc477953875"</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_Toc477953875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"_Toc477953876"</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_Toc477953876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"_Toc477953877"</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_Toc477953877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"_Toc477953878"</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_Toc477953878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"_Toc477953879"</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_Toc477953879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"_Toc477953880"</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_Toc477953880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"_Toc477953881"</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_Toc477953881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"_Toc477953882"</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_Toc477953882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"_Toc477953883"</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_Toc477953883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"_Toc477953884"</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_Toc477953884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"_Toc477953885"</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_Toc477953885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"_Toc477953886"</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_Toc477953886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"_Toc477953887"</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_Toc477953887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"_Toc477953888"</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_Toc477953888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"_Toc477953889"</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_Toc477953889 \h </w:instrText>
      </w:r>
      <w:r>
        <w:rPr>
          <w:lang/>
        </w:rPr>
        <w:fldChar w:fldCharType="separate"/>
      </w:r>
      <w:r>
        <w:rPr>
          <w:lang/>
        </w:rPr>
        <w:t>22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"_Toc477953890"</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_Toc477953890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"_Toc477953891"</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_Toc477953891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_Toc477953892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"_Toc477953893"</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_Toc477953893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"_Toc477953894"</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_Toc477953894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"_Toc477953895"</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_Toc477953895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"_Toc477953896"</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_Toc477953896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"_Toc477953897"</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_Toc477953897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"_Toc477953898"</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_Toc477953898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"_Toc477953899"</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_Toc477953899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"_Toc477953900"</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_Toc477953900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_Toc477953901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_Toc477953902 \h </w:instrText>
      </w:r>
      <w:r>
        <w:rPr>
          <w:lang/>
        </w:rPr>
        <w:fldChar w:fldCharType="separate"/>
      </w:r>
      <w:r>
        <w:rPr>
          <w:lang/>
        </w:rPr>
        <w:t>64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"_Toc477953903"</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_Toc477953903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"_Toc477953904"</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_Toc477953904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"_Toc477953905"</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_Toc477953905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"_Toc477953906"</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_Toc477953906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_Toc477953907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_Toc477953908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_Toc477953909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_Toc477953910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_Toc477953911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_Toc477953912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_Toc477953913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_Toc477953914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_Toc477953915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_Toc477953916 \h </w:instrText>
      </w:r>
      <w:r>
        <w:rPr>
          <w:lang/>
        </w:rPr>
        <w:fldChar w:fldCharType="separate"/>
      </w:r>
      <w:r>
        <w:rPr>
          <w:lang/>
        </w:rPr>
        <w:t>69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"_Toc477953917"</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_Toc477953917 \h </w:instrText>
      </w:r>
      <w:r>
        <w:rPr>
          <w:lang/>
        </w:rPr>
        <w:fldChar w:fldCharType="separate"/>
      </w:r>
      <w:r>
        <w:rPr>
          <w:lang/>
        </w:rPr>
        <w:t>71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"_Toc477953918"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_Toc477953918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_Toc477953919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"_Toc477953920"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_Toc477953920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"_Toc477953921"</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_Toc477953921 \h </w:instrText>
      </w:r>
      <w:r>
        <w:rPr>
          <w:lang/>
        </w:rPr>
        <w:fldChar w:fldCharType="separate"/>
      </w:r>
      <w:r>
        <w:rPr>
          <w:lang/>
        </w:rPr>
        <w:t>72</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386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3862"/>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1,033,305,351.73</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780,257,561.36</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253,047,790.37</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3863"/>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本基金通过运用投资组合保险技术控制本金损失的风险，并力争实现基金资产的稳健增值。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本基金采用恒定比例组合保险策略（</w:t>
            </w:r>
            <w:r>
              <w:rPr>
                <w:rFonts w:ascii="Times New Roman" w:hAnsi="Times New Roman"/>
                <w:color w:val="000000"/>
                <w:kern w:val="0"/>
                <w:sz w:val="24"/>
                <w:szCs w:val="24"/>
              </w:rPr>
              <w:t>Constant Proportion Portfolio Insurance</w:t>
            </w:r>
            <w:r>
              <w:rPr>
                <w:rFonts w:hint="eastAsia" w:ascii="Times New Roman" w:hAnsi="Times New Roman"/>
                <w:color w:val="000000"/>
                <w:kern w:val="0"/>
                <w:sz w:val="24"/>
                <w:szCs w:val="24"/>
              </w:rPr>
              <w:t>，即</w:t>
            </w:r>
            <w:r>
              <w:rPr>
                <w:rFonts w:ascii="Times New Roman" w:hAnsi="Times New Roman"/>
                <w:color w:val="000000"/>
                <w:kern w:val="0"/>
                <w:sz w:val="24"/>
                <w:szCs w:val="24"/>
              </w:rPr>
              <w:t>CPPI</w:t>
            </w:r>
            <w:r>
              <w:rPr>
                <w:rFonts w:hint="eastAsia" w:ascii="Times New Roman" w:hAnsi="Times New Roman"/>
                <w:color w:val="000000"/>
                <w:kern w:val="0"/>
                <w:sz w:val="24"/>
                <w:szCs w:val="24"/>
              </w:rPr>
              <w:t>策略）。基金管理人主要通过数量分析，根据市场的波动来调整和修正安全垫放大倍数（即风险乘数），动态调整安全资产与风险资产的投资比例，以确保基金在一段时间以后其价值不低于事先设定的某一目标价值，从而实现投资组合的保本增值目标。</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两年期人民币定期存款利率（税后）</w:t>
            </w:r>
            <w:r>
              <w:rPr>
                <w:rFonts w:ascii="Times New Roman" w:hAnsi="Times New Roman"/>
                <w:color w:val="000000"/>
                <w:kern w:val="0"/>
                <w:sz w:val="24"/>
                <w:szCs w:val="24"/>
              </w:rPr>
              <w:t>+1%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3864"/>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郭明</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010-66105799</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custody@icbc.com.cn</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100140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易会满</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3865"/>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证券时报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3866"/>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38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3868"/>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44,500,073.09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10,919,161.13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29,001,371.38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6,788,160.97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23,175,754.23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6,251,192.77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803,433,315.59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259,298,983.14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3869"/>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387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3871"/>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王一兵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基金经理、固定收益部总监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王一兵先生，中国国籍，四川大学</w:t>
            </w:r>
            <w:r>
              <w:rPr>
                <w:rFonts w:ascii="Times New Roman" w:hAnsi="Times New Roman"/>
                <w:color w:val="000000"/>
                <w:kern w:val="0"/>
                <w:sz w:val="24"/>
                <w:szCs w:val="24"/>
              </w:rPr>
              <w:t>MBA</w:t>
            </w:r>
            <w:r>
              <w:rPr>
                <w:rFonts w:hint="eastAsia" w:ascii="Times New Roman" w:hAnsi="Times New Roman"/>
                <w:color w:val="000000"/>
                <w:kern w:val="0"/>
                <w:sz w:val="24"/>
                <w:szCs w:val="24"/>
              </w:rPr>
              <w:t>。</w:t>
            </w:r>
            <w:r>
              <w:rPr>
                <w:rFonts w:ascii="Times New Roman" w:hAnsi="Times New Roman"/>
                <w:color w:val="000000"/>
                <w:kern w:val="0"/>
                <w:sz w:val="24"/>
                <w:szCs w:val="24"/>
              </w:rPr>
              <w:t>1994</w:t>
            </w:r>
            <w:r>
              <w:rPr>
                <w:rFonts w:hint="eastAsia" w:ascii="Times New Roman" w:hAnsi="Times New Roman"/>
                <w:color w:val="000000"/>
                <w:kern w:val="0"/>
                <w:sz w:val="24"/>
                <w:szCs w:val="24"/>
              </w:rPr>
              <w:t>年即进入证券期货行业，作为公司出市代表任海南中商期货交易所红马甲。</w:t>
            </w:r>
            <w:r>
              <w:rPr>
                <w:rFonts w:ascii="Times New Roman" w:hAnsi="Times New Roman"/>
                <w:color w:val="000000"/>
                <w:kern w:val="0"/>
                <w:sz w:val="24"/>
                <w:szCs w:val="24"/>
              </w:rPr>
              <w:t>1997</w:t>
            </w:r>
            <w:r>
              <w:rPr>
                <w:rFonts w:hint="eastAsia" w:ascii="Times New Roman" w:hAnsi="Times New Roman"/>
                <w:color w:val="000000"/>
                <w:kern w:val="0"/>
                <w:sz w:val="24"/>
                <w:szCs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程志田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程志田先生，中国国籍，金融学硕士，</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月加入长江证券股份有限公司任高级研究经理。</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月加入国海证券股份有限公司任金融工程总监。</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月加入摩根士丹利华鑫基金管理有限公司，于</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日至</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日担任大摩深证</w:t>
            </w:r>
            <w:r>
              <w:rPr>
                <w:rFonts w:ascii="Times New Roman" w:hAnsi="Times New Roman"/>
                <w:color w:val="000000"/>
                <w:kern w:val="0"/>
                <w:sz w:val="24"/>
                <w:szCs w:val="24"/>
              </w:rPr>
              <w:t>300</w:t>
            </w:r>
            <w:r>
              <w:rPr>
                <w:rFonts w:hint="eastAsia" w:ascii="Times New Roman" w:hAnsi="Times New Roman"/>
                <w:color w:val="000000"/>
                <w:kern w:val="0"/>
                <w:sz w:val="24"/>
                <w:szCs w:val="24"/>
              </w:rPr>
              <w:t>基金的基金经理。</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月加入泰康资产管理有限责任公司任量化投资总监。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月加入创金合信基金管理有限公司，现任量化投资部总监、基金经理。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3872"/>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安保本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3873"/>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6</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3874"/>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在债券投资部分，</w:t>
      </w: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在权益投资部分，回顾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年四季度，我们严格依据量化模型进行投资，并严格进行风险管理。一方面，量化选股模型提供了持续稳健的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3.00%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2.50%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1.99%</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3875"/>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3876"/>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3877"/>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3878"/>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387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3880"/>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托管人在对创金合信鑫安保本混合型证券投资基金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3881"/>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本报告期内，创金合信鑫安保本混合型证券投资基金的管理人</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基金管理有限公司在创金合信鑫安保本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鑫安保本混合型证券投资基金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3882"/>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本托管人依法对创金合信基金管理有限公司编制和披露的创金合信鑫安保本混合型证券投资基金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年年度报告中财务指标、净值表现、利润分配情况、财务会计报告、投资组合报告等内容进行了核查，以上内容真实、准确和完整。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388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3884"/>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22098</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3885"/>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我们审计了后附的创金合信鑫安保本混合型证券投资基金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编制和公允列报财务报表是创金合信鑫安保本混合基金的基金管理人创金合信基金管理有限公司管理层的责任。这种责任包括：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安保本混合基金的财务报表在所有重大方面按照企业会计准则和在财务报表附注中所列示的中国证监会、中国基金业协会发布的有关规定及允许的基金行业实务操作编制，公允反映了创金合信鑫安保本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388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3887"/>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674,802,002.96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29,426,947.00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1,062,732,298.73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1,033,305,351.73</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780,257,561.36</w:t>
      </w:r>
      <w:r>
        <w:rPr>
          <w:rFonts w:hint="eastAsia" w:ascii="Times New Roman" w:hAnsi="Times New Roman"/>
          <w:color w:val="000000"/>
          <w:kern w:val="0"/>
          <w:szCs w:val="24"/>
        </w:rPr>
        <w:t>份，份额净值</w:t>
      </w:r>
      <w:r>
        <w:rPr>
          <w:rFonts w:ascii="Times New Roman" w:hAnsi="Times New Roman"/>
          <w:color w:val="000000"/>
          <w:kern w:val="0"/>
          <w:szCs w:val="24"/>
        </w:rPr>
        <w:t>1.030</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253,047,790.37</w:t>
      </w:r>
      <w:r>
        <w:rPr>
          <w:rFonts w:hint="eastAsia" w:ascii="Times New Roman" w:hAnsi="Times New Roman"/>
          <w:color w:val="000000"/>
          <w:kern w:val="0"/>
          <w:szCs w:val="24"/>
        </w:rPr>
        <w:t>份，份额净值</w:t>
      </w:r>
      <w:r>
        <w:rPr>
          <w:rFonts w:ascii="Times New Roman" w:hAnsi="Times New Roman"/>
          <w:color w:val="000000"/>
          <w:kern w:val="0"/>
          <w:szCs w:val="24"/>
        </w:rPr>
        <w:t>1.025</w:t>
      </w:r>
      <w:r>
        <w:rPr>
          <w:rFonts w:hint="eastAsia" w:ascii="Times New Roman" w:hAnsi="Times New Roman"/>
          <w:color w:val="000000"/>
          <w:kern w:val="0"/>
          <w:szCs w:val="24"/>
        </w:rPr>
        <w:t>元。</w:t>
      </w:r>
    </w:p>
    <w:p>
      <w:pPr>
        <w:autoSpaceDE w:val="0"/>
        <w:autoSpaceDN w:val="0"/>
        <w:adjustRightInd w:val="0"/>
        <w:spacing w:before="29"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3888"/>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55,390,312.23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28,605,936.32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643,050.79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27,543,619.74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419,265.79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44,497,532.13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19,600,779.88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9,680,601.54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1,613,433.55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1,387,375.95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1,758,383.87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4,951,283.80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4,951,283.80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3889"/>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1,265,842,004.20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1,265,842,004.20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-232,536,652.47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-6,362,585.35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-238,899,237.82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10,189,509.88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263,107.19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10,452,617.07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-242,726,162.35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-6,625,692.54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-249,351,854.89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1,062,732,298.73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3890"/>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[2016]488</w:t>
      </w:r>
      <w:r>
        <w:rPr>
          <w:rFonts w:hint="eastAsia" w:ascii="Times New Roman" w:hAnsi="Times New Roman"/>
          <w:color w:val="000000"/>
          <w:kern w:val="0"/>
          <w:sz w:val="24"/>
          <w:szCs w:val="24"/>
        </w:rPr>
        <w:t>号《关于准予创金合信鑫安保本混合型证券投资基金注册的批复》核准，由创金合信基金管理有限公司依照《中华人民共和国证券投资基金法》和《创金合信鑫安保本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1,265,284,467.96</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478</w:t>
      </w:r>
      <w:r>
        <w:rPr>
          <w:rFonts w:hint="eastAsia" w:ascii="Times New Roman" w:hAnsi="Times New Roman"/>
          <w:color w:val="000000"/>
          <w:kern w:val="0"/>
          <w:sz w:val="24"/>
          <w:szCs w:val="24"/>
        </w:rPr>
        <w:t>号验资报告予以验证。经向中国证监会备案，《创金合信鑫安保本混合型证券投资基金基金合同》于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1,265,842,004.20</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557,536.24</w:t>
      </w:r>
      <w:r>
        <w:rPr>
          <w:rFonts w:hint="eastAsia" w:ascii="Times New Roman" w:hAnsi="Times New Roman"/>
          <w:color w:val="000000"/>
          <w:kern w:val="0"/>
          <w:sz w:val="24"/>
          <w:szCs w:val="24"/>
        </w:rPr>
        <w:t>份基金份额。本基金的基金管理人为创金合信基金管理有限公司，基金托管人为中国工商银行股份有限公司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根据《中华人民共和国证券投资基金法》和《创金合信鑫安保本混合型证券投资基金基金合同》的有关规定，本基金的投资范围为具有良好流动性的金融工具，包括国内依法发行上市的股票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包括中小板、创业板及其他经中国证监会允许基金投资的股票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、权证、股指期货、各类债券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包括国债、央行票据、地方政府债、金融债、企业债、公司债、中小企业私募债、次级债、中期票据、短期融资券、可转换债券、可交换债券以及经法律法规或中国证监会允许投资的其他债券类金融工具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、资产支持证券、债券回购、货币市场工具、银行存款以及法律法规或中国证监会允许基金投资的其他金融工具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。本基金的业绩比较基准为：两年期人民币定期存款利率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)+1%</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颁布的《证券投资基金会计核算业务指引》、《创金合信鑫安保本混合型证券投资基金基金合同》和在财务报表附注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本基金收益分配方式：仅采取现金分红一种收益分配方式，不进行红利再投资；</w:t>
      </w:r>
      <w:r>
        <w:rPr>
          <w:rFonts w:ascii="Times New Roman" w:hAnsi="Times New Roman"/>
          <w:color w:val="000000"/>
          <w:kern w:val="0"/>
          <w:sz w:val="24"/>
          <w:szCs w:val="24"/>
        </w:rPr>
        <w:t>(2)</w:t>
      </w:r>
      <w:r>
        <w:rPr>
          <w:rFonts w:hint="eastAsia" w:ascii="Times New Roman" w:hAnsi="Times New Roman"/>
          <w:color w:val="000000"/>
          <w:kern w:val="0"/>
          <w:sz w:val="24"/>
          <w:szCs w:val="24"/>
        </w:rPr>
        <w:t>基金收益分配后任一类基金份额净值不能低于面值，即基金收益分配基准日的任一类基金份额净值减去该类每单位基金份额收益分配金额后不能低于面值；</w:t>
      </w:r>
      <w:r>
        <w:rPr>
          <w:rFonts w:ascii="Times New Roman" w:hAnsi="Times New Roman"/>
          <w:color w:val="000000"/>
          <w:kern w:val="0"/>
          <w:sz w:val="24"/>
          <w:szCs w:val="24"/>
        </w:rPr>
        <w:t>(3)</w:t>
      </w:r>
      <w:r>
        <w:rPr>
          <w:rFonts w:hint="eastAsia" w:ascii="Times New Roman" w:hAnsi="Times New Roman"/>
          <w:color w:val="000000"/>
          <w:kern w:val="0"/>
          <w:sz w:val="24"/>
          <w:szCs w:val="24"/>
        </w:rPr>
        <w:t>由于本基金</w:t>
      </w:r>
      <w:r>
        <w:rPr>
          <w:rFonts w:ascii="Times New Roman" w:hAnsi="Times New Roman"/>
          <w:color w:val="000000"/>
          <w:kern w:val="0"/>
          <w:sz w:val="24"/>
          <w:szCs w:val="24"/>
        </w:rPr>
        <w:t xml:space="preserve">A </w:t>
      </w:r>
      <w:r>
        <w:rPr>
          <w:rFonts w:hint="eastAsia" w:ascii="Times New Roman" w:hAnsi="Times New Roman"/>
          <w:color w:val="000000"/>
          <w:kern w:val="0"/>
          <w:sz w:val="24"/>
          <w:szCs w:val="24"/>
        </w:rPr>
        <w:t>类基金份额不收取销售服务费，而</w:t>
      </w:r>
      <w:r>
        <w:rPr>
          <w:rFonts w:ascii="Times New Roman" w:hAnsi="Times New Roman"/>
          <w:color w:val="000000"/>
          <w:kern w:val="0"/>
          <w:sz w:val="24"/>
          <w:szCs w:val="24"/>
        </w:rPr>
        <w:t xml:space="preserve">C </w:t>
      </w:r>
      <w:r>
        <w:rPr>
          <w:rFonts w:hint="eastAsia" w:ascii="Times New Roman" w:hAnsi="Times New Roman"/>
          <w:color w:val="000000"/>
          <w:kern w:val="0"/>
          <w:sz w:val="24"/>
          <w:szCs w:val="24"/>
        </w:rPr>
        <w:t>类基金份额收取销售服务费，各基金份额类别对应的可供分配利润将有所不同；</w:t>
      </w:r>
      <w:r>
        <w:rPr>
          <w:rFonts w:ascii="Times New Roman" w:hAnsi="Times New Roman"/>
          <w:color w:val="000000"/>
          <w:kern w:val="0"/>
          <w:sz w:val="24"/>
          <w:szCs w:val="24"/>
        </w:rPr>
        <w:t>(4)</w:t>
      </w:r>
      <w:r>
        <w:rPr>
          <w:rFonts w:hint="eastAsia" w:ascii="Times New Roman" w:hAnsi="Times New Roman"/>
          <w:color w:val="000000"/>
          <w:kern w:val="0"/>
          <w:sz w:val="24"/>
          <w:szCs w:val="24"/>
        </w:rPr>
        <w:t>本基金同一类别的每一基金份额享有同等分配权；</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201,556,302.33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-4,671,736.84</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381,153,008.11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379,959,771.60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-1,193,236.51</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1,123,347,728.52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1,109,583,000.00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-13,764,728.52</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1,504,500,736.63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-14,957,965.03</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1,706,057,038.96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12,886.39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2,577.08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24,572,649.93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417,489.58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20,742.25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3,811.44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w:t>
      </w:r>
      <w:r>
        <w:rPr>
          <w:rFonts w:ascii="Times New Roman" w:hAnsi="Times New Roman"/>
          <w:color w:val="000000"/>
          <w:kern w:val="0"/>
          <w:szCs w:val="24"/>
        </w:rPr>
        <w:t>(</w:t>
      </w:r>
      <w:r>
        <w:rPr>
          <w:rFonts w:hint="eastAsia" w:ascii="Times New Roman" w:hAnsi="Times New Roman"/>
          <w:color w:val="000000"/>
          <w:kern w:val="0"/>
          <w:szCs w:val="24"/>
        </w:rPr>
        <w:t>金</w:t>
      </w:r>
      <w:r>
        <w:rPr>
          <w:rFonts w:ascii="Times New Roman" w:hAnsi="Times New Roman"/>
          <w:color w:val="000000"/>
          <w:kern w:val="0"/>
          <w:szCs w:val="24"/>
        </w:rPr>
        <w:t>)</w:t>
      </w:r>
      <w:r>
        <w:rPr>
          <w:rFonts w:hint="eastAsia" w:ascii="Times New Roman" w:hAnsi="Times New Roman"/>
          <w:color w:val="000000"/>
          <w:kern w:val="0"/>
          <w:szCs w:val="24"/>
        </w:rPr>
        <w:t>额；赎回含转换出份</w:t>
      </w:r>
      <w:r>
        <w:rPr>
          <w:rFonts w:ascii="Times New Roman" w:hAnsi="Times New Roman"/>
          <w:color w:val="000000"/>
          <w:kern w:val="0"/>
          <w:szCs w:val="24"/>
        </w:rPr>
        <w:t>(</w:t>
      </w:r>
      <w:r>
        <w:rPr>
          <w:rFonts w:hint="eastAsia" w:ascii="Times New Roman" w:hAnsi="Times New Roman"/>
          <w:color w:val="000000"/>
          <w:kern w:val="0"/>
          <w:szCs w:val="24"/>
        </w:rPr>
        <w:t>金</w:t>
      </w:r>
      <w:r>
        <w:rPr>
          <w:rFonts w:ascii="Times New Roman" w:hAnsi="Times New Roman"/>
          <w:color w:val="000000"/>
          <w:kern w:val="0"/>
          <w:szCs w:val="24"/>
        </w:rPr>
        <w:t>)</w:t>
      </w:r>
      <w:r>
        <w:rPr>
          <w:rFonts w:hint="eastAsia" w:ascii="Times New Roman" w:hAnsi="Times New Roman"/>
          <w:color w:val="000000"/>
          <w:kern w:val="0"/>
          <w:szCs w:val="24"/>
        </w:rPr>
        <w:t>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4</w:t>
      </w:r>
      <w:r>
        <w:rPr>
          <w:rFonts w:hint="eastAsia" w:ascii="Times New Roman" w:hAnsi="Times New Roman"/>
          <w:color w:val="000000"/>
          <w:kern w:val="0"/>
          <w:szCs w:val="24"/>
        </w:rPr>
        <w:t>月</w:t>
      </w:r>
      <w:r>
        <w:rPr>
          <w:rFonts w:ascii="Times New Roman" w:hAnsi="Times New Roman"/>
          <w:color w:val="000000"/>
          <w:kern w:val="0"/>
          <w:szCs w:val="24"/>
        </w:rPr>
        <w:t>15</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6</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1,265,284,467.96</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991,993,163.87</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273,291,304.09</w:t>
      </w:r>
      <w:r>
        <w:rPr>
          <w:rFonts w:hint="eastAsia" w:ascii="Times New Roman" w:hAnsi="Times New Roman"/>
          <w:color w:val="000000"/>
          <w:kern w:val="0"/>
          <w:szCs w:val="24"/>
        </w:rPr>
        <w:t>元。根据《创金合信鑫安保本混合型证券投资基金招募说明书》的规定，本基金设立募集期内认购资金产生的利息收入</w:t>
      </w:r>
      <w:r>
        <w:rPr>
          <w:rFonts w:ascii="Times New Roman" w:hAnsi="Times New Roman"/>
          <w:color w:val="000000"/>
          <w:kern w:val="0"/>
          <w:szCs w:val="24"/>
        </w:rPr>
        <w:t>557,536.24</w:t>
      </w:r>
      <w:r>
        <w:rPr>
          <w:rFonts w:hint="eastAsia" w:ascii="Times New Roman" w:hAnsi="Times New Roman"/>
          <w:color w:val="000000"/>
          <w:kern w:val="0"/>
          <w:szCs w:val="24"/>
        </w:rPr>
        <w:t>元在本基金成立后，折算为</w:t>
      </w:r>
      <w:r>
        <w:rPr>
          <w:rFonts w:ascii="Times New Roman" w:hAnsi="Times New Roman"/>
          <w:color w:val="000000"/>
          <w:kern w:val="0"/>
          <w:szCs w:val="24"/>
        </w:rPr>
        <w:t>557,536.24</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443,197.84</w:t>
      </w:r>
      <w:r>
        <w:rPr>
          <w:rFonts w:hint="eastAsia" w:ascii="Times New Roman" w:hAnsi="Times New Roman"/>
          <w:color w:val="000000"/>
          <w:kern w:val="0"/>
          <w:szCs w:val="24"/>
        </w:rPr>
        <w:t>元，折算为</w:t>
      </w:r>
      <w:r>
        <w:rPr>
          <w:rFonts w:ascii="Times New Roman" w:hAnsi="Times New Roman"/>
          <w:color w:val="000000"/>
          <w:kern w:val="0"/>
          <w:szCs w:val="24"/>
        </w:rPr>
        <w:t>443,197.84</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114,338.40</w:t>
      </w:r>
      <w:r>
        <w:rPr>
          <w:rFonts w:hint="eastAsia" w:ascii="Times New Roman" w:hAnsi="Times New Roman"/>
          <w:color w:val="000000"/>
          <w:kern w:val="0"/>
          <w:szCs w:val="24"/>
        </w:rPr>
        <w:t>元，折算为</w:t>
      </w:r>
      <w:r>
        <w:rPr>
          <w:rFonts w:ascii="Times New Roman" w:hAnsi="Times New Roman"/>
          <w:color w:val="000000"/>
          <w:kern w:val="0"/>
          <w:szCs w:val="24"/>
        </w:rPr>
        <w:t>114,338.40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44,500,073.09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-15,498,701.71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29,001,371.38</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-8,459,448.79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2,633,831.64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-5,825,617.15</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115,531.23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41,762.94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157,294.17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-8,574,980.02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2,592,068.70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-5,982,911.32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36,040,624.30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-12,864,870.07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23,175,754.23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10,919,161.13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-4,131,000.16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6,788,160.97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-513,906.68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-23,061.52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-536,968.20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71,815.09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33,997.93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105,813.02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-585,721.77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-57,059.45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-642,781.22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10,405,254.45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-4,154,061.68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6,251,192.77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370,393.58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121,827.78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149,921.73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643,050.79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713,822,338.90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677,401,098.55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2,177,740,732.03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2,144,129,132.65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25,779,388.85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-4,671,736.84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-14,957,965.03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1,731,883.87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26,500.00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1,758,383.87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查询服务费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209,701.17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本基金于本报告期未通过关联方交易单元进行股票交易。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本基金于本期内无应支付关联方的佣金。</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9,680,601.54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5,342,145.20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1.20%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1.20%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1,613,433.55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注：支付基金托管人中国工商银行的托管费按前一日基金资产净值</w:t>
      </w:r>
      <w:r>
        <w:rPr>
          <w:rFonts w:ascii="Times New Roman" w:hAnsi="Times New Roman"/>
          <w:color w:val="000000"/>
          <w:kern w:val="0"/>
          <w:szCs w:val="24"/>
        </w:rPr>
        <w:t>0.20%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0.8%</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0.8%/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本基金本报告期内与关联方无银行间同业市场的债券（含回购）交易。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dxa"/>
          <w:wAfter w:w="0" w:type="dxa"/>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dxa"/>
          <w:wAfter w:w="0" w:type="dxa"/>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370,393.58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注：本基金的银行存款由基金托管人中国工商银行保管，按金融机构同业存款利率计息。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景旺电子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赛托生物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1,582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603689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皖天然气</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天龙股份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天铁股份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华正新材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德新交运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熙菱信息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中洲控股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41,800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792,340.00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846,032.00</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康达尔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1,084,348.00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1,183,104.00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英特集团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756,199.40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718,250.00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昆百大Ａ</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688,391.67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760,240.00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天兴仪表</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47.41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52.15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148,533.00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293,942.00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000803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金宇车城</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2016-06-23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161,099.00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150,804.00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002034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w:t>
            </w:r>
            <w:r>
              <w:rPr>
                <w:rFonts w:ascii="Times New Roman" w:hAnsi="Times New Roman"/>
                <w:color w:val="000000"/>
                <w:kern w:val="0"/>
                <w:szCs w:val="24"/>
              </w:rPr>
              <w:t xml:space="preserve"> </w:t>
            </w:r>
            <w:r>
              <w:rPr>
                <w:rFonts w:hint="eastAsia" w:ascii="Times New Roman" w:hAnsi="Times New Roman"/>
                <w:color w:val="000000"/>
                <w:kern w:val="0"/>
                <w:szCs w:val="24"/>
              </w:rPr>
              <w:t>欣</w:t>
            </w:r>
            <w:r>
              <w:rPr>
                <w:rFonts w:ascii="Times New Roman" w:hAnsi="Times New Roman"/>
                <w:color w:val="000000"/>
                <w:kern w:val="0"/>
                <w:szCs w:val="24"/>
              </w:rPr>
              <w:t xml:space="preserve"> </w:t>
            </w:r>
            <w:r>
              <w:rPr>
                <w:rFonts w:hint="eastAsia" w:ascii="Times New Roman" w:hAnsi="Times New Roman"/>
                <w:color w:val="000000"/>
                <w:kern w:val="0"/>
                <w:szCs w:val="24"/>
              </w:rPr>
              <w:t>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36.33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39.96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748,533.35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755,664.00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002159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三特索道</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696,234.87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832,000.00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002239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奥特佳</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813,351.18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798,621.00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002377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国创高新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2016-07-18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621,083.00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638,010.00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002462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嘉事堂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42.53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38.98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761,108.00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837,841.00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002617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露笑科技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45,480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691,463.70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665,372.40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300243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瑞丰高材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711,130.80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754,446.00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1,081,970.00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1,111,610.00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600173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卧龙地产</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84,700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710,221.35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972,356.00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600763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通策医疗</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645,493.36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647,322.00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681,433.57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787,941.00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1,034,073.00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1,112,002.00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康尼机电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684,951.02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676,200.00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603555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贵人鸟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1,077,093.08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1,154,207.48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603986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兆易创新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177.97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26,353.58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201,640.01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361,808,857.28</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101570007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光明</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4,015,200.00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101651032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东航股</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101455033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首创</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11,070,400.00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101464018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湘高速</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51,330,000.00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电网</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39,948,000.00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11699945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中核建</w:t>
            </w:r>
            <w:r>
              <w:rPr>
                <w:rFonts w:ascii="Times New Roman" w:hAnsi="Times New Roman"/>
                <w:color w:val="000000"/>
                <w:kern w:val="0"/>
                <w:sz w:val="24"/>
                <w:szCs w:val="24"/>
              </w:rPr>
              <w:t>SCP002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101666009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南京交投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14,547,000.00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370,660,600.00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日止，基金从事证券交易所债券正回购交易形成的卖出回购证券款余额</w:t>
      </w:r>
      <w:r>
        <w:rPr>
          <w:rFonts w:ascii="Times New Roman" w:hAnsi="Times New Roman"/>
          <w:color w:val="000000"/>
          <w:kern w:val="0"/>
          <w:sz w:val="24"/>
          <w:szCs w:val="24"/>
        </w:rPr>
        <w:t>310,000,000.00</w:t>
      </w:r>
      <w:r>
        <w:rPr>
          <w:rFonts w:hint="eastAsia" w:ascii="Times New Roman" w:hAnsi="Times New Roman"/>
          <w:color w:val="000000"/>
          <w:kern w:val="0"/>
          <w:sz w:val="24"/>
          <w:szCs w:val="24"/>
        </w:rPr>
        <w:t>元，于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4</w:t>
      </w:r>
      <w:r>
        <w:rPr>
          <w:rFonts w:hint="eastAsia" w:ascii="Times New Roman" w:hAnsi="Times New Roman"/>
          <w:color w:val="000000"/>
          <w:kern w:val="0"/>
          <w:sz w:val="24"/>
          <w:szCs w:val="24"/>
        </w:rPr>
        <w:t>日到期。该类交易要求本基金在回购期内持有的证券交易所交易的债券和</w:t>
      </w:r>
      <w:r>
        <w:rPr>
          <w:rFonts w:ascii="Times New Roman" w:hAnsi="Times New Roman"/>
          <w:color w:val="000000"/>
          <w:kern w:val="0"/>
          <w:sz w:val="24"/>
          <w:szCs w:val="24"/>
        </w:rPr>
        <w:t>/</w:t>
      </w:r>
      <w:r>
        <w:rPr>
          <w:rFonts w:hint="eastAsia" w:ascii="Times New Roman" w:hAnsi="Times New Roman"/>
          <w:color w:val="000000"/>
          <w:kern w:val="0"/>
          <w:sz w:val="24"/>
          <w:szCs w:val="24"/>
        </w:rPr>
        <w:t>或在新质押式回购下转入质押库的债券，按证券交易所规定的比例折算为标准券后，不低于债券回购交易的余额。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59,884,000.00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115,231,180.20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175,115,180.20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1,263,972,591.40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50,455,000.00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1,314,427,591.40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227,531,504.40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252,839,494.86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222,683,539.63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2,993,145.68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674,802,002.96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-418,969,362.42</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-6,417,508.84</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6,467,036.14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本基金通过投资组合的分散化降低其他价格风险。本基金投资组合中风险资产占基金资产的比例不高于</w:t>
      </w:r>
      <w:r>
        <w:rPr>
          <w:rFonts w:ascii="Times New Roman" w:hAnsi="Times New Roman"/>
          <w:color w:val="000000"/>
          <w:kern w:val="0"/>
          <w:sz w:val="24"/>
          <w:szCs w:val="24"/>
        </w:rPr>
        <w:t>40%</w:t>
      </w:r>
      <w:r>
        <w:rPr>
          <w:rFonts w:hint="eastAsia" w:ascii="Times New Roman" w:hAnsi="Times New Roman"/>
          <w:color w:val="000000"/>
          <w:kern w:val="0"/>
          <w:sz w:val="24"/>
          <w:szCs w:val="24"/>
        </w:rPr>
        <w:t>；安全资产占基金资产的比例不低于</w:t>
      </w:r>
      <w:r>
        <w:rPr>
          <w:rFonts w:ascii="Times New Roman" w:hAnsi="Times New Roman"/>
          <w:color w:val="000000"/>
          <w:kern w:val="0"/>
          <w:sz w:val="24"/>
          <w:szCs w:val="24"/>
        </w:rPr>
        <w:t>60%</w:t>
      </w:r>
      <w:r>
        <w:rPr>
          <w:rFonts w:hint="eastAsia" w:ascii="Times New Roman" w:hAnsi="Times New Roman"/>
          <w:color w:val="000000"/>
          <w:kern w:val="0"/>
          <w:sz w:val="24"/>
          <w:szCs w:val="24"/>
        </w:rPr>
        <w:t>，其中现金或者到期日在一年以内的政府债券投资比例不低于基金资产净值的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18.53%</w:t>
      </w:r>
      <w:r>
        <w:rPr>
          <w:rFonts w:hint="eastAsia" w:ascii="Times New Roman" w:hAnsi="Times New Roman"/>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ascii="Times New Roman" w:hAnsi="Times New Roman"/>
          <w:color w:val="000000"/>
          <w:kern w:val="0"/>
          <w:sz w:val="24"/>
          <w:szCs w:val="24"/>
        </w:rPr>
        <w:tab/>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ascii="Times New Roman" w:hAnsi="Times New Roman"/>
          <w:color w:val="000000"/>
          <w:kern w:val="0"/>
          <w:sz w:val="24"/>
          <w:szCs w:val="24"/>
        </w:rPr>
        <w:tab/>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ascii="Times New Roman" w:hAnsi="Times New Roman"/>
          <w:color w:val="000000"/>
          <w:kern w:val="0"/>
          <w:sz w:val="24"/>
          <w:szCs w:val="24"/>
        </w:rPr>
        <w:tab/>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180,497,279.16</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1,505,930,057.93</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ascii="Times New Roman" w:hAnsi="Times New Roman"/>
          <w:color w:val="000000"/>
          <w:kern w:val="0"/>
          <w:sz w:val="24"/>
          <w:szCs w:val="24"/>
        </w:rPr>
        <w:tab/>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ascii="Times New Roman" w:hAnsi="Times New Roman"/>
          <w:color w:val="000000"/>
          <w:kern w:val="0"/>
          <w:sz w:val="24"/>
          <w:szCs w:val="24"/>
        </w:rPr>
        <w:tab/>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ascii="Times New Roman" w:hAnsi="Times New Roman"/>
          <w:color w:val="000000"/>
          <w:kern w:val="0"/>
          <w:sz w:val="24"/>
          <w:szCs w:val="24"/>
        </w:rPr>
        <w:tab/>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389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3892"/>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25,225,992.08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25,880,972.52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3,626,712.04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1,386,810.16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127,827,292.78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9,900,883.99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3,610,921.74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16,446,092.80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4,360,132.88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757,482.00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5,588,767.20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4,305,664.00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6,185,372.00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4,331,885.90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5,036,352.00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679,477.00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1,338,778.00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766,566.00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735,375.00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3893"/>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1,183,104.00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1,154,207.48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1,112,002.00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徐家汇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901,232.00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希努尔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892,530.00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冀凯股份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891,204.00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874,180.00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851,081.00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中洲控股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846,032.00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842,859.00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842,088.00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嘉事堂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834,626.00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822,847.04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814,784.00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齐星铁塔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803,640.00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803,440.00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802,528.00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奥特佳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798,621.00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达</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797,736.00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791,505.00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789,504.00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787,941.00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787,797.78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皇庭国际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785,725.00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781,898.00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778,374.00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777,243.00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776,622.00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775,170.00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海能达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774,106.00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海南瑞泽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773,484.00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773,190.00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772,352.00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广东甘化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太空板业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768,308.00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绿庭投资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767,040.00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766,566.00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762,818.00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金利华电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昆百大Ａ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760,162.00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759,510.00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荃银高科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759,402.00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大东海</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757,482.00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欣</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755,664.00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中再资环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755,380.00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瑞丰高材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752,596.00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750,789.00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申通地铁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大连圣亚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749,952.00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749,112.00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国瓷材料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746,092.50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744,566.00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744,016.00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围海股份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743,633.00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宏达矿业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741,853.20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741,273.00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741,109.50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738,277.20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738,240.67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736,848.00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735,908.00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735,375.00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正虹科技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龙星化工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734,296.00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732,552.00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732,404.00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729,246.00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经纬纺机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银星能源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赫美集团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粤电力Ａ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721,900.80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721,421.00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721,325.00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传化智联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中矿资源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719,901.00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多喜爱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719,136.00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龙马环卫</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全筑股份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718,347.00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齐心集团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717,213.00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联美控股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广誉远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715,616.00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中国海诚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晨光文具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715,260.00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万讯自控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涪陵榨菜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714,492.00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霞客环保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713,370.00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713,031.00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通化东宝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712,725.00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712,215.00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711,990.00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710,304.00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汇源通信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708,971.00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708,305.00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宁沪高速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普利特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707,464.00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706,469.00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西昌电力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705,425.00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安居宝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金通灵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703,970.00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海利生物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万向德农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三湘印象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四川九洲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703,706.00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通化金马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大唐发电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桂林三金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698,060.00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鼎龙股份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695,823.00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瑞普生物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694,476.00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启迪古汉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693,645.00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693,554.00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692,784.90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692,478.00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国睿科技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690,534.00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690,204.00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690,132.00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689,770.90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开开实业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鞍重股份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双成药业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686,686.00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686,644.00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685,695.00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684,855.00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684,855.00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山河药辅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684,495.00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684,315.00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683,641.00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683,142.00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南方轴承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682,603.00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嘉宝集团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681,593.00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680,607.00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679,477.00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邦讯技术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678,756.00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678,756.00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海天味业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677,523.00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九华旅游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676,989.00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华控赛格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正海磁材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672,966.00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海思科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672,090.00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670,716.00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669,051.83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利德曼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668,565.00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依米康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668,136.00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长生生物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露笑科技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665,372.40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丹化科技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民丰特纸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金信诺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662,533.00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文科园林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660,422.00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永清环保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656,656.00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656,064.00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655,891.60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中航电测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653,786.00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653,603.00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麦迪电气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651,820.00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651,545.00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649,948.00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649,257.00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647,322.00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国创高新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638,010.00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630,144.00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628,754.00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628,754.00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624,495.00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雅本化学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617,004.02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康耐特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614,901.00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609,063.00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昊华能源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天兴仪表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贵广网络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兆易创新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201,640.01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165,935.00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通达动力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金宇车城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150,804.00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博迈科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134,604.96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百合花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123,167.88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103,332.51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科信技术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94,517.76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景旺电子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比音勒芬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70,290.60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汇金通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69,642.60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赛托生物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63,738.78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弘亚数控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42,675.07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皖天然气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22,852.06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德新交运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熙菱信息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3894"/>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2,993,867.00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2,789,716.00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2,649,302.00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2,648,594.45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2,642,115.01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2,619,789.04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2,548,648.00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2,521,331.00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2,511,406.90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2,311,623.00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2,307,885.68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2,299,604.64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2,256,807.11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2,254,181.92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2,246,210.11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2,217,237.48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2,216,982.60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2,207,596.17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2,206,596.00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2,197,119.00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2,779,412.00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2,616,584.77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2,607,731.00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2,580,604.96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2,391,298.00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新筑股份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2,298,586.80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威</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2,272,778.00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000912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泸天化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2,241,711.00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2,210,841.00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2,185,351.00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三全食品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2,166,846.60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绿景控股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2,162,811.62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汇中股份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2,129,199.42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奇正藏药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2,126,402.00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明星电缆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2,120,836.00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2,102,305.36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2,034,575.00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仰帆控股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2,025,241.00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连云港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2,006,516.00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878,957,400.88</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713,822,338.90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3895"/>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65,161,180.20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50,455,000.00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50,455,000.00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314,788,129.40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109,954,000.00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949,174,000.00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140.16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3896"/>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101374003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北控集</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102,960,000.00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101551010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电网</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101660049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赣高速</w:t>
            </w:r>
            <w:r>
              <w:rPr>
                <w:rFonts w:ascii="Times New Roman" w:hAnsi="Times New Roman"/>
                <w:color w:val="000000"/>
                <w:kern w:val="0"/>
                <w:sz w:val="24"/>
                <w:szCs w:val="24"/>
              </w:rPr>
              <w:t>MTN003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98,690,000.00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136452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南航</w:t>
            </w:r>
            <w:r>
              <w:rPr>
                <w:rFonts w:ascii="Times New Roman" w:hAnsi="Times New Roman"/>
                <w:color w:val="000000"/>
                <w:kern w:val="0"/>
                <w:sz w:val="24"/>
                <w:szCs w:val="24"/>
              </w:rPr>
              <w:t>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98,510,000.00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101651032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东航股</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3897"/>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3898"/>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3899"/>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3900"/>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3901"/>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3902"/>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本报告期内基金投资的前十名证券发行主体未受到监管机构的立案调查，在编制日前一年内也未收到公开谴责和处罚。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本基金投资的前十名股票未超出基金合同规定的股票备选库。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25,880,972.52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1,183,104.00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1,154,207.48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1,112,002.00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390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3904"/>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134,365.00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106,144.21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126,785.93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3905"/>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232,273.22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0.029769%</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21,001.94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0.008300%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253,275.16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0.024511%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3906"/>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390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39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3909"/>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3910"/>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本报告期内基金管理人、基金托管人的专门基金托管部门未发生重大人事变动。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3911"/>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3912"/>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3913"/>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120,000.00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3914"/>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3915"/>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694,518,976.00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256,577.49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214,482,790.03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13.53%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132,240.96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493,992,162.07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355,164.26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40.55%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182,568,574.33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11.51%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131,109.53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201,943,809.45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3,322,000,000.00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143,812,864.30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3,148,000,000.00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652,203,084.24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65.35%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13,826,000,000.00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1,967,000,000.00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3916"/>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保证合同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创金合信鑫安保本混合型证券投资基金基金合同内容摘要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2016-05-12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创金合信鑫安保本混合型证券投资基金开放日常申购（赎回、定期定额投资）业务公告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创金合信基金管理有限公司关于旗下基金增加定期定额投资业务代销机构的</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2016-07-28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3</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391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391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3919"/>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、《创金合信鑫安保本混合型证券投资基金基金合同》；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、《创金合信鑫安保本混合型证券投资基金托管协议》；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年年度报告原文</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3920"/>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3921"/>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70</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71</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创金合信鑫安保本混合型证券投资基金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3B04"/>
    <w:rsid w:val="00052CA4"/>
    <w:rsid w:val="000618B7"/>
    <w:rsid w:val="000D4A0D"/>
    <w:rsid w:val="00116F31"/>
    <w:rsid w:val="00163FAE"/>
    <w:rsid w:val="001741FF"/>
    <w:rsid w:val="00175C89"/>
    <w:rsid w:val="00210726"/>
    <w:rsid w:val="00384D43"/>
    <w:rsid w:val="003B79BE"/>
    <w:rsid w:val="00522F64"/>
    <w:rsid w:val="005B32E7"/>
    <w:rsid w:val="005F7A45"/>
    <w:rsid w:val="0063633C"/>
    <w:rsid w:val="007723FD"/>
    <w:rsid w:val="0080139D"/>
    <w:rsid w:val="00BA3B04"/>
    <w:rsid w:val="00C178BA"/>
    <w:rsid w:val="00C9023D"/>
    <w:rsid w:val="00CD3C32"/>
    <w:rsid w:val="00EC2112"/>
    <w:rsid w:val="42ED50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8926</Words>
  <Characters>50879</Characters>
  <Lines>423</Lines>
  <Paragraphs>119</Paragraphs>
  <TotalTime>0</TotalTime>
  <ScaleCrop>false</ScaleCrop>
  <LinksUpToDate>false</LinksUpToDate>
  <CharactersWithSpaces>59686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2017-03-22T05:48:00Z</dcterms:created>
  <dc:creator>FastReport</dc:creator>
  <cp:lastModifiedBy>Administrator</cp:lastModifiedBy>
  <dcterms:modified xsi:type="dcterms:W3CDTF">2019-12-26T14:06:30Z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