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Layout w:type="fixed"/>
        <w:tblCellMar>
          <w:top w:w="0" w:type="dxa"/>
          <w:left w:w="108" w:type="dxa"/>
          <w:bottom w:w="0" w:type="dxa"/>
          <w:right w:w="108" w:type="dxa"/>
        </w:tblCellMar>
      </w:tblPr>
      <w:tblGrid>
        <w:gridCol w:w="2888"/>
        <w:gridCol w:w="6140"/>
      </w:tblGrid>
      <w:tr>
        <w:tblPrEx>
          <w:tblCellMar>
            <w:top w:w="0" w:type="dxa"/>
            <w:left w:w="108" w:type="dxa"/>
            <w:bottom w:w="0" w:type="dxa"/>
            <w:right w:w="108" w:type="dxa"/>
          </w:tblCellMar>
        </w:tblPrEx>
        <w:trPr>
          <w:wBefore w:w="0" w:type="auto"/>
        </w:trPr>
        <w:tc>
          <w:tcPr>
            <w:tcW w:w="2888" w:type="dxa"/>
            <w:tcBorders>
              <w:top w:val="nil"/>
              <w:left w:val="nil"/>
              <w:bottom w:val="nil"/>
              <w:right w:val="nil"/>
            </w:tcBorders>
            <w:noWrap w:val="0"/>
            <w:vAlign w:val="top"/>
          </w:tcPr>
          <w:p>
            <w:pPr>
              <w:autoSpaceDE w:val="0"/>
              <w:autoSpaceDN w:val="0"/>
              <w:adjustRightInd w:val="0"/>
              <w:spacing w:line="288" w:lineRule="auto"/>
              <w:jc w:val="left"/>
              <w:rPr>
                <w:rFonts w:ascii="Times New Roman" w:hAnsi="Times New Roman"/>
                <w:kern w:val="0"/>
                <w:sz w:val="24"/>
                <w:szCs w:val="24"/>
              </w:rPr>
            </w:pPr>
            <w:bookmarkStart w:id="65" w:name="_GoBack"/>
            <w:bookmarkEnd w:id="65"/>
            <w:r>
              <w:rPr>
                <w:rFonts w:ascii="Times New Roman" w:hAnsi="Times New Roman"/>
                <w:kern w:val="0"/>
                <w:sz w:val="24"/>
                <w:szCs w:val="24"/>
              </w:rPr>
              <w:pict>
                <v:shape id="_x0000_i1025" o:spt="75" type="#_x0000_t75" style="height:17.65pt;width:141.1pt;" filled="f" stroked="f" coordsize="21600,21600">
                  <v:path/>
                  <v:fill on="f" focussize="0,0"/>
                  <v:stroke on="f"/>
                  <v:imagedata r:id="rId6" o:title=""/>
                  <o:lock v:ext="edit" aspectratio="t"/>
                  <w10:wrap type="none"/>
                  <w10:anchorlock/>
                </v:shape>
              </w:pict>
            </w:r>
          </w:p>
        </w:tc>
        <w:tc>
          <w:tcPr>
            <w:tcW w:w="6140" w:type="dxa"/>
            <w:tcBorders>
              <w:top w:val="nil"/>
              <w:left w:val="nil"/>
              <w:bottom w:val="nil"/>
              <w:right w:val="nil"/>
            </w:tcBorders>
            <w:noWrap w:val="0"/>
            <w:vAlign w:val="center"/>
          </w:tcPr>
          <w:p>
            <w:pPr>
              <w:autoSpaceDE w:val="0"/>
              <w:autoSpaceDN w:val="0"/>
              <w:adjustRightInd w:val="0"/>
              <w:spacing w:before="30" w:line="288" w:lineRule="auto"/>
              <w:ind w:left="15"/>
              <w:jc w:val="right"/>
              <w:rPr>
                <w:rFonts w:ascii="Times New Roman" w:hAnsi="Times New Roman" w:cs="宋体"/>
                <w:color w:val="000000"/>
                <w:kern w:val="0"/>
                <w:szCs w:val="21"/>
              </w:rPr>
            </w:pPr>
            <w:r>
              <w:rPr>
                <w:rFonts w:hint="eastAsia" w:ascii="Times New Roman" w:hAnsi="Times New Roman" w:cs="宋体"/>
                <w:color w:val="000000"/>
                <w:kern w:val="0"/>
                <w:szCs w:val="21"/>
              </w:rPr>
              <w:t>创金合信尊誉纯债债券型证券投资基金</w:t>
            </w:r>
            <w:r>
              <w:rPr>
                <w:rFonts w:ascii="Times New Roman" w:hAnsi="Times New Roman" w:cs="宋体"/>
                <w:color w:val="000000"/>
                <w:kern w:val="0"/>
                <w:szCs w:val="21"/>
              </w:rPr>
              <w:t>2016</w:t>
            </w:r>
            <w:r>
              <w:rPr>
                <w:rFonts w:hint="eastAsia" w:ascii="Times New Roman" w:hAnsi="Times New Roman" w:cs="宋体"/>
                <w:color w:val="000000"/>
                <w:kern w:val="0"/>
                <w:szCs w:val="21"/>
              </w:rPr>
              <w:t>年年度报告</w:t>
            </w:r>
          </w:p>
        </w:tc>
      </w:tr>
      <w:tr>
        <w:tblPrEx>
          <w:tblCellMar>
            <w:top w:w="0" w:type="dxa"/>
            <w:left w:w="108" w:type="dxa"/>
            <w:bottom w:w="0" w:type="dxa"/>
            <w:right w:w="108" w:type="dxa"/>
          </w:tblCellMar>
        </w:tblPrEx>
        <w:trPr>
          <w:wBefore w:w="0" w:type="auto"/>
        </w:trPr>
        <w:tc>
          <w:tcPr>
            <w:tcW w:w="9028" w:type="dxa"/>
            <w:gridSpan w:val="2"/>
            <w:tcBorders>
              <w:top w:val="single" w:color="000000" w:sz="8" w:space="0"/>
              <w:left w:val="nil"/>
              <w:bottom w:val="nil"/>
              <w:right w:val="nil"/>
            </w:tcBorders>
            <w:noWrap w:val="0"/>
            <w:vAlign w:val="top"/>
          </w:tcPr>
          <w:p>
            <w:pPr>
              <w:autoSpaceDE w:val="0"/>
              <w:autoSpaceDN w:val="0"/>
              <w:adjustRightInd w:val="0"/>
              <w:spacing w:line="288" w:lineRule="auto"/>
              <w:jc w:val="left"/>
              <w:rPr>
                <w:rFonts w:ascii="Times New Roman" w:hAnsi="Times New Roman" w:cs="Arial"/>
                <w:color w:val="000000"/>
                <w:kern w:val="0"/>
                <w:sz w:val="11"/>
                <w:szCs w:val="11"/>
              </w:rPr>
            </w:pPr>
          </w:p>
        </w:tc>
      </w:tr>
    </w:tbl>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创金合信尊誉纯债债券型证券投资基金</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年年度报告</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before="30" w:line="288" w:lineRule="auto"/>
        <w:ind w:left="15"/>
        <w:jc w:val="center"/>
        <w:rPr>
          <w:rFonts w:ascii="Times New Roman" w:hAnsi="Times New Roman" w:cs="宋体"/>
          <w:b/>
          <w:bCs/>
          <w:color w:val="000000"/>
          <w:kern w:val="0"/>
          <w:sz w:val="24"/>
          <w:szCs w:val="24"/>
        </w:rPr>
      </w:pP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w:t>
      </w:r>
    </w:p>
    <w:p>
      <w:pPr>
        <w:autoSpaceDE w:val="0"/>
        <w:autoSpaceDN w:val="0"/>
        <w:adjustRightInd w:val="0"/>
        <w:spacing w:line="288" w:lineRule="auto"/>
        <w:jc w:val="center"/>
        <w:rPr>
          <w:rFonts w:ascii="Times New Roman" w:hAnsi="Times New Roman" w:cs="宋体"/>
          <w:b/>
          <w:bCs/>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基金托管人：宁波银行股份有限公司</w:t>
      </w:r>
    </w:p>
    <w:p>
      <w:pPr>
        <w:autoSpaceDE w:val="0"/>
        <w:autoSpaceDN w:val="0"/>
        <w:adjustRightInd w:val="0"/>
        <w:spacing w:line="288" w:lineRule="auto"/>
        <w:jc w:val="center"/>
        <w:rPr>
          <w:rFonts w:ascii="Times New Roman" w:hAnsi="Times New Roman" w:cs="宋体"/>
          <w:color w:val="000000"/>
          <w:kern w:val="0"/>
          <w:sz w:val="24"/>
          <w:szCs w:val="24"/>
        </w:rPr>
      </w:pPr>
    </w:p>
    <w:p>
      <w:pPr>
        <w:autoSpaceDE w:val="0"/>
        <w:autoSpaceDN w:val="0"/>
        <w:adjustRightInd w:val="0"/>
        <w:spacing w:before="30" w:line="288" w:lineRule="auto"/>
        <w:ind w:left="15" w:firstLine="482"/>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送出日期：</w:t>
      </w:r>
      <w:r>
        <w:rPr>
          <w:rFonts w:ascii="Times New Roman" w:hAnsi="Times New Roman" w:cs="宋体"/>
          <w:b/>
          <w:bCs/>
          <w:color w:val="000000"/>
          <w:kern w:val="0"/>
          <w:sz w:val="24"/>
          <w:szCs w:val="24"/>
        </w:rPr>
        <w:t>2017</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3</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27</w:t>
      </w:r>
      <w:r>
        <w:rPr>
          <w:rFonts w:hint="eastAsia" w:ascii="Times New Roman" w:hAnsi="Times New Roman" w:cs="宋体"/>
          <w:b/>
          <w:bCs/>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cs="宋体"/>
          <w:b/>
          <w:bCs/>
          <w:color w:val="000000"/>
          <w:kern w:val="0"/>
          <w:sz w:val="24"/>
          <w:szCs w:val="24"/>
        </w:rPr>
      </w:pPr>
      <w:bookmarkStart w:id="0" w:name="_Toc47795564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  </w:t>
      </w:r>
      <w:r>
        <w:rPr>
          <w:rFonts w:hint="eastAsia" w:ascii="Times New Roman" w:hAnsi="Times New Roman" w:cs="宋体"/>
          <w:b/>
          <w:bCs/>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1" w:name="_Toc477955644"/>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28"/>
      </w:tblGrid>
      <w:tr>
        <w:trPr>
          <w:wBefore w:w="0" w:type="auto"/>
        </w:trPr>
        <w:tc>
          <w:tcPr>
            <w:tcW w:w="90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基金托管人宁波银行股份有限公司根据本基金合同规定，于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22</w:t>
            </w:r>
            <w:r>
              <w:rPr>
                <w:rFonts w:hint="eastAsia" w:ascii="Times New Roman" w:hAnsi="Times New Roman" w:cs="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cs="宋体"/>
          <w:b/>
          <w:bCs/>
          <w:color w:val="000000"/>
          <w:kern w:val="0"/>
          <w:sz w:val="24"/>
          <w:szCs w:val="24"/>
        </w:rPr>
      </w:pPr>
      <w:bookmarkStart w:id="2" w:name="_Toc477955645"/>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目录</w:t>
      </w:r>
      <w:bookmarkEnd w:id="2"/>
    </w:p>
    <w:p>
      <w:pPr>
        <w:pStyle w:val="6"/>
        <w:tabs>
          <w:tab w:val="right" w:leader="dot" w:pos="9080"/>
        </w:tabs>
        <w:rPr>
          <w:lang/>
        </w:rPr>
      </w:pPr>
      <w:r>
        <w:rPr>
          <w:rFonts w:ascii="Times New Roman" w:hAnsi="Times New Roman" w:cs="宋体"/>
          <w:b/>
          <w:bCs/>
          <w:color w:val="000000"/>
          <w:kern w:val="0"/>
          <w:sz w:val="24"/>
          <w:szCs w:val="24"/>
        </w:rPr>
        <w:fldChar w:fldCharType="begin"/>
      </w:r>
      <w:r>
        <w:rPr>
          <w:rFonts w:ascii="Times New Roman" w:hAnsi="Times New Roman" w:cs="宋体"/>
          <w:b/>
          <w:bCs/>
          <w:color w:val="000000"/>
          <w:kern w:val="0"/>
          <w:sz w:val="24"/>
          <w:szCs w:val="24"/>
        </w:rPr>
        <w:instrText xml:space="preserve"> TOC \o "1-2" \h \z \u </w:instrText>
      </w:r>
      <w:r>
        <w:rPr>
          <w:rFonts w:ascii="Times New Roman" w:hAnsi="Times New Roman" w:cs="宋体"/>
          <w:b/>
          <w:bCs/>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"_Toc477955643"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  </w:t>
      </w:r>
      <w:r>
        <w:rPr>
          <w:rStyle w:val="10"/>
          <w:rFonts w:hint="eastAsia" w:ascii="Times New Roman" w:hAnsi="Times New Roman" w:cs="宋体"/>
          <w:b/>
          <w:bCs/>
          <w:kern w:val="0"/>
          <w:lang/>
        </w:rPr>
        <w:t>重要提示及目录</w:t>
      </w:r>
      <w:r>
        <w:rPr>
          <w:lang/>
        </w:rPr>
        <w:tab/>
      </w:r>
      <w:r>
        <w:rPr>
          <w:lang/>
        </w:rPr>
        <w:fldChar w:fldCharType="begin"/>
      </w:r>
      <w:r>
        <w:rPr>
          <w:lang/>
        </w:rPr>
        <w:instrText xml:space="preserve"> PAGEREF _Toc477955643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"_Toc477955644"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重要提示</w:t>
      </w:r>
      <w:r>
        <w:rPr>
          <w:lang/>
        </w:rPr>
        <w:tab/>
      </w:r>
      <w:r>
        <w:rPr>
          <w:lang/>
        </w:rPr>
        <w:fldChar w:fldCharType="begin"/>
      </w:r>
      <w:r>
        <w:rPr>
          <w:lang/>
        </w:rPr>
        <w:instrText xml:space="preserve"> PAGEREF _Toc477955644 \h </w:instrText>
      </w:r>
      <w:r>
        <w:rPr>
          <w:lang/>
        </w:rPr>
        <w:fldChar w:fldCharType="separate"/>
      </w:r>
      <w:r>
        <w:rPr>
          <w:lang/>
        </w:rPr>
        <w:t>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"_Toc477955645"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目录</w:t>
      </w:r>
      <w:r>
        <w:rPr>
          <w:lang/>
        </w:rPr>
        <w:tab/>
      </w:r>
      <w:r>
        <w:rPr>
          <w:lang/>
        </w:rPr>
        <w:fldChar w:fldCharType="begin"/>
      </w:r>
      <w:r>
        <w:rPr>
          <w:lang/>
        </w:rPr>
        <w:instrText xml:space="preserve"> PAGEREF _Toc477955645 \h </w:instrText>
      </w:r>
      <w:r>
        <w:rPr>
          <w:lang/>
        </w:rPr>
        <w:fldChar w:fldCharType="separate"/>
      </w:r>
      <w:r>
        <w:rPr>
          <w:lang/>
        </w:rPr>
        <w:t>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"_Toc477955646"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  </w:t>
      </w:r>
      <w:r>
        <w:rPr>
          <w:rStyle w:val="10"/>
          <w:rFonts w:hint="eastAsia" w:ascii="Times New Roman" w:hAnsi="Times New Roman" w:cs="宋体"/>
          <w:b/>
          <w:bCs/>
          <w:kern w:val="0"/>
          <w:lang/>
        </w:rPr>
        <w:t>基金简介</w:t>
      </w:r>
      <w:r>
        <w:rPr>
          <w:lang/>
        </w:rPr>
        <w:tab/>
      </w:r>
      <w:r>
        <w:rPr>
          <w:lang/>
        </w:rPr>
        <w:fldChar w:fldCharType="begin"/>
      </w:r>
      <w:r>
        <w:rPr>
          <w:lang/>
        </w:rPr>
        <w:instrText xml:space="preserve"> PAGEREF _Toc477955646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"_Toc477955647"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2.1 </w:t>
      </w:r>
      <w:r>
        <w:rPr>
          <w:rStyle w:val="10"/>
          <w:rFonts w:hint="eastAsia" w:ascii="Times New Roman" w:hAnsi="Times New Roman" w:cs="宋体"/>
          <w:b/>
          <w:bCs/>
          <w:kern w:val="0"/>
          <w:lang/>
        </w:rPr>
        <w:t>基金基本情况</w:t>
      </w:r>
      <w:r>
        <w:rPr>
          <w:lang/>
        </w:rPr>
        <w:tab/>
      </w:r>
      <w:r>
        <w:rPr>
          <w:lang/>
        </w:rPr>
        <w:fldChar w:fldCharType="begin"/>
      </w:r>
      <w:r>
        <w:rPr>
          <w:lang/>
        </w:rPr>
        <w:instrText xml:space="preserve"> PAGEREF _Toc477955647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"_Toc477955648"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2.2 </w:t>
      </w:r>
      <w:r>
        <w:rPr>
          <w:rStyle w:val="10"/>
          <w:rFonts w:hint="eastAsia" w:ascii="Times New Roman" w:hAnsi="Times New Roman" w:cs="宋体"/>
          <w:b/>
          <w:bCs/>
          <w:kern w:val="0"/>
          <w:lang/>
        </w:rPr>
        <w:t>基金产品说明</w:t>
      </w:r>
      <w:r>
        <w:rPr>
          <w:lang/>
        </w:rPr>
        <w:tab/>
      </w:r>
      <w:r>
        <w:rPr>
          <w:lang/>
        </w:rPr>
        <w:fldChar w:fldCharType="begin"/>
      </w:r>
      <w:r>
        <w:rPr>
          <w:lang/>
        </w:rPr>
        <w:instrText xml:space="preserve"> PAGEREF _Toc477955648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"_Toc477955649"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2.3 </w:t>
      </w:r>
      <w:r>
        <w:rPr>
          <w:rStyle w:val="10"/>
          <w:rFonts w:hint="eastAsia" w:ascii="Times New Roman" w:hAnsi="Times New Roman" w:cs="宋体"/>
          <w:b/>
          <w:bCs/>
          <w:kern w:val="0"/>
          <w:lang/>
        </w:rPr>
        <w:t>基金管理人和基金托管人</w:t>
      </w:r>
      <w:r>
        <w:rPr>
          <w:lang/>
        </w:rPr>
        <w:tab/>
      </w:r>
      <w:r>
        <w:rPr>
          <w:lang/>
        </w:rPr>
        <w:fldChar w:fldCharType="begin"/>
      </w:r>
      <w:r>
        <w:rPr>
          <w:lang/>
        </w:rPr>
        <w:instrText xml:space="preserve"> PAGEREF _Toc477955649 \h </w:instrText>
      </w:r>
      <w:r>
        <w:rPr>
          <w:lang/>
        </w:rPr>
        <w:fldChar w:fldCharType="separate"/>
      </w:r>
      <w:r>
        <w:rPr>
          <w:lang/>
        </w:rPr>
        <w:t>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2.4 </w:t>
      </w:r>
      <w:r>
        <w:rPr>
          <w:rStyle w:val="10"/>
          <w:rFonts w:hint="eastAsia" w:ascii="Times New Roman" w:hAnsi="Times New Roman" w:cs="宋体"/>
          <w:b/>
          <w:bCs/>
          <w:kern w:val="0"/>
          <w:lang/>
        </w:rPr>
        <w:t>信息披露方式</w:t>
      </w:r>
      <w:r>
        <w:rPr>
          <w:lang/>
        </w:rPr>
        <w:tab/>
      </w:r>
      <w:r>
        <w:rPr>
          <w:lang/>
        </w:rPr>
        <w:fldChar w:fldCharType="begin"/>
      </w:r>
      <w:r>
        <w:rPr>
          <w:lang/>
        </w:rPr>
        <w:instrText xml:space="preserve"> PAGEREF _Toc477955650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2.5 </w:t>
      </w:r>
      <w:r>
        <w:rPr>
          <w:rStyle w:val="10"/>
          <w:rFonts w:hint="eastAsia" w:ascii="Times New Roman" w:hAnsi="Times New Roman" w:cs="宋体"/>
          <w:b/>
          <w:bCs/>
          <w:kern w:val="0"/>
          <w:lang/>
        </w:rPr>
        <w:t>其他相关资料</w:t>
      </w:r>
      <w:r>
        <w:rPr>
          <w:lang/>
        </w:rPr>
        <w:tab/>
      </w:r>
      <w:r>
        <w:rPr>
          <w:lang/>
        </w:rPr>
        <w:fldChar w:fldCharType="begin"/>
      </w:r>
      <w:r>
        <w:rPr>
          <w:lang/>
        </w:rPr>
        <w:instrText xml:space="preserve"> PAGEREF _Toc477955651 \h </w:instrText>
      </w:r>
      <w:r>
        <w:rPr>
          <w:lang/>
        </w:rPr>
        <w:fldChar w:fldCharType="separate"/>
      </w:r>
      <w:r>
        <w:rPr>
          <w:lang/>
        </w:rPr>
        <w:t>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"_Toc477955652"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  </w:t>
      </w:r>
      <w:r>
        <w:rPr>
          <w:rStyle w:val="10"/>
          <w:rFonts w:hint="eastAsia" w:ascii="Times New Roman" w:hAnsi="Times New Roman" w:cs="宋体"/>
          <w:b/>
          <w:bCs/>
          <w:kern w:val="0"/>
          <w:lang/>
        </w:rPr>
        <w:t>主要财务指标、基金净值表现及利润分配情况</w:t>
      </w:r>
      <w:r>
        <w:rPr>
          <w:lang/>
        </w:rPr>
        <w:tab/>
      </w:r>
      <w:r>
        <w:rPr>
          <w:lang/>
        </w:rPr>
        <w:fldChar w:fldCharType="begin"/>
      </w:r>
      <w:r>
        <w:rPr>
          <w:lang/>
        </w:rPr>
        <w:instrText xml:space="preserve"> PAGEREF _Toc477955652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3.1 </w:t>
      </w:r>
      <w:r>
        <w:rPr>
          <w:rStyle w:val="10"/>
          <w:rFonts w:hint="eastAsia" w:ascii="Times New Roman" w:hAnsi="Times New Roman" w:cs="宋体"/>
          <w:b/>
          <w:bCs/>
          <w:kern w:val="0"/>
          <w:lang/>
        </w:rPr>
        <w:t>主要会计数据和财务指标</w:t>
      </w:r>
      <w:r>
        <w:rPr>
          <w:lang/>
        </w:rPr>
        <w:tab/>
      </w:r>
      <w:r>
        <w:rPr>
          <w:lang/>
        </w:rPr>
        <w:fldChar w:fldCharType="begin"/>
      </w:r>
      <w:r>
        <w:rPr>
          <w:lang/>
        </w:rPr>
        <w:instrText xml:space="preserve"> PAGEREF _Toc477955653 \h </w:instrText>
      </w:r>
      <w:r>
        <w:rPr>
          <w:lang/>
        </w:rPr>
        <w:fldChar w:fldCharType="separate"/>
      </w:r>
      <w:r>
        <w:rPr>
          <w:lang/>
        </w:rPr>
        <w:t>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3.2 </w:t>
      </w:r>
      <w:r>
        <w:rPr>
          <w:rStyle w:val="10"/>
          <w:rFonts w:hint="eastAsia" w:ascii="Times New Roman" w:hAnsi="Times New Roman" w:cs="宋体"/>
          <w:b/>
          <w:bCs/>
          <w:kern w:val="0"/>
          <w:lang/>
        </w:rPr>
        <w:t>基金净值表现</w:t>
      </w:r>
      <w:r>
        <w:rPr>
          <w:lang/>
        </w:rPr>
        <w:tab/>
      </w:r>
      <w:r>
        <w:rPr>
          <w:lang/>
        </w:rPr>
        <w:fldChar w:fldCharType="begin"/>
      </w:r>
      <w:r>
        <w:rPr>
          <w:lang/>
        </w:rPr>
        <w:instrText xml:space="preserve"> PAGEREF _Toc477955654 \h </w:instrText>
      </w:r>
      <w:r>
        <w:rPr>
          <w:lang/>
        </w:rPr>
        <w:fldChar w:fldCharType="separate"/>
      </w:r>
      <w:r>
        <w:rPr>
          <w:lang/>
        </w:rPr>
        <w:t>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3.3 </w:t>
      </w:r>
      <w:r>
        <w:rPr>
          <w:rStyle w:val="10"/>
          <w:rFonts w:hint="eastAsia" w:ascii="Times New Roman" w:hAnsi="Times New Roman" w:cs="宋体"/>
          <w:b/>
          <w:bCs/>
          <w:kern w:val="0"/>
          <w:lang/>
        </w:rPr>
        <w:t>过去三年基金的利润分配情况</w:t>
      </w:r>
      <w:r>
        <w:rPr>
          <w:lang/>
        </w:rPr>
        <w:tab/>
      </w:r>
      <w:r>
        <w:rPr>
          <w:lang/>
        </w:rPr>
        <w:fldChar w:fldCharType="begin"/>
      </w:r>
      <w:r>
        <w:rPr>
          <w:lang/>
        </w:rPr>
        <w:instrText xml:space="preserve"> PAGEREF _Toc477955655 \h </w:instrText>
      </w:r>
      <w:r>
        <w:rPr>
          <w:lang/>
        </w:rPr>
        <w:fldChar w:fldCharType="separate"/>
      </w:r>
      <w:r>
        <w:rPr>
          <w:lang/>
        </w:rPr>
        <w:t>8</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"_Toc477955656"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  </w:t>
      </w:r>
      <w:r>
        <w:rPr>
          <w:rStyle w:val="10"/>
          <w:rFonts w:hint="eastAsia" w:ascii="Times New Roman" w:hAnsi="Times New Roman" w:cs="宋体"/>
          <w:b/>
          <w:bCs/>
          <w:kern w:val="0"/>
          <w:lang/>
        </w:rPr>
        <w:t>管理人报告</w:t>
      </w:r>
      <w:r>
        <w:rPr>
          <w:lang/>
        </w:rPr>
        <w:tab/>
      </w:r>
      <w:r>
        <w:rPr>
          <w:lang/>
        </w:rPr>
        <w:fldChar w:fldCharType="begin"/>
      </w:r>
      <w:r>
        <w:rPr>
          <w:lang/>
        </w:rPr>
        <w:instrText xml:space="preserve"> PAGEREF _Toc477955656 \h </w:instrText>
      </w:r>
      <w:r>
        <w:rPr>
          <w:lang/>
        </w:rPr>
        <w:fldChar w:fldCharType="separate"/>
      </w:r>
      <w:r>
        <w:rPr>
          <w:lang/>
        </w:rPr>
        <w:t>8</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4.1 </w:t>
      </w:r>
      <w:r>
        <w:rPr>
          <w:rStyle w:val="10"/>
          <w:rFonts w:hint="eastAsia" w:ascii="Times New Roman" w:hAnsi="Times New Roman" w:cs="宋体"/>
          <w:b/>
          <w:bCs/>
          <w:kern w:val="0"/>
          <w:lang/>
        </w:rPr>
        <w:t>基金管理人及基金经理情况</w:t>
      </w:r>
      <w:r>
        <w:rPr>
          <w:lang/>
        </w:rPr>
        <w:tab/>
      </w:r>
      <w:r>
        <w:rPr>
          <w:lang/>
        </w:rPr>
        <w:fldChar w:fldCharType="begin"/>
      </w:r>
      <w:r>
        <w:rPr>
          <w:lang/>
        </w:rPr>
        <w:instrText xml:space="preserve"> PAGEREF _Toc477955657 \h </w:instrText>
      </w:r>
      <w:r>
        <w:rPr>
          <w:lang/>
        </w:rPr>
        <w:fldChar w:fldCharType="separate"/>
      </w:r>
      <w:r>
        <w:rPr>
          <w:lang/>
        </w:rPr>
        <w:t>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4.2 </w:t>
      </w:r>
      <w:r>
        <w:rPr>
          <w:rStyle w:val="10"/>
          <w:rFonts w:hint="eastAsia" w:ascii="Times New Roman" w:hAnsi="Times New Roman" w:cs="宋体"/>
          <w:b/>
          <w:bCs/>
          <w:kern w:val="0"/>
          <w:lang/>
        </w:rPr>
        <w:t>管理人对报告期内本基金运作遵规守信情况的说明</w:t>
      </w:r>
      <w:r>
        <w:rPr>
          <w:lang/>
        </w:rPr>
        <w:tab/>
      </w:r>
      <w:r>
        <w:rPr>
          <w:lang/>
        </w:rPr>
        <w:fldChar w:fldCharType="begin"/>
      </w:r>
      <w:r>
        <w:rPr>
          <w:lang/>
        </w:rPr>
        <w:instrText xml:space="preserve"> PAGEREF _Toc477955658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"_Toc477955659"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4.3 </w:t>
      </w:r>
      <w:r>
        <w:rPr>
          <w:rStyle w:val="10"/>
          <w:rFonts w:hint="eastAsia" w:ascii="Times New Roman" w:hAnsi="Times New Roman" w:cs="宋体"/>
          <w:b/>
          <w:bCs/>
          <w:kern w:val="0"/>
          <w:lang/>
        </w:rPr>
        <w:t>管理人对报告期内公平交易情况的专项说明</w:t>
      </w:r>
      <w:r>
        <w:rPr>
          <w:lang/>
        </w:rPr>
        <w:tab/>
      </w:r>
      <w:r>
        <w:rPr>
          <w:lang/>
        </w:rPr>
        <w:fldChar w:fldCharType="begin"/>
      </w:r>
      <w:r>
        <w:rPr>
          <w:lang/>
        </w:rPr>
        <w:instrText xml:space="preserve"> PAGEREF _Toc477955659 \h </w:instrText>
      </w:r>
      <w:r>
        <w:rPr>
          <w:lang/>
        </w:rPr>
        <w:fldChar w:fldCharType="separate"/>
      </w:r>
      <w:r>
        <w:rPr>
          <w:lang/>
        </w:rPr>
        <w:t>10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4.4 </w:t>
      </w:r>
      <w:r>
        <w:rPr>
          <w:rStyle w:val="10"/>
          <w:rFonts w:hint="eastAsia" w:ascii="Times New Roman" w:hAnsi="Times New Roman" w:cs="宋体"/>
          <w:b/>
          <w:bCs/>
          <w:kern w:val="0"/>
          <w:lang/>
        </w:rPr>
        <w:t>管理人对报告期内基金的投资策略和业绩表现的说明</w:t>
      </w:r>
      <w:r>
        <w:rPr>
          <w:lang/>
        </w:rPr>
        <w:tab/>
      </w:r>
      <w:r>
        <w:rPr>
          <w:lang/>
        </w:rPr>
        <w:fldChar w:fldCharType="begin"/>
      </w:r>
      <w:r>
        <w:rPr>
          <w:lang/>
        </w:rPr>
        <w:instrText xml:space="preserve"> PAGEREF _Toc477955660 \h </w:instrText>
      </w:r>
      <w:r>
        <w:rPr>
          <w:lang/>
        </w:rPr>
        <w:fldChar w:fldCharType="separate"/>
      </w:r>
      <w:r>
        <w:rPr>
          <w:lang/>
        </w:rPr>
        <w:t>11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4.5 </w:t>
      </w:r>
      <w:r>
        <w:rPr>
          <w:rStyle w:val="10"/>
          <w:rFonts w:hint="eastAsia" w:ascii="Times New Roman" w:hAnsi="Times New Roman" w:cs="宋体"/>
          <w:b/>
          <w:bCs/>
          <w:kern w:val="0"/>
          <w:lang/>
        </w:rPr>
        <w:t>管理人对宏观经济、证券市场及行业走势的简要展望</w:t>
      </w:r>
      <w:r>
        <w:rPr>
          <w:lang/>
        </w:rPr>
        <w:tab/>
      </w:r>
      <w:r>
        <w:rPr>
          <w:lang/>
        </w:rPr>
        <w:fldChar w:fldCharType="begin"/>
      </w:r>
      <w:r>
        <w:rPr>
          <w:lang/>
        </w:rPr>
        <w:instrText xml:space="preserve"> PAGEREF _Toc477955661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4.6 </w:t>
      </w:r>
      <w:r>
        <w:rPr>
          <w:rStyle w:val="10"/>
          <w:rFonts w:hint="eastAsia" w:ascii="Times New Roman" w:hAnsi="Times New Roman" w:cs="宋体"/>
          <w:b/>
          <w:bCs/>
          <w:kern w:val="0"/>
          <w:lang/>
        </w:rPr>
        <w:t>管理人内部有关本基金的监察稽核工作情况</w:t>
      </w:r>
      <w:r>
        <w:rPr>
          <w:lang/>
        </w:rPr>
        <w:tab/>
      </w:r>
      <w:r>
        <w:rPr>
          <w:lang/>
        </w:rPr>
        <w:fldChar w:fldCharType="begin"/>
      </w:r>
      <w:r>
        <w:rPr>
          <w:lang/>
        </w:rPr>
        <w:instrText xml:space="preserve"> PAGEREF _Toc477955662 \h </w:instrText>
      </w:r>
      <w:r>
        <w:rPr>
          <w:lang/>
        </w:rPr>
        <w:fldChar w:fldCharType="separate"/>
      </w:r>
      <w:r>
        <w:rPr>
          <w:lang/>
        </w:rPr>
        <w:t>12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4.7 </w:t>
      </w:r>
      <w:r>
        <w:rPr>
          <w:rStyle w:val="10"/>
          <w:rFonts w:hint="eastAsia" w:ascii="Times New Roman" w:hAnsi="Times New Roman" w:cs="宋体"/>
          <w:b/>
          <w:bCs/>
          <w:kern w:val="0"/>
          <w:lang/>
        </w:rPr>
        <w:t>管理人对报告期内基金估值程序等事项的说明</w:t>
      </w:r>
      <w:r>
        <w:rPr>
          <w:lang/>
        </w:rPr>
        <w:tab/>
      </w:r>
      <w:r>
        <w:rPr>
          <w:lang/>
        </w:rPr>
        <w:fldChar w:fldCharType="begin"/>
      </w:r>
      <w:r>
        <w:rPr>
          <w:lang/>
        </w:rPr>
        <w:instrText xml:space="preserve"> PAGEREF _Toc477955663 \h </w:instrText>
      </w:r>
      <w:r>
        <w:rPr>
          <w:lang/>
        </w:rPr>
        <w:fldChar w:fldCharType="separate"/>
      </w:r>
      <w:r>
        <w:rPr>
          <w:lang/>
        </w:rPr>
        <w:t>13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4.8 </w:t>
      </w:r>
      <w:r>
        <w:rPr>
          <w:rStyle w:val="10"/>
          <w:rFonts w:hint="eastAsia" w:ascii="Times New Roman" w:hAnsi="Times New Roman" w:cs="宋体"/>
          <w:b/>
          <w:bCs/>
          <w:kern w:val="0"/>
          <w:lang/>
        </w:rPr>
        <w:t>管理人对报告期内基金利润分配情况的说明</w:t>
      </w:r>
      <w:r>
        <w:rPr>
          <w:lang/>
        </w:rPr>
        <w:tab/>
      </w:r>
      <w:r>
        <w:rPr>
          <w:lang/>
        </w:rPr>
        <w:fldChar w:fldCharType="begin"/>
      </w:r>
      <w:r>
        <w:rPr>
          <w:lang/>
        </w:rPr>
        <w:instrText xml:space="preserve"> PAGEREF _Toc477955664 \h </w:instrText>
      </w:r>
      <w:r>
        <w:rPr>
          <w:lang/>
        </w:rPr>
        <w:fldChar w:fldCharType="separate"/>
      </w:r>
      <w:r>
        <w:rPr>
          <w:lang/>
        </w:rPr>
        <w:t>13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"_Toc477955665"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  </w:t>
      </w:r>
      <w:r>
        <w:rPr>
          <w:rStyle w:val="10"/>
          <w:rFonts w:hint="eastAsia" w:ascii="Times New Roman" w:hAnsi="Times New Roman" w:cs="宋体"/>
          <w:b/>
          <w:bCs/>
          <w:kern w:val="0"/>
          <w:lang/>
        </w:rPr>
        <w:t>托管人报告</w:t>
      </w:r>
      <w:r>
        <w:rPr>
          <w:lang/>
        </w:rPr>
        <w:tab/>
      </w:r>
      <w:r>
        <w:rPr>
          <w:lang/>
        </w:rPr>
        <w:fldChar w:fldCharType="begin"/>
      </w:r>
      <w:r>
        <w:rPr>
          <w:lang/>
        </w:rPr>
        <w:instrText xml:space="preserve"> PAGEREF _Toc477955665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5.1 </w:t>
      </w:r>
      <w:r>
        <w:rPr>
          <w:rStyle w:val="10"/>
          <w:rFonts w:hint="eastAsia" w:ascii="Times New Roman" w:hAnsi="Times New Roman" w:cs="宋体"/>
          <w:b/>
          <w:bCs/>
          <w:kern w:val="0"/>
          <w:lang/>
        </w:rPr>
        <w:t>报告期内本基金托管人遵规守信情况声明</w:t>
      </w:r>
      <w:r>
        <w:rPr>
          <w:lang/>
        </w:rPr>
        <w:tab/>
      </w:r>
      <w:r>
        <w:rPr>
          <w:lang/>
        </w:rPr>
        <w:fldChar w:fldCharType="begin"/>
      </w:r>
      <w:r>
        <w:rPr>
          <w:lang/>
        </w:rPr>
        <w:instrText xml:space="preserve"> PAGEREF _Toc477955666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5.2 </w:t>
      </w:r>
      <w:r>
        <w:rPr>
          <w:rStyle w:val="10"/>
          <w:rFonts w:hint="eastAsia" w:ascii="Times New Roman" w:hAnsi="Times New Roman" w:cs="宋体"/>
          <w:b/>
          <w:bCs/>
          <w:kern w:val="0"/>
          <w:lang/>
        </w:rPr>
        <w:t>托管人对报告期内本基金投资运作遵规守信、净值计算、利润分配等情况的说明</w:t>
      </w:r>
      <w:r>
        <w:rPr>
          <w:lang/>
        </w:rPr>
        <w:tab/>
      </w:r>
      <w:r>
        <w:rPr>
          <w:lang/>
        </w:rPr>
        <w:fldChar w:fldCharType="begin"/>
      </w:r>
      <w:r>
        <w:rPr>
          <w:lang/>
        </w:rPr>
        <w:instrText xml:space="preserve"> PAGEREF _Toc477955667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"_Toc477955668"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5.3 </w:t>
      </w:r>
      <w:r>
        <w:rPr>
          <w:rStyle w:val="10"/>
          <w:rFonts w:hint="eastAsia" w:ascii="Times New Roman" w:hAnsi="Times New Roman" w:cs="宋体"/>
          <w:b/>
          <w:bCs/>
          <w:kern w:val="0"/>
          <w:lang/>
        </w:rPr>
        <w:t>托管人对本年度报告中财务信息等内容的真实、准确和完整发表意见</w:t>
      </w:r>
      <w:r>
        <w:rPr>
          <w:lang/>
        </w:rPr>
        <w:tab/>
      </w:r>
      <w:r>
        <w:rPr>
          <w:lang/>
        </w:rPr>
        <w:fldChar w:fldCharType="begin"/>
      </w:r>
      <w:r>
        <w:rPr>
          <w:lang/>
        </w:rPr>
        <w:instrText xml:space="preserve"> PAGEREF _Toc477955668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"_Toc477955669"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  </w:t>
      </w:r>
      <w:r>
        <w:rPr>
          <w:rStyle w:val="10"/>
          <w:rFonts w:hint="eastAsia" w:ascii="Times New Roman" w:hAnsi="Times New Roman" w:cs="宋体"/>
          <w:b/>
          <w:bCs/>
          <w:kern w:val="0"/>
          <w:lang/>
        </w:rPr>
        <w:t>审计报告</w:t>
      </w:r>
      <w:r>
        <w:rPr>
          <w:lang/>
        </w:rPr>
        <w:tab/>
      </w:r>
      <w:r>
        <w:rPr>
          <w:lang/>
        </w:rPr>
        <w:fldChar w:fldCharType="begin"/>
      </w:r>
      <w:r>
        <w:rPr>
          <w:lang/>
        </w:rPr>
        <w:instrText xml:space="preserve"> PAGEREF _Toc477955669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6.1 </w:t>
      </w:r>
      <w:r>
        <w:rPr>
          <w:rStyle w:val="10"/>
          <w:rFonts w:hint="eastAsia" w:ascii="Times New Roman" w:hAnsi="Times New Roman" w:cs="宋体"/>
          <w:b/>
          <w:bCs/>
          <w:kern w:val="0"/>
          <w:lang/>
        </w:rPr>
        <w:t>审计报告基本信息</w:t>
      </w:r>
      <w:r>
        <w:rPr>
          <w:lang/>
        </w:rPr>
        <w:tab/>
      </w:r>
      <w:r>
        <w:rPr>
          <w:lang/>
        </w:rPr>
        <w:fldChar w:fldCharType="begin"/>
      </w:r>
      <w:r>
        <w:rPr>
          <w:lang/>
        </w:rPr>
        <w:instrText xml:space="preserve"> PAGEREF _Toc477955670 \h </w:instrText>
      </w:r>
      <w:r>
        <w:rPr>
          <w:lang/>
        </w:rPr>
        <w:fldChar w:fldCharType="separate"/>
      </w:r>
      <w:r>
        <w:rPr>
          <w:lang/>
        </w:rPr>
        <w:t>14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6.2 </w:t>
      </w:r>
      <w:r>
        <w:rPr>
          <w:rStyle w:val="10"/>
          <w:rFonts w:hint="eastAsia" w:ascii="Times New Roman" w:hAnsi="Times New Roman" w:cs="宋体"/>
          <w:b/>
          <w:bCs/>
          <w:kern w:val="0"/>
          <w:lang/>
        </w:rPr>
        <w:t>审计报告的基本内容</w:t>
      </w:r>
      <w:r>
        <w:rPr>
          <w:lang/>
        </w:rPr>
        <w:tab/>
      </w:r>
      <w:r>
        <w:rPr>
          <w:lang/>
        </w:rPr>
        <w:fldChar w:fldCharType="begin"/>
      </w:r>
      <w:r>
        <w:rPr>
          <w:lang/>
        </w:rPr>
        <w:instrText xml:space="preserve"> PAGEREF _Toc477955671 \h </w:instrText>
      </w:r>
      <w:r>
        <w:rPr>
          <w:lang/>
        </w:rPr>
        <w:fldChar w:fldCharType="separate"/>
      </w:r>
      <w:r>
        <w:rPr>
          <w:lang/>
        </w:rPr>
        <w:t>14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"_Toc477955672"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  </w:t>
      </w:r>
      <w:r>
        <w:rPr>
          <w:rStyle w:val="10"/>
          <w:rFonts w:hint="eastAsia" w:ascii="Times New Roman" w:hAnsi="Times New Roman" w:cs="宋体"/>
          <w:b/>
          <w:bCs/>
          <w:kern w:val="0"/>
          <w:lang/>
        </w:rPr>
        <w:t>年度财务报表</w:t>
      </w:r>
      <w:r>
        <w:rPr>
          <w:lang/>
        </w:rPr>
        <w:tab/>
      </w:r>
      <w:r>
        <w:rPr>
          <w:lang/>
        </w:rPr>
        <w:fldChar w:fldCharType="begin"/>
      </w:r>
      <w:r>
        <w:rPr>
          <w:lang/>
        </w:rPr>
        <w:instrText xml:space="preserve"> PAGEREF _Toc477955672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7.1 </w:t>
      </w:r>
      <w:r>
        <w:rPr>
          <w:rStyle w:val="10"/>
          <w:rFonts w:hint="eastAsia" w:ascii="Times New Roman" w:hAnsi="Times New Roman" w:cs="宋体"/>
          <w:b/>
          <w:bCs/>
          <w:kern w:val="0"/>
          <w:lang/>
        </w:rPr>
        <w:t>资产负债表</w:t>
      </w:r>
      <w:r>
        <w:rPr>
          <w:lang/>
        </w:rPr>
        <w:tab/>
      </w:r>
      <w:r>
        <w:rPr>
          <w:lang/>
        </w:rPr>
        <w:fldChar w:fldCharType="begin"/>
      </w:r>
      <w:r>
        <w:rPr>
          <w:lang/>
        </w:rPr>
        <w:instrText xml:space="preserve"> PAGEREF _Toc477955673 \h </w:instrText>
      </w:r>
      <w:r>
        <w:rPr>
          <w:lang/>
        </w:rPr>
        <w:fldChar w:fldCharType="separate"/>
      </w:r>
      <w:r>
        <w:rPr>
          <w:lang/>
        </w:rPr>
        <w:t>16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7.2 </w:t>
      </w:r>
      <w:r>
        <w:rPr>
          <w:rStyle w:val="10"/>
          <w:rFonts w:hint="eastAsia" w:ascii="Times New Roman" w:hAnsi="Times New Roman" w:cs="宋体"/>
          <w:b/>
          <w:bCs/>
          <w:kern w:val="0"/>
          <w:lang/>
        </w:rPr>
        <w:t>利润表</w:t>
      </w:r>
      <w:r>
        <w:rPr>
          <w:lang/>
        </w:rPr>
        <w:tab/>
      </w:r>
      <w:r>
        <w:rPr>
          <w:lang/>
        </w:rPr>
        <w:fldChar w:fldCharType="begin"/>
      </w:r>
      <w:r>
        <w:rPr>
          <w:lang/>
        </w:rPr>
        <w:instrText xml:space="preserve"> PAGEREF _Toc477955674 \h </w:instrText>
      </w:r>
      <w:r>
        <w:rPr>
          <w:lang/>
        </w:rPr>
        <w:fldChar w:fldCharType="separate"/>
      </w:r>
      <w:r>
        <w:rPr>
          <w:lang/>
        </w:rPr>
        <w:t>17</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7.3 </w:t>
      </w:r>
      <w:r>
        <w:rPr>
          <w:rStyle w:val="10"/>
          <w:rFonts w:hint="eastAsia" w:ascii="Times New Roman" w:hAnsi="Times New Roman" w:cs="宋体"/>
          <w:b/>
          <w:bCs/>
          <w:kern w:val="0"/>
          <w:lang/>
        </w:rPr>
        <w:t>所有者权益（基金净值）变动表</w:t>
      </w:r>
      <w:r>
        <w:rPr>
          <w:lang/>
        </w:rPr>
        <w:tab/>
      </w:r>
      <w:r>
        <w:rPr>
          <w:lang/>
        </w:rPr>
        <w:fldChar w:fldCharType="begin"/>
      </w:r>
      <w:r>
        <w:rPr>
          <w:lang/>
        </w:rPr>
        <w:instrText xml:space="preserve"> PAGEREF _Toc477955675 \h </w:instrText>
      </w:r>
      <w:r>
        <w:rPr>
          <w:lang/>
        </w:rPr>
        <w:fldChar w:fldCharType="separate"/>
      </w:r>
      <w:r>
        <w:rPr>
          <w:lang/>
        </w:rPr>
        <w:t>19</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7.4 </w:t>
      </w:r>
      <w:r>
        <w:rPr>
          <w:rStyle w:val="10"/>
          <w:rFonts w:hint="eastAsia" w:ascii="Times New Roman" w:hAnsi="Times New Roman" w:cs="宋体"/>
          <w:b/>
          <w:bCs/>
          <w:kern w:val="0"/>
          <w:lang/>
        </w:rPr>
        <w:t>报表附注</w:t>
      </w:r>
      <w:r>
        <w:rPr>
          <w:lang/>
        </w:rPr>
        <w:tab/>
      </w:r>
      <w:r>
        <w:rPr>
          <w:lang/>
        </w:rPr>
        <w:fldChar w:fldCharType="begin"/>
      </w:r>
      <w:r>
        <w:rPr>
          <w:lang/>
        </w:rPr>
        <w:instrText xml:space="preserve"> PAGEREF _Toc477955676 \h </w:instrText>
      </w:r>
      <w:r>
        <w:rPr>
          <w:lang/>
        </w:rPr>
        <w:fldChar w:fldCharType="separate"/>
      </w:r>
      <w:r>
        <w:rPr>
          <w:lang/>
        </w:rPr>
        <w:t>20</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"_Toc477955677"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  </w:t>
      </w:r>
      <w:r>
        <w:rPr>
          <w:rStyle w:val="10"/>
          <w:rFonts w:hint="eastAsia" w:ascii="Times New Roman" w:hAnsi="Times New Roman" w:cs="宋体"/>
          <w:b/>
          <w:bCs/>
          <w:kern w:val="0"/>
          <w:lang/>
        </w:rPr>
        <w:t>投资组合报告</w:t>
      </w:r>
      <w:r>
        <w:rPr>
          <w:lang/>
        </w:rPr>
        <w:tab/>
      </w:r>
      <w:r>
        <w:rPr>
          <w:lang/>
        </w:rPr>
        <w:fldChar w:fldCharType="begin"/>
      </w:r>
      <w:r>
        <w:rPr>
          <w:lang/>
        </w:rPr>
        <w:instrText xml:space="preserve"> PAGEREF _Toc477955677 \h </w:instrText>
      </w:r>
      <w:r>
        <w:rPr>
          <w:lang/>
        </w:rPr>
        <w:fldChar w:fldCharType="separate"/>
      </w:r>
      <w:r>
        <w:rPr>
          <w:lang/>
        </w:rPr>
        <w:t>40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 </w:t>
      </w:r>
      <w:r>
        <w:rPr>
          <w:rStyle w:val="10"/>
          <w:rFonts w:hint="eastAsia" w:ascii="Times New Roman" w:hAnsi="Times New Roman" w:cs="宋体"/>
          <w:b/>
          <w:bCs/>
          <w:kern w:val="0"/>
          <w:lang/>
        </w:rPr>
        <w:t>期末基金资产组合情况</w:t>
      </w:r>
      <w:r>
        <w:rPr>
          <w:lang/>
        </w:rPr>
        <w:tab/>
      </w:r>
      <w:r>
        <w:rPr>
          <w:lang/>
        </w:rPr>
        <w:fldChar w:fldCharType="begin"/>
      </w:r>
      <w:r>
        <w:rPr>
          <w:lang/>
        </w:rPr>
        <w:instrText xml:space="preserve"> PAGEREF _Toc477955678 \h </w:instrText>
      </w:r>
      <w:r>
        <w:rPr>
          <w:lang/>
        </w:rPr>
        <w:fldChar w:fldCharType="separate"/>
      </w:r>
      <w:r>
        <w:rPr>
          <w:lang/>
        </w:rPr>
        <w:t>40</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"_Toc477955679"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8.3 </w:t>
      </w:r>
      <w:r>
        <w:rPr>
          <w:rStyle w:val="10"/>
          <w:rFonts w:hint="eastAsia" w:ascii="Times New Roman" w:hAnsi="Times New Roman" w:cs="宋体"/>
          <w:b/>
          <w:bCs/>
          <w:kern w:val="0"/>
          <w:lang/>
        </w:rPr>
        <w:t>期末按公允价值占基金资产净值比例大小排序的所有股票投资明细</w:t>
      </w:r>
      <w:r>
        <w:rPr>
          <w:lang/>
        </w:rPr>
        <w:tab/>
      </w:r>
      <w:r>
        <w:rPr>
          <w:lang/>
        </w:rPr>
        <w:fldChar w:fldCharType="begin"/>
      </w:r>
      <w:r>
        <w:rPr>
          <w:lang/>
        </w:rPr>
        <w:instrText xml:space="preserve"> PAGEREF _Toc477955679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8.4 </w:t>
      </w:r>
      <w:r>
        <w:rPr>
          <w:rStyle w:val="10"/>
          <w:rFonts w:hint="eastAsia" w:ascii="Times New Roman" w:hAnsi="Times New Roman" w:cs="宋体"/>
          <w:b/>
          <w:bCs/>
          <w:kern w:val="0"/>
          <w:lang/>
        </w:rPr>
        <w:t>报告期内股票投资组合的重大变动</w:t>
      </w:r>
      <w:r>
        <w:rPr>
          <w:lang/>
        </w:rPr>
        <w:tab/>
      </w:r>
      <w:r>
        <w:rPr>
          <w:lang/>
        </w:rPr>
        <w:fldChar w:fldCharType="begin"/>
      </w:r>
      <w:r>
        <w:rPr>
          <w:lang/>
        </w:rPr>
        <w:instrText xml:space="preserve"> PAGEREF _Toc477955680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8.5 </w:t>
      </w:r>
      <w:r>
        <w:rPr>
          <w:rStyle w:val="10"/>
          <w:rFonts w:hint="eastAsia" w:ascii="Times New Roman" w:hAnsi="Times New Roman" w:cs="宋体"/>
          <w:b/>
          <w:bCs/>
          <w:kern w:val="0"/>
          <w:lang/>
        </w:rPr>
        <w:t>期末按债券品种分类的债券投资组合</w:t>
      </w:r>
      <w:r>
        <w:rPr>
          <w:lang/>
        </w:rPr>
        <w:tab/>
      </w:r>
      <w:r>
        <w:rPr>
          <w:lang/>
        </w:rPr>
        <w:fldChar w:fldCharType="begin"/>
      </w:r>
      <w:r>
        <w:rPr>
          <w:lang/>
        </w:rPr>
        <w:instrText xml:space="preserve"> PAGEREF _Toc477955681 \h </w:instrText>
      </w:r>
      <w:r>
        <w:rPr>
          <w:lang/>
        </w:rPr>
        <w:fldChar w:fldCharType="separate"/>
      </w:r>
      <w:r>
        <w:rPr>
          <w:lang/>
        </w:rPr>
        <w:t>41</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8.6 </w:t>
      </w:r>
      <w:r>
        <w:rPr>
          <w:rStyle w:val="10"/>
          <w:rFonts w:hint="eastAsia" w:ascii="Times New Roman" w:hAnsi="Times New Roman" w:cs="宋体"/>
          <w:b/>
          <w:bCs/>
          <w:kern w:val="0"/>
          <w:lang/>
        </w:rPr>
        <w:t>期末按公允价值占基金资产净值比例大小排序的前五名债券投资明细</w:t>
      </w:r>
      <w:r>
        <w:rPr>
          <w:lang/>
        </w:rPr>
        <w:tab/>
      </w:r>
      <w:r>
        <w:rPr>
          <w:lang/>
        </w:rPr>
        <w:fldChar w:fldCharType="begin"/>
      </w:r>
      <w:r>
        <w:rPr>
          <w:lang/>
        </w:rPr>
        <w:instrText xml:space="preserve"> PAGEREF _Toc477955682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8.7 </w:t>
      </w:r>
      <w:r>
        <w:rPr>
          <w:rStyle w:val="10"/>
          <w:rFonts w:hint="eastAsia" w:ascii="Times New Roman" w:hAnsi="Times New Roman" w:cs="宋体"/>
          <w:b/>
          <w:bCs/>
          <w:kern w:val="0"/>
          <w:lang/>
        </w:rPr>
        <w:t>期末按公允价值占基金资产净值比例大小排序的所有资产支持证券投资明细</w:t>
      </w:r>
      <w:r>
        <w:rPr>
          <w:lang/>
        </w:rPr>
        <w:tab/>
      </w:r>
      <w:r>
        <w:rPr>
          <w:lang/>
        </w:rPr>
        <w:fldChar w:fldCharType="begin"/>
      </w:r>
      <w:r>
        <w:rPr>
          <w:lang/>
        </w:rPr>
        <w:instrText xml:space="preserve"> PAGEREF _Toc477955683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8.8 </w:t>
      </w:r>
      <w:r>
        <w:rPr>
          <w:rStyle w:val="10"/>
          <w:rFonts w:hint="eastAsia" w:ascii="Times New Roman" w:hAnsi="Times New Roman" w:cs="宋体"/>
          <w:b/>
          <w:bCs/>
          <w:kern w:val="0"/>
          <w:lang/>
        </w:rPr>
        <w:t>报告期末按公允价值占基金资产净值比例大小排序的前五名贵金属投资明细</w:t>
      </w:r>
      <w:r>
        <w:rPr>
          <w:lang/>
        </w:rPr>
        <w:tab/>
      </w:r>
      <w:r>
        <w:rPr>
          <w:lang/>
        </w:rPr>
        <w:fldChar w:fldCharType="begin"/>
      </w:r>
      <w:r>
        <w:rPr>
          <w:lang/>
        </w:rPr>
        <w:instrText xml:space="preserve"> PAGEREF _Toc477955684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8.9 </w:t>
      </w:r>
      <w:r>
        <w:rPr>
          <w:rStyle w:val="10"/>
          <w:rFonts w:hint="eastAsia" w:ascii="Times New Roman" w:hAnsi="Times New Roman" w:cs="宋体"/>
          <w:b/>
          <w:bCs/>
          <w:kern w:val="0"/>
          <w:lang/>
        </w:rPr>
        <w:t>期末按公允价值占基金资产净值比例大小排序的前五名权证投资明细</w:t>
      </w:r>
      <w:r>
        <w:rPr>
          <w:lang/>
        </w:rPr>
        <w:tab/>
      </w:r>
      <w:r>
        <w:rPr>
          <w:lang/>
        </w:rPr>
        <w:fldChar w:fldCharType="begin"/>
      </w:r>
      <w:r>
        <w:rPr>
          <w:lang/>
        </w:rPr>
        <w:instrText xml:space="preserve"> PAGEREF _Toc477955685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8.10 </w:t>
      </w:r>
      <w:r>
        <w:rPr>
          <w:rStyle w:val="10"/>
          <w:rFonts w:hint="eastAsia" w:ascii="Times New Roman" w:hAnsi="Times New Roman" w:cs="宋体"/>
          <w:b/>
          <w:bCs/>
          <w:kern w:val="0"/>
          <w:lang/>
        </w:rPr>
        <w:t>报告期末本基金投资的股指期货交易情况说明</w:t>
      </w:r>
      <w:r>
        <w:rPr>
          <w:lang/>
        </w:rPr>
        <w:tab/>
      </w:r>
      <w:r>
        <w:rPr>
          <w:lang/>
        </w:rPr>
        <w:fldChar w:fldCharType="begin"/>
      </w:r>
      <w:r>
        <w:rPr>
          <w:lang/>
        </w:rPr>
        <w:instrText xml:space="preserve"> PAGEREF _Toc477955686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8.11 </w:t>
      </w:r>
      <w:r>
        <w:rPr>
          <w:rStyle w:val="10"/>
          <w:rFonts w:hint="eastAsia" w:ascii="Times New Roman" w:hAnsi="Times New Roman" w:cs="宋体"/>
          <w:b/>
          <w:bCs/>
          <w:kern w:val="0"/>
          <w:lang/>
        </w:rPr>
        <w:t>报告期末本基金投资的国债期货交易情况说明</w:t>
      </w:r>
      <w:r>
        <w:rPr>
          <w:lang/>
        </w:rPr>
        <w:tab/>
      </w:r>
      <w:r>
        <w:rPr>
          <w:lang/>
        </w:rPr>
        <w:fldChar w:fldCharType="begin"/>
      </w:r>
      <w:r>
        <w:rPr>
          <w:lang/>
        </w:rPr>
        <w:instrText xml:space="preserve"> PAGEREF _Toc477955687 \h </w:instrText>
      </w:r>
      <w:r>
        <w:rPr>
          <w:lang/>
        </w:rPr>
        <w:fldChar w:fldCharType="separate"/>
      </w:r>
      <w:r>
        <w:rPr>
          <w:lang/>
        </w:rPr>
        <w:t>42</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"_Toc477955688"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8.12 </w:t>
      </w:r>
      <w:r>
        <w:rPr>
          <w:rStyle w:val="10"/>
          <w:rFonts w:hint="eastAsia" w:ascii="Times New Roman" w:hAnsi="Times New Roman" w:cs="宋体"/>
          <w:b/>
          <w:bCs/>
          <w:kern w:val="0"/>
          <w:lang/>
        </w:rPr>
        <w:t>投资组合报告附注</w:t>
      </w:r>
      <w:r>
        <w:rPr>
          <w:lang/>
        </w:rPr>
        <w:tab/>
      </w:r>
      <w:r>
        <w:rPr>
          <w:lang/>
        </w:rPr>
        <w:fldChar w:fldCharType="begin"/>
      </w:r>
      <w:r>
        <w:rPr>
          <w:lang/>
        </w:rPr>
        <w:instrText xml:space="preserve"> PAGEREF _Toc477955688 \h </w:instrText>
      </w:r>
      <w:r>
        <w:rPr>
          <w:lang/>
        </w:rPr>
        <w:fldChar w:fldCharType="separate"/>
      </w:r>
      <w:r>
        <w:rPr>
          <w:lang/>
        </w:rPr>
        <w:t>42</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"_Toc477955689"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  </w:t>
      </w:r>
      <w:r>
        <w:rPr>
          <w:rStyle w:val="10"/>
          <w:rFonts w:hint="eastAsia" w:ascii="Times New Roman" w:hAnsi="Times New Roman" w:cs="宋体"/>
          <w:b/>
          <w:bCs/>
          <w:kern w:val="0"/>
          <w:lang/>
        </w:rPr>
        <w:t>基金份额持有人信息</w:t>
      </w:r>
      <w:r>
        <w:rPr>
          <w:lang/>
        </w:rPr>
        <w:tab/>
      </w:r>
      <w:r>
        <w:rPr>
          <w:lang/>
        </w:rPr>
        <w:fldChar w:fldCharType="begin"/>
      </w:r>
      <w:r>
        <w:rPr>
          <w:lang/>
        </w:rPr>
        <w:instrText xml:space="preserve"> PAGEREF _Toc477955689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9.1 </w:t>
      </w:r>
      <w:r>
        <w:rPr>
          <w:rStyle w:val="10"/>
          <w:rFonts w:hint="eastAsia" w:ascii="Times New Roman" w:hAnsi="Times New Roman" w:cs="宋体"/>
          <w:b/>
          <w:bCs/>
          <w:kern w:val="0"/>
          <w:lang/>
        </w:rPr>
        <w:t>期末基金份额持有人户数及持有人结构</w:t>
      </w:r>
      <w:r>
        <w:rPr>
          <w:lang/>
        </w:rPr>
        <w:tab/>
      </w:r>
      <w:r>
        <w:rPr>
          <w:lang/>
        </w:rPr>
        <w:fldChar w:fldCharType="begin"/>
      </w:r>
      <w:r>
        <w:rPr>
          <w:lang/>
        </w:rPr>
        <w:instrText xml:space="preserve"> PAGEREF _Toc477955690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9.2 </w:t>
      </w:r>
      <w:r>
        <w:rPr>
          <w:rStyle w:val="10"/>
          <w:rFonts w:hint="eastAsia" w:ascii="Times New Roman" w:hAnsi="Times New Roman" w:cs="宋体"/>
          <w:b/>
          <w:bCs/>
          <w:kern w:val="0"/>
          <w:lang/>
        </w:rPr>
        <w:t>期末基金管理人的从业人员持有本基金的情况</w:t>
      </w:r>
      <w:r>
        <w:rPr>
          <w:lang/>
        </w:rPr>
        <w:tab/>
      </w:r>
      <w:r>
        <w:rPr>
          <w:lang/>
        </w:rPr>
        <w:fldChar w:fldCharType="begin"/>
      </w:r>
      <w:r>
        <w:rPr>
          <w:lang/>
        </w:rPr>
        <w:instrText xml:space="preserve"> PAGEREF _Toc477955691 \h </w:instrText>
      </w:r>
      <w:r>
        <w:rPr>
          <w:lang/>
        </w:rPr>
        <w:fldChar w:fldCharType="separate"/>
      </w:r>
      <w:r>
        <w:rPr>
          <w:lang/>
        </w:rPr>
        <w:t>43</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9.3 </w:t>
      </w:r>
      <w:r>
        <w:rPr>
          <w:rStyle w:val="10"/>
          <w:rFonts w:hint="eastAsia" w:ascii="Times New Roman" w:hAnsi="Times New Roman" w:cs="宋体"/>
          <w:b/>
          <w:bCs/>
          <w:kern w:val="0"/>
          <w:lang/>
        </w:rPr>
        <w:t>期末基金管理人的从业人员持有本开放式基金份额总量区间情况</w:t>
      </w:r>
      <w:r>
        <w:rPr>
          <w:lang/>
        </w:rPr>
        <w:tab/>
      </w:r>
      <w:r>
        <w:rPr>
          <w:lang/>
        </w:rPr>
        <w:fldChar w:fldCharType="begin"/>
      </w:r>
      <w:r>
        <w:rPr>
          <w:lang/>
        </w:rPr>
        <w:instrText xml:space="preserve"> PAGEREF _Toc477955692 \h </w:instrText>
      </w:r>
      <w:r>
        <w:rPr>
          <w:lang/>
        </w:rPr>
        <w:fldChar w:fldCharType="separate"/>
      </w:r>
      <w:r>
        <w:rPr>
          <w:lang/>
        </w:rPr>
        <w:t>43</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"_Toc477955693"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§10 </w:t>
      </w:r>
      <w:r>
        <w:rPr>
          <w:rStyle w:val="10"/>
          <w:rFonts w:hint="eastAsia" w:ascii="Times New Roman" w:hAnsi="Times New Roman" w:cs="宋体"/>
          <w:b/>
          <w:bCs/>
          <w:kern w:val="0"/>
          <w:lang/>
        </w:rPr>
        <w:t>开放式基金份额变动</w:t>
      </w:r>
      <w:r>
        <w:rPr>
          <w:lang/>
        </w:rPr>
        <w:tab/>
      </w:r>
      <w:r>
        <w:rPr>
          <w:lang/>
        </w:rPr>
        <w:fldChar w:fldCharType="begin"/>
      </w:r>
      <w:r>
        <w:rPr>
          <w:lang/>
        </w:rPr>
        <w:instrText xml:space="preserve"> PAGEREF _Toc477955693 \h </w:instrText>
      </w:r>
      <w:r>
        <w:rPr>
          <w:lang/>
        </w:rPr>
        <w:fldChar w:fldCharType="separate"/>
      </w:r>
      <w:r>
        <w:rPr>
          <w:lang/>
        </w:rPr>
        <w:t>44</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"_Toc477955694"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 </w:t>
      </w:r>
      <w:r>
        <w:rPr>
          <w:rStyle w:val="10"/>
          <w:rFonts w:hint="eastAsia" w:ascii="Times New Roman" w:hAnsi="Times New Roman" w:cs="宋体"/>
          <w:b/>
          <w:bCs/>
          <w:kern w:val="0"/>
          <w:lang/>
        </w:rPr>
        <w:t>重大事件揭示</w:t>
      </w:r>
      <w:r>
        <w:rPr>
          <w:lang/>
        </w:rPr>
        <w:tab/>
      </w:r>
      <w:r>
        <w:rPr>
          <w:lang/>
        </w:rPr>
        <w:fldChar w:fldCharType="begin"/>
      </w:r>
      <w:r>
        <w:rPr>
          <w:lang/>
        </w:rPr>
        <w:instrText xml:space="preserve"> PAGEREF _Toc477955694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11.1 </w:t>
      </w:r>
      <w:r>
        <w:rPr>
          <w:rStyle w:val="10"/>
          <w:rFonts w:hint="eastAsia" w:ascii="Times New Roman" w:hAnsi="Times New Roman" w:cs="宋体"/>
          <w:b/>
          <w:bCs/>
          <w:kern w:val="0"/>
          <w:lang/>
        </w:rPr>
        <w:t>基金份额持有人大会决议</w:t>
      </w:r>
      <w:r>
        <w:rPr>
          <w:lang/>
        </w:rPr>
        <w:tab/>
      </w:r>
      <w:r>
        <w:rPr>
          <w:lang/>
        </w:rPr>
        <w:fldChar w:fldCharType="begin"/>
      </w:r>
      <w:r>
        <w:rPr>
          <w:lang/>
        </w:rPr>
        <w:instrText xml:space="preserve"> PAGEREF _Toc477955695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11.2 </w:t>
      </w:r>
      <w:r>
        <w:rPr>
          <w:rStyle w:val="10"/>
          <w:rFonts w:hint="eastAsia" w:ascii="Times New Roman" w:hAnsi="Times New Roman" w:cs="宋体"/>
          <w:b/>
          <w:bCs/>
          <w:kern w:val="0"/>
          <w:lang/>
        </w:rPr>
        <w:t>基金管理人、基金托管人的专门基金托管部门的重大人事变动</w:t>
      </w:r>
      <w:r>
        <w:rPr>
          <w:lang/>
        </w:rPr>
        <w:tab/>
      </w:r>
      <w:r>
        <w:rPr>
          <w:lang/>
        </w:rPr>
        <w:fldChar w:fldCharType="begin"/>
      </w:r>
      <w:r>
        <w:rPr>
          <w:lang/>
        </w:rPr>
        <w:instrText xml:space="preserve"> PAGEREF _Toc477955696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11.3 </w:t>
      </w:r>
      <w:r>
        <w:rPr>
          <w:rStyle w:val="10"/>
          <w:rFonts w:hint="eastAsia" w:ascii="Times New Roman" w:hAnsi="Times New Roman" w:cs="宋体"/>
          <w:b/>
          <w:bCs/>
          <w:kern w:val="0"/>
          <w:lang/>
        </w:rPr>
        <w:t>涉及基金管理人、基金财产、基金托管业务的诉讼</w:t>
      </w:r>
      <w:r>
        <w:rPr>
          <w:lang/>
        </w:rPr>
        <w:tab/>
      </w:r>
      <w:r>
        <w:rPr>
          <w:lang/>
        </w:rPr>
        <w:fldChar w:fldCharType="begin"/>
      </w:r>
      <w:r>
        <w:rPr>
          <w:lang/>
        </w:rPr>
        <w:instrText xml:space="preserve"> PAGEREF _Toc477955697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"_Toc477955698"</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11.4 </w:t>
      </w:r>
      <w:r>
        <w:rPr>
          <w:rStyle w:val="10"/>
          <w:rFonts w:hint="eastAsia" w:ascii="Times New Roman" w:hAnsi="Times New Roman" w:cs="宋体"/>
          <w:b/>
          <w:bCs/>
          <w:kern w:val="0"/>
          <w:lang/>
        </w:rPr>
        <w:t>基金投资策略的改变</w:t>
      </w:r>
      <w:r>
        <w:rPr>
          <w:lang/>
        </w:rPr>
        <w:tab/>
      </w:r>
      <w:r>
        <w:rPr>
          <w:lang/>
        </w:rPr>
        <w:fldChar w:fldCharType="begin"/>
      </w:r>
      <w:r>
        <w:rPr>
          <w:lang/>
        </w:rPr>
        <w:instrText xml:space="preserve"> PAGEREF _Toc477955698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"_Toc477955699"</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11.5 </w:t>
      </w:r>
      <w:r>
        <w:rPr>
          <w:rStyle w:val="10"/>
          <w:rFonts w:hint="eastAsia" w:ascii="Times New Roman" w:hAnsi="Times New Roman" w:cs="宋体"/>
          <w:b/>
          <w:bCs/>
          <w:kern w:val="0"/>
          <w:lang/>
        </w:rPr>
        <w:t>为基金进行审计的会计师事务所情况</w:t>
      </w:r>
      <w:r>
        <w:rPr>
          <w:lang/>
        </w:rPr>
        <w:tab/>
      </w:r>
      <w:r>
        <w:rPr>
          <w:lang/>
        </w:rPr>
        <w:fldChar w:fldCharType="begin"/>
      </w:r>
      <w:r>
        <w:rPr>
          <w:lang/>
        </w:rPr>
        <w:instrText xml:space="preserve"> PAGEREF _Toc477955699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"_Toc477955700"</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11.6 </w:t>
      </w:r>
      <w:r>
        <w:rPr>
          <w:rStyle w:val="10"/>
          <w:rFonts w:hint="eastAsia" w:ascii="Times New Roman" w:hAnsi="Times New Roman" w:cs="宋体"/>
          <w:b/>
          <w:bCs/>
          <w:kern w:val="0"/>
          <w:lang/>
        </w:rPr>
        <w:t>管理人、托管人及其高级管理人员受稽查或处罚等情况</w:t>
      </w:r>
      <w:r>
        <w:rPr>
          <w:lang/>
        </w:rPr>
        <w:tab/>
      </w:r>
      <w:r>
        <w:rPr>
          <w:lang/>
        </w:rPr>
        <w:fldChar w:fldCharType="begin"/>
      </w:r>
      <w:r>
        <w:rPr>
          <w:lang/>
        </w:rPr>
        <w:instrText xml:space="preserve"> PAGEREF _Toc477955700 \h </w:instrText>
      </w:r>
      <w:r>
        <w:rPr>
          <w:lang/>
        </w:rPr>
        <w:fldChar w:fldCharType="separate"/>
      </w:r>
      <w:r>
        <w:rPr>
          <w:lang/>
        </w:rPr>
        <w:t>44</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"_Toc477955701"</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11.7 </w:t>
      </w:r>
      <w:r>
        <w:rPr>
          <w:rStyle w:val="10"/>
          <w:rFonts w:hint="eastAsia" w:ascii="Times New Roman" w:hAnsi="Times New Roman" w:cs="宋体"/>
          <w:b/>
          <w:bCs/>
          <w:kern w:val="0"/>
          <w:lang/>
        </w:rPr>
        <w:t>基金租用证券公司交易单元的有关情况</w:t>
      </w:r>
      <w:r>
        <w:rPr>
          <w:lang/>
        </w:rPr>
        <w:tab/>
      </w:r>
      <w:r>
        <w:rPr>
          <w:lang/>
        </w:rPr>
        <w:fldChar w:fldCharType="begin"/>
      </w:r>
      <w:r>
        <w:rPr>
          <w:lang/>
        </w:rPr>
        <w:instrText xml:space="preserve"> PAGEREF _Toc477955701 \h </w:instrText>
      </w:r>
      <w:r>
        <w:rPr>
          <w:lang/>
        </w:rPr>
        <w:fldChar w:fldCharType="separate"/>
      </w:r>
      <w:r>
        <w:rPr>
          <w:lang/>
        </w:rPr>
        <w:t>45</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"_Toc477955702"</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11.8 </w:t>
      </w:r>
      <w:r>
        <w:rPr>
          <w:rStyle w:val="10"/>
          <w:rFonts w:hint="eastAsia" w:ascii="Times New Roman" w:hAnsi="Times New Roman" w:cs="宋体"/>
          <w:b/>
          <w:bCs/>
          <w:kern w:val="0"/>
          <w:lang/>
        </w:rPr>
        <w:t>其他重大事件</w:t>
      </w:r>
      <w:r>
        <w:rPr>
          <w:lang/>
        </w:rPr>
        <w:tab/>
      </w:r>
      <w:r>
        <w:rPr>
          <w:lang/>
        </w:rPr>
        <w:fldChar w:fldCharType="begin"/>
      </w:r>
      <w:r>
        <w:rPr>
          <w:lang/>
        </w:rPr>
        <w:instrText xml:space="preserve"> PAGEREF _Toc477955702 \h </w:instrText>
      </w:r>
      <w:r>
        <w:rPr>
          <w:lang/>
        </w:rPr>
        <w:fldChar w:fldCharType="separate"/>
      </w:r>
      <w:r>
        <w:rPr>
          <w:lang/>
        </w:rPr>
        <w:t>45</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"_Toc477955703"</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§12  </w:t>
      </w:r>
      <w:r>
        <w:rPr>
          <w:rStyle w:val="10"/>
          <w:rFonts w:hint="eastAsia" w:ascii="Times New Roman" w:hAnsi="Times New Roman" w:cs="宋体"/>
          <w:b/>
          <w:bCs/>
          <w:kern w:val="0"/>
          <w:lang/>
        </w:rPr>
        <w:t>影响投资者决策的其他重要信息</w:t>
      </w:r>
      <w:r>
        <w:rPr>
          <w:lang/>
        </w:rPr>
        <w:tab/>
      </w:r>
      <w:r>
        <w:rPr>
          <w:lang/>
        </w:rPr>
        <w:fldChar w:fldCharType="begin"/>
      </w:r>
      <w:r>
        <w:rPr>
          <w:lang/>
        </w:rPr>
        <w:instrText xml:space="preserve"> PAGEREF _Toc477955703 \h </w:instrText>
      </w:r>
      <w:r>
        <w:rPr>
          <w:lang/>
        </w:rPr>
        <w:fldChar w:fldCharType="separate"/>
      </w:r>
      <w:r>
        <w:rPr>
          <w:lang/>
        </w:rPr>
        <w:t>46</w:t>
      </w:r>
      <w:r>
        <w:rPr>
          <w:lang/>
        </w:rPr>
        <w:fldChar w:fldCharType="end"/>
      </w:r>
      <w:r>
        <w:rPr>
          <w:rStyle w:val="10"/>
          <w:lang/>
        </w:rPr>
        <w:fldChar w:fldCharType="end"/>
      </w:r>
    </w:p>
    <w:p>
      <w:pPr>
        <w:pStyle w:val="6"/>
        <w:tabs>
          <w:tab w:val="right" w:leader="dot" w:pos="9080"/>
        </w:tabs>
        <w:rPr>
          <w:lang/>
        </w:rPr>
      </w:pPr>
      <w:r>
        <w:rPr>
          <w:rStyle w:val="10"/>
          <w:lang/>
        </w:rPr>
        <w:fldChar w:fldCharType="begin"/>
      </w:r>
      <w:r>
        <w:rPr>
          <w:rStyle w:val="10"/>
          <w:lang/>
        </w:rPr>
        <w:instrText xml:space="preserve"> </w:instrText>
      </w:r>
      <w:r>
        <w:rPr>
          <w:lang/>
        </w:rPr>
        <w:instrText xml:space="preserve">HYPERLINK \l "_Toc477955704"</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_Toc477955704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"_Toc477955705"</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13.1 </w:t>
      </w:r>
      <w:r>
        <w:rPr>
          <w:rStyle w:val="10"/>
          <w:rFonts w:hint="eastAsia" w:ascii="Times New Roman" w:hAnsi="Times New Roman" w:cs="宋体"/>
          <w:b/>
          <w:bCs/>
          <w:kern w:val="0"/>
          <w:lang/>
        </w:rPr>
        <w:t>备查文件目录</w:t>
      </w:r>
      <w:r>
        <w:rPr>
          <w:lang/>
        </w:rPr>
        <w:tab/>
      </w:r>
      <w:r>
        <w:rPr>
          <w:lang/>
        </w:rPr>
        <w:fldChar w:fldCharType="begin"/>
      </w:r>
      <w:r>
        <w:rPr>
          <w:lang/>
        </w:rPr>
        <w:instrText xml:space="preserve"> PAGEREF _Toc477955705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"_Toc477955706"</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13.2 </w:t>
      </w:r>
      <w:r>
        <w:rPr>
          <w:rStyle w:val="10"/>
          <w:rFonts w:hint="eastAsia" w:ascii="Times New Roman" w:hAnsi="Times New Roman" w:cs="宋体"/>
          <w:b/>
          <w:bCs/>
          <w:kern w:val="0"/>
          <w:lang/>
        </w:rPr>
        <w:t>存放地点</w:t>
      </w:r>
      <w:r>
        <w:rPr>
          <w:lang/>
        </w:rPr>
        <w:tab/>
      </w:r>
      <w:r>
        <w:rPr>
          <w:lang/>
        </w:rPr>
        <w:fldChar w:fldCharType="begin"/>
      </w:r>
      <w:r>
        <w:rPr>
          <w:lang/>
        </w:rPr>
        <w:instrText xml:space="preserve"> PAGEREF _Toc477955706 \h </w:instrText>
      </w:r>
      <w:r>
        <w:rPr>
          <w:lang/>
        </w:rPr>
        <w:fldChar w:fldCharType="separate"/>
      </w:r>
      <w:r>
        <w:rPr>
          <w:lang/>
        </w:rPr>
        <w:t>46</w:t>
      </w:r>
      <w:r>
        <w:rPr>
          <w:lang/>
        </w:rPr>
        <w:fldChar w:fldCharType="end"/>
      </w:r>
      <w:r>
        <w:rPr>
          <w:rStyle w:val="10"/>
          <w:lang/>
        </w:rPr>
        <w:fldChar w:fldCharType="end"/>
      </w:r>
    </w:p>
    <w:p>
      <w:pPr>
        <w:pStyle w:val="7"/>
        <w:tabs>
          <w:tab w:val="right" w:leader="dot" w:pos="9080"/>
        </w:tabs>
        <w:rPr>
          <w:lang/>
        </w:rPr>
      </w:pPr>
      <w:r>
        <w:rPr>
          <w:rStyle w:val="10"/>
          <w:lang/>
        </w:rPr>
        <w:fldChar w:fldCharType="begin"/>
      </w:r>
      <w:r>
        <w:rPr>
          <w:rStyle w:val="10"/>
          <w:lang/>
        </w:rPr>
        <w:instrText xml:space="preserve"> </w:instrText>
      </w:r>
      <w:r>
        <w:rPr>
          <w:lang/>
        </w:rPr>
        <w:instrText xml:space="preserve">HYPERLINK \l "_Toc477955707"</w:instrText>
      </w:r>
      <w:r>
        <w:rPr>
          <w:rStyle w:val="10"/>
          <w:lang/>
        </w:rPr>
        <w:instrText xml:space="preserve"> </w:instrText>
      </w:r>
      <w:r>
        <w:rPr>
          <w:rStyle w:val="10"/>
          <w:lang/>
        </w:rPr>
        <w:fldChar w:fldCharType="separate"/>
      </w:r>
      <w:r>
        <w:rPr>
          <w:rStyle w:val="10"/>
          <w:rFonts w:ascii="Times New Roman" w:hAnsi="Times New Roman" w:cs="宋体"/>
          <w:b/>
          <w:bCs/>
          <w:kern w:val="0"/>
          <w:lang/>
        </w:rPr>
        <w:t xml:space="preserve">13.3 </w:t>
      </w:r>
      <w:r>
        <w:rPr>
          <w:rStyle w:val="10"/>
          <w:rFonts w:hint="eastAsia" w:ascii="Times New Roman" w:hAnsi="Times New Roman" w:cs="宋体"/>
          <w:b/>
          <w:bCs/>
          <w:kern w:val="0"/>
          <w:lang/>
        </w:rPr>
        <w:t>查阅方式</w:t>
      </w:r>
      <w:r>
        <w:rPr>
          <w:lang/>
        </w:rPr>
        <w:tab/>
      </w:r>
      <w:r>
        <w:rPr>
          <w:lang/>
        </w:rPr>
        <w:fldChar w:fldCharType="begin"/>
      </w:r>
      <w:r>
        <w:rPr>
          <w:lang/>
        </w:rPr>
        <w:instrText xml:space="preserve"> PAGEREF _Toc477955707 \h </w:instrText>
      </w:r>
      <w:r>
        <w:rPr>
          <w:lang/>
        </w:rPr>
        <w:fldChar w:fldCharType="separate"/>
      </w:r>
      <w:r>
        <w:rPr>
          <w:lang/>
        </w:rPr>
        <w:t>46</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18" w:right="1418" w:bottom="853" w:left="1418"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 w:name="_Toc47795564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2  </w:t>
      </w:r>
      <w:r>
        <w:rPr>
          <w:rFonts w:hint="eastAsia" w:ascii="Times New Roman" w:hAnsi="Times New Roman" w:cs="宋体"/>
          <w:b/>
          <w:bCs/>
          <w:color w:val="000000"/>
          <w:kern w:val="0"/>
          <w:sz w:val="24"/>
          <w:szCs w:val="24"/>
        </w:rPr>
        <w:t>基金简介</w:t>
      </w:r>
      <w:bookmarkEnd w:id="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 w:name="_Toc477955647"/>
      <w:r>
        <w:rPr>
          <w:rFonts w:ascii="Times New Roman" w:hAnsi="Times New Roman" w:cs="宋体"/>
          <w:b/>
          <w:bCs/>
          <w:color w:val="000000"/>
          <w:kern w:val="0"/>
          <w:sz w:val="24"/>
          <w:szCs w:val="24"/>
        </w:rPr>
        <w:t xml:space="preserve">2.1 </w:t>
      </w:r>
      <w:r>
        <w:rPr>
          <w:rFonts w:hint="eastAsia" w:ascii="Times New Roman" w:hAnsi="Times New Roman" w:cs="宋体"/>
          <w:b/>
          <w:bCs/>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基金简称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基金主代码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002921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基金运作方式</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宁波银行股份有限公司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报告期末基金份额总额</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49,818,045.07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基金合同存续期</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不定期</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 w:name="_Toc477955648"/>
      <w:r>
        <w:rPr>
          <w:rFonts w:ascii="Times New Roman" w:hAnsi="Times New Roman" w:cs="宋体"/>
          <w:b/>
          <w:bCs/>
          <w:color w:val="000000"/>
          <w:kern w:val="0"/>
          <w:sz w:val="24"/>
          <w:szCs w:val="24"/>
        </w:rPr>
        <w:t xml:space="preserve">2.2 </w:t>
      </w:r>
      <w:r>
        <w:rPr>
          <w:rFonts w:hint="eastAsia" w:ascii="Times New Roman" w:hAnsi="Times New Roman" w:cs="宋体"/>
          <w:b/>
          <w:bCs/>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49"/>
        <w:gridCol w:w="577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本基金为债券型基金，长期来看，其预期风险和预期收益水平低于股票型基金、混合型基金，高于货币市场基金。</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 w:name="_Toc477955649"/>
      <w:r>
        <w:rPr>
          <w:rFonts w:ascii="Times New Roman" w:hAnsi="Times New Roman" w:cs="宋体"/>
          <w:b/>
          <w:bCs/>
          <w:color w:val="000000"/>
          <w:kern w:val="0"/>
          <w:sz w:val="24"/>
          <w:szCs w:val="24"/>
        </w:rPr>
        <w:t xml:space="preserve">2.3 </w:t>
      </w:r>
      <w:r>
        <w:rPr>
          <w:rFonts w:hint="eastAsia" w:ascii="Times New Roman" w:hAnsi="Times New Roman" w:cs="宋体"/>
          <w:b/>
          <w:bCs/>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082"/>
        <w:gridCol w:w="1444"/>
        <w:gridCol w:w="3251"/>
        <w:gridCol w:w="3251"/>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宁波银行股份有限公司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贺碧波</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0574-89103198</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custody@nbcb.cn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95574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0574-89103213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深圳市前海深港合作区前湾一路</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A</w:t>
            </w:r>
            <w:r>
              <w:rPr>
                <w:rFonts w:hint="eastAsia" w:ascii="Times New Roman" w:hAnsi="Times New Roman" w:cs="宋体"/>
                <w:color w:val="000000"/>
                <w:kern w:val="0"/>
                <w:sz w:val="24"/>
                <w:szCs w:val="24"/>
              </w:rPr>
              <w:t>栋</w:t>
            </w:r>
            <w:r>
              <w:rPr>
                <w:rFonts w:ascii="Times New Roman" w:hAnsi="Times New Roman" w:cs="宋体"/>
                <w:color w:val="000000"/>
                <w:kern w:val="0"/>
                <w:sz w:val="24"/>
                <w:szCs w:val="24"/>
              </w:rPr>
              <w:t>201</w:t>
            </w:r>
            <w:r>
              <w:rPr>
                <w:rFonts w:hint="eastAsia" w:ascii="Times New Roman" w:hAnsi="Times New Roman" w:cs="宋体"/>
                <w:color w:val="000000"/>
                <w:kern w:val="0"/>
                <w:sz w:val="24"/>
                <w:szCs w:val="24"/>
              </w:rPr>
              <w:t>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浙江省宁波市鄞州区宁南南路</w:t>
            </w:r>
            <w:r>
              <w:rPr>
                <w:rFonts w:ascii="Times New Roman" w:hAnsi="Times New Roman" w:cs="宋体"/>
                <w:color w:val="000000"/>
                <w:kern w:val="0"/>
                <w:sz w:val="24"/>
                <w:szCs w:val="24"/>
              </w:rPr>
              <w:t>700</w:t>
            </w:r>
            <w:r>
              <w:rPr>
                <w:rFonts w:hint="eastAsia" w:ascii="Times New Roman" w:hAnsi="Times New Roman" w:cs="宋体"/>
                <w:color w:val="000000"/>
                <w:kern w:val="0"/>
                <w:sz w:val="24"/>
                <w:szCs w:val="24"/>
              </w:rPr>
              <w:t>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浙江省宁波市鄞州区宁南南路</w:t>
            </w:r>
            <w:r>
              <w:rPr>
                <w:rFonts w:ascii="Times New Roman" w:hAnsi="Times New Roman" w:cs="宋体"/>
                <w:color w:val="000000"/>
                <w:kern w:val="0"/>
                <w:sz w:val="24"/>
                <w:szCs w:val="24"/>
              </w:rPr>
              <w:t>700</w:t>
            </w:r>
            <w:r>
              <w:rPr>
                <w:rFonts w:hint="eastAsia" w:ascii="Times New Roman" w:hAnsi="Times New Roman" w:cs="宋体"/>
                <w:color w:val="000000"/>
                <w:kern w:val="0"/>
                <w:sz w:val="24"/>
                <w:szCs w:val="24"/>
              </w:rPr>
              <w:t>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315100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陆华裕</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7" w:name="_Toc477955650"/>
      <w:r>
        <w:rPr>
          <w:rFonts w:ascii="Times New Roman" w:hAnsi="Times New Roman" w:cs="宋体"/>
          <w:b/>
          <w:bCs/>
          <w:color w:val="000000"/>
          <w:kern w:val="0"/>
          <w:sz w:val="24"/>
          <w:szCs w:val="24"/>
        </w:rPr>
        <w:t xml:space="preserve">2.4 </w:t>
      </w:r>
      <w:r>
        <w:rPr>
          <w:rFonts w:hint="eastAsia" w:ascii="Times New Roman" w:hAnsi="Times New Roman" w:cs="宋体"/>
          <w:b/>
          <w:bCs/>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2526"/>
        <w:gridCol w:w="650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8" w:name="_Toc477955651"/>
      <w:r>
        <w:rPr>
          <w:rFonts w:ascii="Times New Roman" w:hAnsi="Times New Roman" w:cs="宋体"/>
          <w:b/>
          <w:bCs/>
          <w:color w:val="000000"/>
          <w:kern w:val="0"/>
          <w:sz w:val="24"/>
          <w:szCs w:val="24"/>
        </w:rPr>
        <w:t xml:space="preserve">2.5 </w:t>
      </w:r>
      <w:r>
        <w:rPr>
          <w:rFonts w:hint="eastAsia" w:ascii="Times New Roman" w:hAnsi="Times New Roman" w:cs="宋体"/>
          <w:b/>
          <w:bCs/>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2165"/>
        <w:gridCol w:w="3251"/>
        <w:gridCol w:w="3612"/>
      </w:tblGrid>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办公地址</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上海市黄浦区湖滨路</w:t>
            </w:r>
            <w:r>
              <w:rPr>
                <w:rFonts w:ascii="Times New Roman" w:hAnsi="Times New Roman" w:cs="宋体"/>
                <w:color w:val="000000"/>
                <w:kern w:val="0"/>
                <w:sz w:val="24"/>
                <w:szCs w:val="24"/>
              </w:rPr>
              <w:t>202</w:t>
            </w:r>
            <w:r>
              <w:rPr>
                <w:rFonts w:hint="eastAsia" w:ascii="Times New Roman" w:hAnsi="Times New Roman" w:cs="宋体"/>
                <w:color w:val="000000"/>
                <w:kern w:val="0"/>
                <w:sz w:val="24"/>
                <w:szCs w:val="24"/>
              </w:rPr>
              <w:t>号普华永道中心</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216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9" w:name="_Toc477955652"/>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3  </w:t>
      </w:r>
      <w:r>
        <w:rPr>
          <w:rFonts w:hint="eastAsia" w:ascii="Times New Roman" w:hAnsi="Times New Roman" w:cs="宋体"/>
          <w:b/>
          <w:bCs/>
          <w:color w:val="000000"/>
          <w:kern w:val="0"/>
          <w:sz w:val="24"/>
          <w:szCs w:val="24"/>
        </w:rPr>
        <w:t>主要财务指标、基金净值表现及利润分配情况</w:t>
      </w:r>
      <w:bookmarkEnd w:id="9"/>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0" w:name="_Toc477955653"/>
      <w:r>
        <w:rPr>
          <w:rFonts w:ascii="Times New Roman" w:hAnsi="Times New Roman" w:cs="宋体"/>
          <w:b/>
          <w:bCs/>
          <w:color w:val="000000"/>
          <w:kern w:val="0"/>
          <w:sz w:val="24"/>
          <w:szCs w:val="24"/>
        </w:rPr>
        <w:t xml:space="preserve">3.1 </w:t>
      </w:r>
      <w:r>
        <w:rPr>
          <w:rFonts w:hint="eastAsia" w:ascii="Times New Roman" w:hAnsi="Times New Roman" w:cs="宋体"/>
          <w:b/>
          <w:bCs/>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3.1.1 </w:t>
            </w:r>
            <w:r>
              <w:rPr>
                <w:rFonts w:hint="eastAsia" w:ascii="Times New Roman" w:hAnsi="Times New Roman" w:cs="宋体"/>
                <w:b/>
                <w:bCs/>
                <w:color w:val="000000"/>
                <w:kern w:val="0"/>
                <w:sz w:val="24"/>
                <w:szCs w:val="24"/>
              </w:rPr>
              <w:t>期间数据和指标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本期已实现收益</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1,253,277.65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1,262,067.65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0.0104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本期加权平均净值利润率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3.1.2 </w:t>
            </w:r>
            <w:r>
              <w:rPr>
                <w:rFonts w:hint="eastAsia" w:ascii="Times New Roman" w:hAnsi="Times New Roman" w:cs="宋体"/>
                <w:b/>
                <w:bCs/>
                <w:color w:val="000000"/>
                <w:kern w:val="0"/>
                <w:sz w:val="24"/>
                <w:szCs w:val="24"/>
              </w:rPr>
              <w:t>期末数据和指标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258,795.83</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0.0052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期末基金资产净值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50,085,613.00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期末基金份额净值</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1.0054</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3.1.3 </w:t>
            </w:r>
            <w:r>
              <w:rPr>
                <w:rFonts w:hint="eastAsia" w:ascii="Times New Roman" w:hAnsi="Times New Roman" w:cs="宋体"/>
                <w:b/>
                <w:bCs/>
                <w:color w:val="000000"/>
                <w:kern w:val="0"/>
                <w:sz w:val="24"/>
                <w:szCs w:val="24"/>
              </w:rPr>
              <w:t>累计期末指标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年末</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基金份额累计净值增长率</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上述基金业绩指标不包括持有人认购或交易基金的各项费用</w:t>
      </w:r>
      <w:r>
        <w:rPr>
          <w:rFonts w:ascii="Times New Roman" w:hAnsi="Times New Roman" w:cs="宋体"/>
          <w:color w:val="000000"/>
          <w:kern w:val="0"/>
          <w:szCs w:val="21"/>
        </w:rPr>
        <w:t>,</w:t>
      </w:r>
      <w:r>
        <w:rPr>
          <w:rFonts w:hint="eastAsia" w:ascii="Times New Roman" w:hAnsi="Times New Roman" w:cs="宋体"/>
          <w:color w:val="000000"/>
          <w:kern w:val="0"/>
          <w:szCs w:val="21"/>
        </w:rPr>
        <w:t>计入费用后实际收益水平要低于所列数字。</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本期已实现收益指基金本期利息收入、投资收益、其他收入</w:t>
      </w:r>
      <w:r>
        <w:rPr>
          <w:rFonts w:ascii="Times New Roman" w:hAnsi="Times New Roman" w:cs="宋体"/>
          <w:color w:val="000000"/>
          <w:kern w:val="0"/>
          <w:szCs w:val="21"/>
        </w:rPr>
        <w:t>(</w:t>
      </w:r>
      <w:r>
        <w:rPr>
          <w:rFonts w:hint="eastAsia" w:ascii="Times New Roman" w:hAnsi="Times New Roman" w:cs="宋体"/>
          <w:color w:val="000000"/>
          <w:kern w:val="0"/>
          <w:szCs w:val="21"/>
        </w:rPr>
        <w:t>不含公允价值变动收益</w:t>
      </w:r>
      <w:r>
        <w:rPr>
          <w:rFonts w:ascii="Times New Roman" w:hAnsi="Times New Roman" w:cs="宋体"/>
          <w:color w:val="000000"/>
          <w:kern w:val="0"/>
          <w:szCs w:val="21"/>
        </w:rPr>
        <w:t>)</w:t>
      </w:r>
      <w:r>
        <w:rPr>
          <w:rFonts w:hint="eastAsia" w:ascii="Times New Roman" w:hAnsi="Times New Roman" w:cs="宋体"/>
          <w:color w:val="000000"/>
          <w:kern w:val="0"/>
          <w:szCs w:val="21"/>
        </w:rPr>
        <w:t>扣除相关费用后的余额</w:t>
      </w:r>
      <w:r>
        <w:rPr>
          <w:rFonts w:ascii="Times New Roman" w:hAnsi="Times New Roman" w:cs="宋体"/>
          <w:color w:val="000000"/>
          <w:kern w:val="0"/>
          <w:szCs w:val="21"/>
        </w:rPr>
        <w:t>,</w:t>
      </w:r>
      <w:r>
        <w:rPr>
          <w:rFonts w:hint="eastAsia" w:ascii="Times New Roman" w:hAnsi="Times New Roman" w:cs="宋体"/>
          <w:color w:val="000000"/>
          <w:kern w:val="0"/>
          <w:szCs w:val="21"/>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3.</w:t>
      </w:r>
      <w:r>
        <w:rPr>
          <w:rFonts w:hint="eastAsia" w:ascii="Times New Roman" w:hAnsi="Times New Roman" w:cs="宋体"/>
          <w:color w:val="000000"/>
          <w:kern w:val="0"/>
          <w:szCs w:val="21"/>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4.</w:t>
      </w:r>
      <w:r>
        <w:rPr>
          <w:rFonts w:hint="eastAsia" w:ascii="Times New Roman" w:hAnsi="Times New Roman" w:cs="宋体"/>
          <w:color w:val="000000"/>
          <w:kern w:val="0"/>
          <w:szCs w:val="21"/>
        </w:rPr>
        <w:t>本基金合同生效日为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7</w:t>
      </w:r>
      <w:r>
        <w:rPr>
          <w:rFonts w:hint="eastAsia" w:ascii="Times New Roman" w:hAnsi="Times New Roman" w:cs="宋体"/>
          <w:color w:val="000000"/>
          <w:kern w:val="0"/>
          <w:szCs w:val="21"/>
        </w:rPr>
        <w:t>月</w:t>
      </w:r>
      <w:r>
        <w:rPr>
          <w:rFonts w:ascii="Times New Roman" w:hAnsi="Times New Roman" w:cs="宋体"/>
          <w:color w:val="000000"/>
          <w:kern w:val="0"/>
          <w:szCs w:val="21"/>
        </w:rPr>
        <w:t>11</w:t>
      </w:r>
      <w:r>
        <w:rPr>
          <w:rFonts w:hint="eastAsia" w:ascii="Times New Roman" w:hAnsi="Times New Roman" w:cs="宋体"/>
          <w:color w:val="000000"/>
          <w:kern w:val="0"/>
          <w:szCs w:val="21"/>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1" w:name="_Toc477955654"/>
      <w:r>
        <w:rPr>
          <w:rFonts w:ascii="Times New Roman" w:hAnsi="Times New Roman" w:cs="宋体"/>
          <w:b/>
          <w:bCs/>
          <w:color w:val="000000"/>
          <w:kern w:val="0"/>
          <w:sz w:val="24"/>
          <w:szCs w:val="24"/>
        </w:rPr>
        <w:t xml:space="preserve">3.2 </w:t>
      </w:r>
      <w:r>
        <w:rPr>
          <w:rFonts w:hint="eastAsia" w:ascii="Times New Roman" w:hAnsi="Times New Roman" w:cs="宋体"/>
          <w:b/>
          <w:bCs/>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3.2.1 </w:t>
      </w:r>
      <w:r>
        <w:rPr>
          <w:rFonts w:hint="eastAsia" w:ascii="Times New Roman" w:hAnsi="Times New Roman" w:cs="宋体"/>
          <w:b/>
          <w:bCs/>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阶段</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①</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②</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④</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自基金合同生效日起至今（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07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3.2.2 </w:t>
      </w:r>
      <w:r>
        <w:rPr>
          <w:rFonts w:hint="eastAsia" w:ascii="Times New Roman" w:hAnsi="Times New Roman" w:cs="宋体"/>
          <w:b/>
          <w:bCs/>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3.95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3.2.3 </w:t>
      </w:r>
      <w:r>
        <w:rPr>
          <w:rFonts w:hint="eastAsia" w:ascii="Times New Roman" w:hAnsi="Times New Roman" w:cs="宋体"/>
          <w:b/>
          <w:bCs/>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2" w:name="_Toc477955655"/>
      <w:r>
        <w:rPr>
          <w:rFonts w:ascii="Times New Roman" w:hAnsi="Times New Roman" w:cs="宋体"/>
          <w:b/>
          <w:bCs/>
          <w:color w:val="000000"/>
          <w:kern w:val="0"/>
          <w:sz w:val="24"/>
          <w:szCs w:val="24"/>
        </w:rPr>
        <w:t xml:space="preserve">3.3 </w:t>
      </w:r>
      <w:r>
        <w:rPr>
          <w:rFonts w:hint="eastAsia" w:ascii="Times New Roman" w:hAnsi="Times New Roman" w:cs="宋体"/>
          <w:b/>
          <w:bCs/>
          <w:color w:val="000000"/>
          <w:kern w:val="0"/>
          <w:sz w:val="24"/>
          <w:szCs w:val="24"/>
        </w:rPr>
        <w:t>过去三年基金的利润分配情况</w:t>
      </w:r>
      <w:bookmarkEnd w:id="12"/>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443"/>
        <w:gridCol w:w="1445"/>
        <w:gridCol w:w="1806"/>
        <w:gridCol w:w="1806"/>
        <w:gridCol w:w="1806"/>
        <w:gridCol w:w="722"/>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年度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每</w:t>
            </w:r>
            <w:r>
              <w:rPr>
                <w:rFonts w:ascii="Times New Roman" w:hAnsi="Times New Roman"/>
                <w:color w:val="000000"/>
                <w:kern w:val="0"/>
                <w:sz w:val="24"/>
                <w:szCs w:val="24"/>
              </w:rPr>
              <w:t>10</w:t>
            </w:r>
            <w:r>
              <w:rPr>
                <w:rFonts w:hint="eastAsia" w:ascii="Times New Roman" w:hAnsi="Times New Roman"/>
                <w:color w:val="000000"/>
                <w:kern w:val="0"/>
                <w:sz w:val="24"/>
                <w:szCs w:val="24"/>
              </w:rPr>
              <w:t>份基金份额分红数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现金形式发放总额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再投资形式发放总额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年度利润分配</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904,551.36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904,749.89</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904,551.36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904,749.89</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13" w:name="_Toc477955656"/>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4  </w:t>
      </w:r>
      <w:r>
        <w:rPr>
          <w:rFonts w:hint="eastAsia" w:ascii="Times New Roman" w:hAnsi="Times New Roman" w:cs="宋体"/>
          <w:b/>
          <w:bCs/>
          <w:color w:val="000000"/>
          <w:kern w:val="0"/>
          <w:sz w:val="24"/>
          <w:szCs w:val="24"/>
        </w:rPr>
        <w:t>管理人报告</w:t>
      </w:r>
      <w:bookmarkEnd w:id="13"/>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4" w:name="_Toc477955657"/>
      <w:r>
        <w:rPr>
          <w:rFonts w:ascii="Times New Roman" w:hAnsi="Times New Roman" w:cs="宋体"/>
          <w:b/>
          <w:bCs/>
          <w:color w:val="000000"/>
          <w:kern w:val="0"/>
          <w:sz w:val="24"/>
          <w:szCs w:val="24"/>
        </w:rPr>
        <w:t xml:space="preserve">4.1 </w:t>
      </w:r>
      <w:r>
        <w:rPr>
          <w:rFonts w:hint="eastAsia" w:ascii="Times New Roman" w:hAnsi="Times New Roman" w:cs="宋体"/>
          <w:b/>
          <w:bCs/>
          <w:color w:val="000000"/>
          <w:kern w:val="0"/>
          <w:sz w:val="24"/>
          <w:szCs w:val="24"/>
        </w:rPr>
        <w:t>基金管理人及基金经理情况</w:t>
      </w:r>
      <w:bookmarkEnd w:id="14"/>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4.1.1 </w:t>
      </w:r>
      <w:r>
        <w:rPr>
          <w:rFonts w:hint="eastAsia" w:ascii="Times New Roman" w:hAnsi="Times New Roman" w:cs="宋体"/>
          <w:b/>
          <w:bCs/>
          <w:color w:val="000000"/>
          <w:kern w:val="0"/>
          <w:sz w:val="24"/>
          <w:szCs w:val="24"/>
        </w:rPr>
        <w:t>基金管理人及其管理基金的经验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创金合信基金管理有限公司于</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日获得中国证监会批复，</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亿元人民币，股东出资情况为：第一创业证券股份有限公司出资</w:t>
      </w:r>
      <w:r>
        <w:rPr>
          <w:rFonts w:ascii="Times New Roman" w:hAnsi="Times New Roman" w:cs="宋体"/>
          <w:color w:val="000000"/>
          <w:kern w:val="0"/>
          <w:sz w:val="24"/>
          <w:szCs w:val="24"/>
        </w:rPr>
        <w:t>11,900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70%</w:t>
      </w:r>
      <w:r>
        <w:rPr>
          <w:rFonts w:hint="eastAsia" w:ascii="Times New Roman" w:hAnsi="Times New Roman" w:cs="宋体"/>
          <w:color w:val="000000"/>
          <w:kern w:val="0"/>
          <w:sz w:val="24"/>
          <w:szCs w:val="24"/>
        </w:rPr>
        <w:t>；深圳市金合信投资合伙企业（有限合伙）出资</w:t>
      </w:r>
      <w:r>
        <w:rPr>
          <w:rFonts w:ascii="Times New Roman" w:hAnsi="Times New Roman" w:cs="宋体"/>
          <w:color w:val="000000"/>
          <w:kern w:val="0"/>
          <w:sz w:val="24"/>
          <w:szCs w:val="24"/>
        </w:rPr>
        <w:t>5,100</w:t>
      </w:r>
      <w:r>
        <w:rPr>
          <w:rFonts w:hint="eastAsia" w:ascii="Times New Roman" w:hAnsi="Times New Roman" w:cs="宋体"/>
          <w:color w:val="000000"/>
          <w:kern w:val="0"/>
          <w:sz w:val="24"/>
          <w:szCs w:val="24"/>
        </w:rPr>
        <w:t>万元，占公司注册资本的</w:t>
      </w:r>
      <w:r>
        <w:rPr>
          <w:rFonts w:ascii="Times New Roman" w:hAnsi="Times New Roman" w:cs="宋体"/>
          <w:color w:val="000000"/>
          <w:kern w:val="0"/>
          <w:sz w:val="24"/>
          <w:szCs w:val="24"/>
        </w:rPr>
        <w:t>30%</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公司始终坚持</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客户利益至上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报告期内，本公司共发行</w:t>
      </w:r>
      <w:r>
        <w:rPr>
          <w:rFonts w:ascii="Times New Roman" w:hAnsi="Times New Roman" w:cs="宋体"/>
          <w:color w:val="000000"/>
          <w:kern w:val="0"/>
          <w:sz w:val="24"/>
          <w:szCs w:val="24"/>
        </w:rPr>
        <w:t>17</w:t>
      </w:r>
      <w:r>
        <w:rPr>
          <w:rFonts w:hint="eastAsia" w:ascii="Times New Roman" w:hAnsi="Times New Roman" w:cs="宋体"/>
          <w:color w:val="000000"/>
          <w:kern w:val="0"/>
          <w:sz w:val="24"/>
          <w:szCs w:val="24"/>
        </w:rPr>
        <w:t>只公募基金。截至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日，本公司共管理</w:t>
      </w:r>
      <w:r>
        <w:rPr>
          <w:rFonts w:ascii="Times New Roman" w:hAnsi="Times New Roman" w:cs="宋体"/>
          <w:color w:val="000000"/>
          <w:kern w:val="0"/>
          <w:sz w:val="24"/>
          <w:szCs w:val="24"/>
        </w:rPr>
        <w:t>24</w:t>
      </w:r>
      <w:r>
        <w:rPr>
          <w:rFonts w:hint="eastAsia" w:ascii="Times New Roman" w:hAnsi="Times New Roman" w:cs="宋体"/>
          <w:color w:val="000000"/>
          <w:kern w:val="0"/>
          <w:sz w:val="24"/>
          <w:szCs w:val="24"/>
        </w:rPr>
        <w:t>只公募基金，其中混合型产品</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只、指数型产品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只、债券型产品</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只、股票型产品</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只、货币型产品</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只；管理的公募基金规模约</w:t>
      </w:r>
      <w:r>
        <w:rPr>
          <w:rFonts w:ascii="Times New Roman" w:hAnsi="Times New Roman" w:cs="宋体"/>
          <w:color w:val="000000"/>
          <w:kern w:val="0"/>
          <w:sz w:val="24"/>
          <w:szCs w:val="24"/>
        </w:rPr>
        <w:t>142.74</w:t>
      </w:r>
      <w:r>
        <w:rPr>
          <w:rFonts w:hint="eastAsia" w:ascii="Times New Roman" w:hAnsi="Times New Roman" w:cs="宋体"/>
          <w:color w:val="000000"/>
          <w:kern w:val="0"/>
          <w:sz w:val="24"/>
          <w:szCs w:val="24"/>
        </w:rPr>
        <w:t>亿元。</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4.1.2 </w:t>
      </w:r>
      <w:r>
        <w:rPr>
          <w:rFonts w:hint="eastAsia" w:ascii="Times New Roman" w:hAnsi="Times New Roman" w:cs="宋体"/>
          <w:b/>
          <w:bCs/>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2"/>
        <w:gridCol w:w="1083"/>
        <w:gridCol w:w="1445"/>
        <w:gridCol w:w="1445"/>
        <w:gridCol w:w="1083"/>
        <w:gridCol w:w="2890"/>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说明</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郑振源先生，中国国籍，中国人民银行研究生部经济学硕士。</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月加入第一创业证券研究所，担任宏观债券研究员。</w:t>
            </w:r>
            <w:r>
              <w:rPr>
                <w:rFonts w:ascii="Times New Roman" w:hAnsi="Times New Roman" w:cs="宋体"/>
                <w:color w:val="000000"/>
                <w:kern w:val="0"/>
                <w:sz w:val="24"/>
                <w:szCs w:val="24"/>
              </w:rPr>
              <w:t>2012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月加入第一创业证券资产管理部，先后担任宏观债券研究员、投资主办等职务。</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蒋小玲</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蒋小玲女士，中国国籍，</w:t>
            </w:r>
            <w:r>
              <w:rPr>
                <w:rFonts w:ascii="Times New Roman" w:hAnsi="Times New Roman" w:cs="宋体"/>
                <w:color w:val="000000"/>
                <w:kern w:val="0"/>
                <w:sz w:val="24"/>
                <w:szCs w:val="24"/>
              </w:rPr>
              <w:t>2002</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-2009</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月任职于武进农村商业银行，</w:t>
            </w:r>
            <w:r>
              <w:rPr>
                <w:rFonts w:ascii="Times New Roman" w:hAnsi="Times New Roman" w:cs="宋体"/>
                <w:color w:val="000000"/>
                <w:kern w:val="0"/>
                <w:sz w:val="24"/>
                <w:szCs w:val="24"/>
              </w:rPr>
              <w:t>2010</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月任职于江苏江南农村商业银行股份有限公司，历任金融市场部同业经理、交易员、投资经理等职务。</w:t>
            </w:r>
            <w:r>
              <w:rPr>
                <w:rFonts w:ascii="Times New Roman" w:hAnsi="Times New Roman" w:cs="宋体"/>
                <w:color w:val="000000"/>
                <w:kern w:val="0"/>
                <w:sz w:val="24"/>
                <w:szCs w:val="24"/>
              </w:rPr>
              <w:t>2015</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、证券从业年限计算的起止时间按照从事证券行业开始时间计算。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5" w:name="_Toc477955658"/>
      <w:r>
        <w:rPr>
          <w:rFonts w:ascii="Times New Roman" w:hAnsi="Times New Roman" w:cs="宋体"/>
          <w:b/>
          <w:bCs/>
          <w:color w:val="000000"/>
          <w:kern w:val="0"/>
          <w:sz w:val="24"/>
          <w:szCs w:val="24"/>
        </w:rPr>
        <w:t xml:space="preserve">4.2 </w:t>
      </w:r>
      <w:r>
        <w:rPr>
          <w:rFonts w:hint="eastAsia" w:ascii="Times New Roman" w:hAnsi="Times New Roman" w:cs="宋体"/>
          <w:b/>
          <w:bCs/>
          <w:color w:val="000000"/>
          <w:kern w:val="0"/>
          <w:sz w:val="24"/>
          <w:szCs w:val="24"/>
        </w:rPr>
        <w:t>管理人对报告期内本基金运作遵规守信情况的说明</w:t>
      </w:r>
      <w:bookmarkEnd w:id="1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誉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6" w:name="_Toc477955659"/>
      <w:r>
        <w:rPr>
          <w:rFonts w:ascii="Times New Roman" w:hAnsi="Times New Roman" w:cs="宋体"/>
          <w:b/>
          <w:bCs/>
          <w:color w:val="000000"/>
          <w:kern w:val="0"/>
          <w:sz w:val="24"/>
          <w:szCs w:val="24"/>
        </w:rPr>
        <w:t xml:space="preserve">4.3 </w:t>
      </w:r>
      <w:r>
        <w:rPr>
          <w:rFonts w:hint="eastAsia" w:ascii="Times New Roman" w:hAnsi="Times New Roman" w:cs="宋体"/>
          <w:b/>
          <w:bCs/>
          <w:color w:val="000000"/>
          <w:kern w:val="0"/>
          <w:sz w:val="24"/>
          <w:szCs w:val="24"/>
        </w:rPr>
        <w:t>管理人对报告期内公平交易情况的专项说明</w:t>
      </w:r>
      <w:bookmarkEnd w:id="16"/>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4.3.1 </w:t>
      </w:r>
      <w:r>
        <w:rPr>
          <w:rFonts w:hint="eastAsia" w:ascii="Times New Roman" w:hAnsi="Times New Roman" w:cs="宋体"/>
          <w:b/>
          <w:bCs/>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为了进一步规范和完善本基金管理人（以下简称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日内、</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4.3.2 </w:t>
      </w:r>
      <w:r>
        <w:rPr>
          <w:rFonts w:hint="eastAsia" w:ascii="Times New Roman" w:hAnsi="Times New Roman" w:cs="宋体"/>
          <w:b/>
          <w:bCs/>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本基金管理人严格执行《证券投资基金管理公司公平交易制度指导意见（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s="宋体"/>
          <w:color w:val="000000"/>
          <w:kern w:val="0"/>
          <w:sz w:val="24"/>
          <w:szCs w:val="24"/>
        </w:rPr>
        <w:t>2011</w:t>
      </w:r>
      <w:r>
        <w:rPr>
          <w:rFonts w:hint="eastAsia" w:ascii="Times New Roman" w:hAnsi="Times New Roman" w:cs="宋体"/>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4.3.3 </w:t>
      </w:r>
      <w:r>
        <w:rPr>
          <w:rFonts w:hint="eastAsia" w:ascii="Times New Roman" w:hAnsi="Times New Roman" w:cs="宋体"/>
          <w:b/>
          <w:bCs/>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7" w:name="_Toc477955660"/>
      <w:r>
        <w:rPr>
          <w:rFonts w:ascii="Times New Roman" w:hAnsi="Times New Roman" w:cs="宋体"/>
          <w:b/>
          <w:bCs/>
          <w:color w:val="000000"/>
          <w:kern w:val="0"/>
          <w:sz w:val="24"/>
          <w:szCs w:val="24"/>
        </w:rPr>
        <w:t xml:space="preserve">4.4 </w:t>
      </w:r>
      <w:r>
        <w:rPr>
          <w:rFonts w:hint="eastAsia" w:ascii="Times New Roman" w:hAnsi="Times New Roman" w:cs="宋体"/>
          <w:b/>
          <w:bCs/>
          <w:color w:val="000000"/>
          <w:kern w:val="0"/>
          <w:sz w:val="24"/>
          <w:szCs w:val="24"/>
        </w:rPr>
        <w:t>管理人对报告期内基金的投资策略和业绩表现的说明</w:t>
      </w:r>
      <w:bookmarkEnd w:id="1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4.4.1 </w:t>
      </w:r>
      <w:r>
        <w:rPr>
          <w:rFonts w:hint="eastAsia" w:ascii="Times New Roman" w:hAnsi="Times New Roman" w:cs="宋体"/>
          <w:b/>
          <w:bCs/>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年成为</w:t>
      </w:r>
      <w:r>
        <w:rPr>
          <w:rFonts w:ascii="Times New Roman" w:hAnsi="Times New Roman" w:cs="宋体"/>
          <w:color w:val="000000"/>
          <w:kern w:val="0"/>
          <w:sz w:val="24"/>
          <w:szCs w:val="24"/>
        </w:rPr>
        <w:t>2014</w:t>
      </w:r>
      <w:r>
        <w:rPr>
          <w:rFonts w:hint="eastAsia" w:ascii="Times New Roman" w:hAnsi="Times New Roman" w:cs="宋体"/>
          <w:color w:val="000000"/>
          <w:kern w:val="0"/>
          <w:sz w:val="24"/>
          <w:szCs w:val="24"/>
        </w:rPr>
        <w:t>年以来债牛的末期，并在年底开始扭转走熊。主要变化因素在于：第一，</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年经济整体走平，步入</w:t>
      </w:r>
      <w:r>
        <w:rPr>
          <w:rFonts w:ascii="Times New Roman" w:hAnsi="Times New Roman" w:cs="宋体"/>
          <w:color w:val="000000"/>
          <w:kern w:val="0"/>
          <w:sz w:val="24"/>
          <w:szCs w:val="24"/>
        </w:rPr>
        <w:t>L</w:t>
      </w:r>
      <w:r>
        <w:rPr>
          <w:rFonts w:hint="eastAsia" w:ascii="Times New Roman" w:hAnsi="Times New Roman" w:cs="宋体"/>
          <w:color w:val="000000"/>
          <w:kern w:val="0"/>
          <w:sz w:val="24"/>
          <w:szCs w:val="24"/>
        </w:rPr>
        <w:t>型的底部阶段，而同时大宗商品价格暴涨、以房价为首的资产价格暴涨；第二，</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考核等宏观审慎措施。在上述因素变化下，同时叠加了流动性危机，年底债市收益率大幅上行，幅度普遍在</w:t>
      </w:r>
      <w:r>
        <w:rPr>
          <w:rFonts w:ascii="Times New Roman" w:hAnsi="Times New Roman" w:cs="宋体"/>
          <w:color w:val="000000"/>
          <w:kern w:val="0"/>
          <w:sz w:val="24"/>
          <w:szCs w:val="24"/>
        </w:rPr>
        <w:t>100-150bp</w:t>
      </w:r>
      <w:r>
        <w:rPr>
          <w:rFonts w:hint="eastAsia" w:ascii="Times New Roman" w:hAnsi="Times New Roman" w:cs="宋体"/>
          <w:color w:val="000000"/>
          <w:kern w:val="0"/>
          <w:sz w:val="24"/>
          <w:szCs w:val="24"/>
        </w:rPr>
        <w:t>。在债券市场极度紧张时期，央行及时释放流动性，守住系统性风险不发生的底线。</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4.4.2 </w:t>
      </w:r>
      <w:r>
        <w:rPr>
          <w:rFonts w:hint="eastAsia" w:ascii="Times New Roman" w:hAnsi="Times New Roman" w:cs="宋体"/>
          <w:b/>
          <w:bCs/>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年本基金净值增长率为</w:t>
      </w:r>
      <w:r>
        <w:rPr>
          <w:rFonts w:ascii="Times New Roman" w:hAnsi="Times New Roman" w:cs="宋体"/>
          <w:color w:val="000000"/>
          <w:kern w:val="0"/>
          <w:sz w:val="24"/>
          <w:szCs w:val="24"/>
        </w:rPr>
        <w:t>0.99%</w:t>
      </w:r>
      <w:r>
        <w:rPr>
          <w:rFonts w:hint="eastAsia" w:ascii="Times New Roman" w:hAnsi="Times New Roman" w:cs="宋体"/>
          <w:color w:val="000000"/>
          <w:kern w:val="0"/>
          <w:sz w:val="24"/>
          <w:szCs w:val="24"/>
        </w:rPr>
        <w:t>，同期业绩比较基准增长率为</w:t>
      </w:r>
      <w:r>
        <w:rPr>
          <w:rFonts w:ascii="Times New Roman" w:hAnsi="Times New Roman" w:cs="宋体"/>
          <w:color w:val="000000"/>
          <w:kern w:val="0"/>
          <w:sz w:val="24"/>
          <w:szCs w:val="24"/>
        </w:rPr>
        <w:t>-1.68%</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8" w:name="_Toc477955661"/>
      <w:r>
        <w:rPr>
          <w:rFonts w:ascii="Times New Roman" w:hAnsi="Times New Roman" w:cs="宋体"/>
          <w:b/>
          <w:bCs/>
          <w:color w:val="000000"/>
          <w:kern w:val="0"/>
          <w:sz w:val="24"/>
          <w:szCs w:val="24"/>
        </w:rPr>
        <w:t xml:space="preserve">4.5 </w:t>
      </w:r>
      <w:r>
        <w:rPr>
          <w:rFonts w:hint="eastAsia" w:ascii="Times New Roman" w:hAnsi="Times New Roman" w:cs="宋体"/>
          <w:b/>
          <w:bCs/>
          <w:color w:val="000000"/>
          <w:kern w:val="0"/>
          <w:sz w:val="24"/>
          <w:szCs w:val="24"/>
        </w:rPr>
        <w:t>管理人对宏观经济、证券市场及行业走势的简要展望</w:t>
      </w:r>
      <w:bookmarkEnd w:id="18"/>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s="宋体"/>
          <w:color w:val="000000"/>
          <w:kern w:val="0"/>
          <w:sz w:val="24"/>
          <w:szCs w:val="24"/>
        </w:rPr>
        <w:t>MPA</w:t>
      </w:r>
      <w:r>
        <w:rPr>
          <w:rFonts w:hint="eastAsia" w:ascii="Times New Roman" w:hAnsi="Times New Roman" w:cs="宋体"/>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19" w:name="_Toc477955662"/>
      <w:r>
        <w:rPr>
          <w:rFonts w:ascii="Times New Roman" w:hAnsi="Times New Roman" w:cs="宋体"/>
          <w:b/>
          <w:bCs/>
          <w:color w:val="000000"/>
          <w:kern w:val="0"/>
          <w:sz w:val="24"/>
          <w:szCs w:val="24"/>
        </w:rPr>
        <w:t xml:space="preserve">4.6 </w:t>
      </w:r>
      <w:r>
        <w:rPr>
          <w:rFonts w:hint="eastAsia" w:ascii="Times New Roman" w:hAnsi="Times New Roman" w:cs="宋体"/>
          <w:b/>
          <w:bCs/>
          <w:color w:val="000000"/>
          <w:kern w:val="0"/>
          <w:sz w:val="24"/>
          <w:szCs w:val="24"/>
        </w:rPr>
        <w:t>管理人内部有关本基金的监察稽核工作情况</w:t>
      </w:r>
      <w:bookmarkEnd w:id="19"/>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8</w:t>
      </w:r>
      <w:r>
        <w:rPr>
          <w:rFonts w:hint="eastAsia" w:ascii="Times New Roman" w:hAnsi="Times New Roman" w:cs="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9</w:t>
      </w:r>
      <w:r>
        <w:rPr>
          <w:rFonts w:hint="eastAsia" w:ascii="Times New Roman" w:hAnsi="Times New Roman" w:cs="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0" w:name="_Toc477955663"/>
      <w:r>
        <w:rPr>
          <w:rFonts w:ascii="Times New Roman" w:hAnsi="Times New Roman" w:cs="宋体"/>
          <w:b/>
          <w:bCs/>
          <w:color w:val="000000"/>
          <w:kern w:val="0"/>
          <w:sz w:val="24"/>
          <w:szCs w:val="24"/>
        </w:rPr>
        <w:t xml:space="preserve">4.7 </w:t>
      </w:r>
      <w:r>
        <w:rPr>
          <w:rFonts w:hint="eastAsia" w:ascii="Times New Roman" w:hAnsi="Times New Roman" w:cs="宋体"/>
          <w:b/>
          <w:bCs/>
          <w:color w:val="000000"/>
          <w:kern w:val="0"/>
          <w:sz w:val="24"/>
          <w:szCs w:val="24"/>
        </w:rPr>
        <w:t>管理人对报告期内基金估值程序等事项的说明</w:t>
      </w:r>
      <w:bookmarkEnd w:id="2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1" w:name="_Toc477955664"/>
      <w:r>
        <w:rPr>
          <w:rFonts w:ascii="Times New Roman" w:hAnsi="Times New Roman" w:cs="宋体"/>
          <w:b/>
          <w:bCs/>
          <w:color w:val="000000"/>
          <w:kern w:val="0"/>
          <w:sz w:val="24"/>
          <w:szCs w:val="24"/>
        </w:rPr>
        <w:t xml:space="preserve">4.8 </w:t>
      </w:r>
      <w:r>
        <w:rPr>
          <w:rFonts w:hint="eastAsia" w:ascii="Times New Roman" w:hAnsi="Times New Roman" w:cs="宋体"/>
          <w:b/>
          <w:bCs/>
          <w:color w:val="000000"/>
          <w:kern w:val="0"/>
          <w:sz w:val="24"/>
          <w:szCs w:val="24"/>
        </w:rPr>
        <w:t>管理人对报告期内基金利润分配情况的说明</w:t>
      </w:r>
      <w:bookmarkEnd w:id="2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本报告期内，本基金已实施利润分配</w:t>
      </w:r>
      <w:r>
        <w:rPr>
          <w:rFonts w:ascii="Times New Roman" w:hAnsi="Times New Roman" w:cs="宋体"/>
          <w:color w:val="000000"/>
          <w:kern w:val="0"/>
          <w:sz w:val="24"/>
          <w:szCs w:val="24"/>
        </w:rPr>
        <w:t>904,749.89</w:t>
      </w:r>
      <w:r>
        <w:rPr>
          <w:rFonts w:hint="eastAsia" w:ascii="Times New Roman" w:hAnsi="Times New Roman" w:cs="宋体"/>
          <w:color w:val="000000"/>
          <w:kern w:val="0"/>
          <w:sz w:val="24"/>
          <w:szCs w:val="24"/>
        </w:rPr>
        <w:t>元，符合合同约定。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4.9 </w:t>
      </w:r>
      <w:r>
        <w:rPr>
          <w:rFonts w:hint="eastAsia" w:ascii="Times New Roman" w:hAnsi="Times New Roman" w:cs="宋体"/>
          <w:b/>
          <w:bCs/>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2" w:name="_Toc477955665"/>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5  </w:t>
      </w:r>
      <w:r>
        <w:rPr>
          <w:rFonts w:hint="eastAsia" w:ascii="Times New Roman" w:hAnsi="Times New Roman" w:cs="宋体"/>
          <w:b/>
          <w:bCs/>
          <w:color w:val="000000"/>
          <w:kern w:val="0"/>
          <w:sz w:val="24"/>
          <w:szCs w:val="24"/>
        </w:rPr>
        <w:t>托管人报告</w:t>
      </w:r>
      <w:bookmarkEnd w:id="22"/>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3" w:name="_Toc477955666"/>
      <w:r>
        <w:rPr>
          <w:rFonts w:ascii="Times New Roman" w:hAnsi="Times New Roman" w:cs="宋体"/>
          <w:b/>
          <w:bCs/>
          <w:color w:val="000000"/>
          <w:kern w:val="0"/>
          <w:sz w:val="24"/>
          <w:szCs w:val="24"/>
        </w:rPr>
        <w:t xml:space="preserve">5.1 </w:t>
      </w:r>
      <w:r>
        <w:rPr>
          <w:rFonts w:hint="eastAsia" w:ascii="Times New Roman" w:hAnsi="Times New Roman" w:cs="宋体"/>
          <w:b/>
          <w:bCs/>
          <w:color w:val="000000"/>
          <w:kern w:val="0"/>
          <w:sz w:val="24"/>
          <w:szCs w:val="24"/>
        </w:rPr>
        <w:t>报告期内本基金托管人遵规守信情况声明</w:t>
      </w:r>
      <w:bookmarkEnd w:id="2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度），本托管人在创金合信尊誉纯债债券型证券投资基金的托管过程中，严格遵守《证券投资基金法》、《公开募集证券投资基金运作管理办法》、《证券投资基金信息披露管理办法》、基金合同、托管协议和其他有关规定，不存在损害基金份额持有人利益的行为，完全尽职尽责地履行了托管人应尽的义务。</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4" w:name="_Toc477955667"/>
      <w:r>
        <w:rPr>
          <w:rFonts w:ascii="Times New Roman" w:hAnsi="Times New Roman" w:cs="宋体"/>
          <w:b/>
          <w:bCs/>
          <w:color w:val="000000"/>
          <w:kern w:val="0"/>
          <w:sz w:val="24"/>
          <w:szCs w:val="24"/>
        </w:rPr>
        <w:t xml:space="preserve">5.2 </w:t>
      </w:r>
      <w:r>
        <w:rPr>
          <w:rFonts w:hint="eastAsia" w:ascii="Times New Roman" w:hAnsi="Times New Roman" w:cs="宋体"/>
          <w:b/>
          <w:bCs/>
          <w:color w:val="000000"/>
          <w:kern w:val="0"/>
          <w:sz w:val="24"/>
          <w:szCs w:val="24"/>
        </w:rPr>
        <w:t>托管人对报告期内本基金投资运作遵规守信、净值计算、利润分配等情况的说明</w:t>
      </w:r>
      <w:bookmarkEnd w:id="2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度），本托管人按照国家有关规定、基金合同、托管协议和其他有关规定，对本基金资产净值计算、基金费用开支等方面进行了认真的复核，对本基金的投资运作方面进行了监督，未发现基金管理人有损害基金份额持有人利益的行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5" w:name="_Toc477955668"/>
      <w:r>
        <w:rPr>
          <w:rFonts w:ascii="Times New Roman" w:hAnsi="Times New Roman" w:cs="宋体"/>
          <w:b/>
          <w:bCs/>
          <w:color w:val="000000"/>
          <w:kern w:val="0"/>
          <w:sz w:val="24"/>
          <w:szCs w:val="24"/>
        </w:rPr>
        <w:t xml:space="preserve">5.3 </w:t>
      </w:r>
      <w:r>
        <w:rPr>
          <w:rFonts w:hint="eastAsia" w:ascii="Times New Roman" w:hAnsi="Times New Roman" w:cs="宋体"/>
          <w:b/>
          <w:bCs/>
          <w:color w:val="000000"/>
          <w:kern w:val="0"/>
          <w:sz w:val="24"/>
          <w:szCs w:val="24"/>
        </w:rPr>
        <w:t>托管人对本年度报告中财务信息等内容的真实、准确和完整发表意见</w:t>
      </w:r>
      <w:bookmarkEnd w:id="2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本托管人复核审查了本报告中的财务指标、净值表现、利润分配情况、财务会计报告、投资组合报告等内容，保证复核内容不存在虚假记载、误导性陈述或者重大遗漏。</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6" w:name="_Toc477955669"/>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6  </w:t>
      </w:r>
      <w:r>
        <w:rPr>
          <w:rFonts w:hint="eastAsia" w:ascii="Times New Roman" w:hAnsi="Times New Roman" w:cs="宋体"/>
          <w:b/>
          <w:bCs/>
          <w:color w:val="000000"/>
          <w:kern w:val="0"/>
          <w:sz w:val="24"/>
          <w:szCs w:val="24"/>
        </w:rPr>
        <w:t>审计报告</w:t>
      </w:r>
      <w:bookmarkEnd w:id="2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7" w:name="_Toc477955670"/>
      <w:r>
        <w:rPr>
          <w:rFonts w:ascii="Times New Roman" w:hAnsi="Times New Roman" w:cs="宋体"/>
          <w:b/>
          <w:bCs/>
          <w:color w:val="000000"/>
          <w:kern w:val="0"/>
          <w:sz w:val="24"/>
          <w:szCs w:val="24"/>
        </w:rPr>
        <w:t xml:space="preserve">6.1 </w:t>
      </w:r>
      <w:r>
        <w:rPr>
          <w:rFonts w:hint="eastAsia" w:ascii="Times New Roman" w:hAnsi="Times New Roman" w:cs="宋体"/>
          <w:b/>
          <w:bCs/>
          <w:color w:val="000000"/>
          <w:kern w:val="0"/>
          <w:sz w:val="24"/>
          <w:szCs w:val="24"/>
        </w:rPr>
        <w:t>审计报告基本信息</w:t>
      </w:r>
      <w:bookmarkEnd w:id="27"/>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是</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普华永道中天审字</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第</w:t>
            </w:r>
            <w:r>
              <w:rPr>
                <w:rFonts w:ascii="Times New Roman" w:hAnsi="Times New Roman" w:cs="宋体"/>
                <w:color w:val="000000"/>
                <w:kern w:val="0"/>
                <w:sz w:val="24"/>
                <w:szCs w:val="24"/>
              </w:rPr>
              <w:t>22106</w:t>
            </w:r>
            <w:r>
              <w:rPr>
                <w:rFonts w:hint="eastAsia" w:ascii="Times New Roman" w:hAnsi="Times New Roman" w:cs="宋体"/>
                <w:color w:val="000000"/>
                <w:kern w:val="0"/>
                <w:sz w:val="24"/>
                <w:szCs w:val="24"/>
              </w:rPr>
              <w:t>号</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28" w:name="_Toc477955671"/>
      <w:r>
        <w:rPr>
          <w:rFonts w:ascii="Times New Roman" w:hAnsi="Times New Roman" w:cs="宋体"/>
          <w:b/>
          <w:bCs/>
          <w:color w:val="000000"/>
          <w:kern w:val="0"/>
          <w:sz w:val="24"/>
          <w:szCs w:val="24"/>
        </w:rPr>
        <w:t xml:space="preserve">6.2 </w:t>
      </w:r>
      <w:r>
        <w:rPr>
          <w:rFonts w:hint="eastAsia" w:ascii="Times New Roman" w:hAnsi="Times New Roman" w:cs="宋体"/>
          <w:b/>
          <w:bCs/>
          <w:color w:val="000000"/>
          <w:kern w:val="0"/>
          <w:sz w:val="24"/>
          <w:szCs w:val="24"/>
        </w:rPr>
        <w:t>审计报告的基本内容</w:t>
      </w:r>
      <w:bookmarkEnd w:id="28"/>
    </w:p>
    <w:tbl>
      <w:tblPr>
        <w:tblStyle w:val="8"/>
        <w:tblW w:w="0" w:type="auto"/>
        <w:tblInd w:w="108" w:type="dxa"/>
        <w:tblLayout w:type="fixed"/>
        <w:tblCellMar>
          <w:top w:w="0" w:type="dxa"/>
          <w:left w:w="108" w:type="dxa"/>
          <w:bottom w:w="0" w:type="dxa"/>
          <w:right w:w="108" w:type="dxa"/>
        </w:tblCellMar>
      </w:tblPr>
      <w:tblGrid>
        <w:gridCol w:w="3610"/>
        <w:gridCol w:w="5418"/>
      </w:tblGrid>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创金合信尊誉纯债债券型证券投资基金全体基金份额持有人</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我们审计了后附的创金合信尊誉纯债债券型证券投资基金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创金合信尊誉纯债债券基金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的财务报表，包括</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日的资产负债表、</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日止期间的利润表和所有者权益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编制和公允列报财务报表是创金合信尊誉纯债债券基金的基金管理人创金合信基金管理有限公司管理层的责任。这种责任包括：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按照企业会计准则和中国证券监督管理委员会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、中国证券投资基金业协会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我们认为，上述创金合信尊誉纯债债券基金的财务报表在所有重大方面按照企业会计准则和在财务报表附注中所列示的中国证监会、中国基金业协会发布的有关规定及允许的基金行业实务操作编制，公允反映了创金合信尊誉纯债债券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曹翠丽、边晓红</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上海市黄浦区湖滨路</w:t>
            </w:r>
            <w:r>
              <w:rPr>
                <w:rFonts w:ascii="Times New Roman" w:hAnsi="Times New Roman" w:cs="宋体"/>
                <w:color w:val="000000"/>
                <w:kern w:val="0"/>
                <w:sz w:val="24"/>
                <w:szCs w:val="24"/>
              </w:rPr>
              <w:t>202</w:t>
            </w:r>
            <w:r>
              <w:rPr>
                <w:rFonts w:hint="eastAsia" w:ascii="Times New Roman" w:hAnsi="Times New Roman" w:cs="宋体"/>
                <w:color w:val="000000"/>
                <w:kern w:val="0"/>
                <w:sz w:val="24"/>
                <w:szCs w:val="24"/>
              </w:rPr>
              <w:t>号普华永道中心</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楼</w:t>
            </w:r>
          </w:p>
        </w:tc>
      </w:tr>
      <w:tr>
        <w:tblPrEx>
          <w:tblCellMar>
            <w:top w:w="0" w:type="dxa"/>
            <w:left w:w="108" w:type="dxa"/>
            <w:bottom w:w="0" w:type="dxa"/>
            <w:right w:w="108" w:type="dxa"/>
          </w:tblCellMar>
        </w:tblPrEx>
        <w:trPr>
          <w:wBefore w:w="0" w:type="auto"/>
        </w:trPr>
        <w:tc>
          <w:tcPr>
            <w:tcW w:w="361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2017-03-23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29" w:name="_Toc477955672"/>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7  </w:t>
      </w:r>
      <w:r>
        <w:rPr>
          <w:rFonts w:hint="eastAsia" w:ascii="Times New Roman" w:hAnsi="Times New Roman" w:cs="宋体"/>
          <w:b/>
          <w:bCs/>
          <w:color w:val="000000"/>
          <w:kern w:val="0"/>
          <w:sz w:val="24"/>
          <w:szCs w:val="24"/>
        </w:rPr>
        <w:t>年度财务报表</w:t>
      </w:r>
      <w:bookmarkEnd w:id="29"/>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0" w:name="_Toc477955673"/>
      <w:r>
        <w:rPr>
          <w:rFonts w:ascii="Times New Roman" w:hAnsi="Times New Roman" w:cs="宋体"/>
          <w:b/>
          <w:bCs/>
          <w:color w:val="000000"/>
          <w:kern w:val="0"/>
          <w:sz w:val="24"/>
          <w:szCs w:val="24"/>
        </w:rPr>
        <w:t xml:space="preserve">7.1 </w:t>
      </w:r>
      <w:r>
        <w:rPr>
          <w:rFonts w:hint="eastAsia" w:ascii="Times New Roman" w:hAnsi="Times New Roman" w:cs="宋体"/>
          <w:b/>
          <w:bCs/>
          <w:color w:val="000000"/>
          <w:kern w:val="0"/>
          <w:sz w:val="24"/>
          <w:szCs w:val="24"/>
        </w:rPr>
        <w:t>资产负债表</w:t>
      </w:r>
      <w:bookmarkEnd w:id="30"/>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会计主体：创金合信尊誉纯债债券型证券投资基金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报告截止日：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1083"/>
        <w:gridCol w:w="5117"/>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资</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3,320,919.99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29,553,000.00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29,553,000.00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16,960,265.44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384,924.71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50,219,110.14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负</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13,227.75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4,409.25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1,860.14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133,497.14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49,818,045.07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267,567.93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50,085,613.00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511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50,219,110.14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报告截止日</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日，基金份额净值</w:t>
      </w:r>
      <w:r>
        <w:rPr>
          <w:rFonts w:ascii="Times New Roman" w:hAnsi="Times New Roman" w:cs="宋体"/>
          <w:color w:val="000000"/>
          <w:kern w:val="0"/>
          <w:szCs w:val="21"/>
        </w:rPr>
        <w:t>1.0054</w:t>
      </w:r>
      <w:r>
        <w:rPr>
          <w:rFonts w:hint="eastAsia" w:ascii="Times New Roman" w:hAnsi="Times New Roman" w:cs="宋体"/>
          <w:color w:val="000000"/>
          <w:kern w:val="0"/>
          <w:szCs w:val="21"/>
        </w:rPr>
        <w:t>元，基金份额总额</w:t>
      </w:r>
      <w:r>
        <w:rPr>
          <w:rFonts w:ascii="Times New Roman" w:hAnsi="Times New Roman" w:cs="宋体"/>
          <w:color w:val="000000"/>
          <w:kern w:val="0"/>
          <w:szCs w:val="21"/>
        </w:rPr>
        <w:t>49,818,045.07</w:t>
      </w:r>
      <w:r>
        <w:rPr>
          <w:rFonts w:hint="eastAsia" w:ascii="Times New Roman" w:hAnsi="Times New Roman" w:cs="宋体"/>
          <w:color w:val="000000"/>
          <w:kern w:val="0"/>
          <w:szCs w:val="21"/>
        </w:rPr>
        <w:t>份。</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7</w:t>
      </w:r>
      <w:r>
        <w:rPr>
          <w:rFonts w:hint="eastAsia" w:ascii="Times New Roman" w:hAnsi="Times New Roman" w:cs="宋体"/>
          <w:color w:val="000000"/>
          <w:kern w:val="0"/>
          <w:szCs w:val="21"/>
        </w:rPr>
        <w:t>月</w:t>
      </w:r>
      <w:r>
        <w:rPr>
          <w:rFonts w:ascii="Times New Roman" w:hAnsi="Times New Roman" w:cs="宋体"/>
          <w:color w:val="000000"/>
          <w:kern w:val="0"/>
          <w:szCs w:val="21"/>
        </w:rPr>
        <w:t>11</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1" w:name="_Toc477955674"/>
      <w:r>
        <w:rPr>
          <w:rFonts w:ascii="Times New Roman" w:hAnsi="Times New Roman" w:cs="宋体"/>
          <w:b/>
          <w:bCs/>
          <w:color w:val="000000"/>
          <w:kern w:val="0"/>
          <w:sz w:val="24"/>
          <w:szCs w:val="24"/>
        </w:rPr>
        <w:t xml:space="preserve">7.2 </w:t>
      </w:r>
      <w:r>
        <w:rPr>
          <w:rFonts w:hint="eastAsia" w:ascii="Times New Roman" w:hAnsi="Times New Roman" w:cs="宋体"/>
          <w:b/>
          <w:bCs/>
          <w:color w:val="000000"/>
          <w:kern w:val="0"/>
          <w:sz w:val="24"/>
          <w:szCs w:val="24"/>
        </w:rPr>
        <w:t>利润表</w:t>
      </w:r>
      <w:bookmarkEnd w:id="31"/>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会计主体：创金合信尊誉纯债债券型证券投资基金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083"/>
        <w:gridCol w:w="47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bCs/>
                <w:color w:val="000000"/>
                <w:kern w:val="0"/>
                <w:sz w:val="24"/>
                <w:szCs w:val="24"/>
              </w:rPr>
            </w:pPr>
            <w:r>
              <w:rPr>
                <w:rFonts w:hint="eastAsia" w:ascii="Times New Roman" w:hAnsi="Times New Roman"/>
                <w:b/>
                <w:bCs/>
                <w:color w:val="000000"/>
                <w:kern w:val="0"/>
                <w:sz w:val="24"/>
                <w:szCs w:val="24"/>
              </w:rPr>
              <w:t>附注号</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1,605,793.16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1,513,341.88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1,241,276.46</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174,880.17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97,185.25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投资收益（损失以“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公允价值变动收益（损失以“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8,790.00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其他收入（损失以“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101,121.28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343,725.51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169,575.37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56,525.14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三、利润总额（亏损总额以“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1,262,067.65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3"/>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四、净利润（净亏损以“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1,262,067.65</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7</w:t>
      </w:r>
      <w:r>
        <w:rPr>
          <w:rFonts w:hint="eastAsia" w:ascii="Times New Roman" w:hAnsi="Times New Roman" w:cs="宋体"/>
          <w:color w:val="000000"/>
          <w:kern w:val="0"/>
          <w:szCs w:val="21"/>
        </w:rPr>
        <w:t>月</w:t>
      </w:r>
      <w:r>
        <w:rPr>
          <w:rFonts w:ascii="Times New Roman" w:hAnsi="Times New Roman" w:cs="宋体"/>
          <w:color w:val="000000"/>
          <w:kern w:val="0"/>
          <w:szCs w:val="21"/>
        </w:rPr>
        <w:t>11</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2" w:name="_Toc477955675"/>
      <w:r>
        <w:rPr>
          <w:rFonts w:ascii="Times New Roman" w:hAnsi="Times New Roman" w:cs="宋体"/>
          <w:b/>
          <w:bCs/>
          <w:color w:val="000000"/>
          <w:kern w:val="0"/>
          <w:sz w:val="24"/>
          <w:szCs w:val="24"/>
        </w:rPr>
        <w:t xml:space="preserve">7.3 </w:t>
      </w:r>
      <w:r>
        <w:rPr>
          <w:rFonts w:hint="eastAsia" w:ascii="Times New Roman" w:hAnsi="Times New Roman" w:cs="宋体"/>
          <w:b/>
          <w:bCs/>
          <w:color w:val="000000"/>
          <w:kern w:val="0"/>
          <w:sz w:val="24"/>
          <w:szCs w:val="24"/>
        </w:rPr>
        <w:t>所有者权益（基金净值）变动表</w:t>
      </w:r>
      <w:bookmarkEnd w:id="32"/>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会计主体：创金合信尊誉纯债债券型证券投资基金</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项</w:t>
            </w:r>
            <w:r>
              <w:rPr>
                <w:rFonts w:ascii="Times New Roman" w:hAnsi="Times New Roman" w:cs="宋体"/>
                <w:b/>
                <w:bCs/>
                <w:color w:val="000000"/>
                <w:kern w:val="0"/>
                <w:sz w:val="24"/>
                <w:szCs w:val="24"/>
              </w:rPr>
              <w:t xml:space="preserve"> </w:t>
            </w:r>
            <w:r>
              <w:rPr>
                <w:rFonts w:hint="eastAsia" w:ascii="Times New Roman" w:hAnsi="Times New Roman" w:cs="宋体"/>
                <w:b/>
                <w:bCs/>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一、期初所有者权益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基金净值</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200,056,004.19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200,056,004.19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二、本期经营活动产生的基金净值变动数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本期利润</w:t>
            </w:r>
            <w:r>
              <w:rPr>
                <w:rFonts w:ascii="Times New Roman" w:hAnsi="Times New Roman" w:cs="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1,262,067.65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1,262,067.65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三、本期基金份额交易产生的基金净值变动数（净值减少以“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-150,237,959.12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-89,749.83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-150,327,708.95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51,688,989.30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225,875.95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51,914,865.25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2.</w:t>
            </w:r>
            <w:r>
              <w:rPr>
                <w:rFonts w:hint="eastAsia" w:ascii="Times New Roman" w:hAnsi="Times New Roman" w:cs="宋体"/>
                <w:color w:val="000000"/>
                <w:kern w:val="0"/>
                <w:sz w:val="24"/>
                <w:szCs w:val="24"/>
              </w:rPr>
              <w:t>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-201,926,948.42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-315,625.78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-202,242,574.20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四、本期向基金份额持有人分配利润产生的基金净值变动（净值减少以“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-904,749.89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-904,749.89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五、期末所有者权益</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49,818,045.07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267,567.93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50,085,613.00</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注：本财务报表的实际报告期间为</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7</w:t>
      </w:r>
      <w:r>
        <w:rPr>
          <w:rFonts w:hint="eastAsia" w:ascii="Times New Roman" w:hAnsi="Times New Roman" w:cs="宋体"/>
          <w:color w:val="000000"/>
          <w:kern w:val="0"/>
          <w:szCs w:val="21"/>
        </w:rPr>
        <w:t>月</w:t>
      </w:r>
      <w:r>
        <w:rPr>
          <w:rFonts w:ascii="Times New Roman" w:hAnsi="Times New Roman" w:cs="宋体"/>
          <w:color w:val="000000"/>
          <w:kern w:val="0"/>
          <w:szCs w:val="21"/>
        </w:rPr>
        <w:t>11</w:t>
      </w:r>
      <w:r>
        <w:rPr>
          <w:rFonts w:hint="eastAsia" w:ascii="Times New Roman" w:hAnsi="Times New Roman" w:cs="宋体"/>
          <w:color w:val="000000"/>
          <w:kern w:val="0"/>
          <w:szCs w:val="21"/>
        </w:rPr>
        <w:t>日</w:t>
      </w:r>
      <w:r>
        <w:rPr>
          <w:rFonts w:ascii="Times New Roman" w:hAnsi="Times New Roman" w:cs="宋体"/>
          <w:color w:val="000000"/>
          <w:kern w:val="0"/>
          <w:szCs w:val="21"/>
        </w:rPr>
        <w:t>(</w:t>
      </w:r>
      <w:r>
        <w:rPr>
          <w:rFonts w:hint="eastAsia" w:ascii="Times New Roman" w:hAnsi="Times New Roman" w:cs="宋体"/>
          <w:color w:val="000000"/>
          <w:kern w:val="0"/>
          <w:szCs w:val="21"/>
        </w:rPr>
        <w:t>基金合同生效日</w:t>
      </w:r>
      <w:r>
        <w:rPr>
          <w:rFonts w:ascii="Times New Roman" w:hAnsi="Times New Roman" w:cs="宋体"/>
          <w:color w:val="000000"/>
          <w:kern w:val="0"/>
          <w:szCs w:val="21"/>
        </w:rPr>
        <w:t>)</w:t>
      </w:r>
      <w:r>
        <w:rPr>
          <w:rFonts w:hint="eastAsia" w:ascii="Times New Roman" w:hAnsi="Times New Roman" w:cs="宋体"/>
          <w:color w:val="000000"/>
          <w:kern w:val="0"/>
          <w:szCs w:val="21"/>
        </w:rPr>
        <w:t>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12</w:t>
      </w:r>
      <w:r>
        <w:rPr>
          <w:rFonts w:hint="eastAsia" w:ascii="Times New Roman" w:hAnsi="Times New Roman" w:cs="宋体"/>
          <w:color w:val="000000"/>
          <w:kern w:val="0"/>
          <w:szCs w:val="21"/>
        </w:rPr>
        <w:t>月</w:t>
      </w:r>
      <w:r>
        <w:rPr>
          <w:rFonts w:ascii="Times New Roman" w:hAnsi="Times New Roman" w:cs="宋体"/>
          <w:color w:val="000000"/>
          <w:kern w:val="0"/>
          <w:szCs w:val="21"/>
        </w:rPr>
        <w:t>31</w:t>
      </w:r>
      <w:r>
        <w:rPr>
          <w:rFonts w:hint="eastAsia" w:ascii="Times New Roman" w:hAnsi="Times New Roman" w:cs="宋体"/>
          <w:color w:val="000000"/>
          <w:kern w:val="0"/>
          <w:szCs w:val="21"/>
        </w:rPr>
        <w:t>日。截至报告期末本基金合同生效未满</w:t>
      </w:r>
      <w:r>
        <w:rPr>
          <w:rFonts w:ascii="Times New Roman" w:hAnsi="Times New Roman" w:cs="宋体"/>
          <w:color w:val="000000"/>
          <w:kern w:val="0"/>
          <w:szCs w:val="21"/>
        </w:rPr>
        <w:t>1</w:t>
      </w:r>
      <w:r>
        <w:rPr>
          <w:rFonts w:hint="eastAsia" w:ascii="Times New Roman" w:hAnsi="Times New Roman" w:cs="宋体"/>
          <w:color w:val="000000"/>
          <w:kern w:val="0"/>
          <w:szCs w:val="21"/>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w:t>
      </w:r>
      <w:r>
        <w:rPr>
          <w:rFonts w:ascii="Times New Roman" w:hAnsi="Times New Roman" w:cs="宋体"/>
          <w:color w:val="000000"/>
          <w:kern w:val="0"/>
          <w:sz w:val="24"/>
          <w:szCs w:val="24"/>
        </w:rPr>
        <w:t>7.1</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7.4</w:t>
      </w:r>
      <w:r>
        <w:rPr>
          <w:rFonts w:hint="eastAsia" w:ascii="Times New Roman" w:hAnsi="Times New Roman" w:cs="宋体"/>
          <w:color w:val="000000"/>
          <w:kern w:val="0"/>
          <w:sz w:val="24"/>
          <w:szCs w:val="24"/>
        </w:rPr>
        <w:t>财务报表由下列负责人签署</w:t>
      </w:r>
      <w:r>
        <w:rPr>
          <w:rFonts w:ascii="Times New Roman" w:hAnsi="Times New Roman" w:cs="宋体"/>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苏彦祝</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黄越岷</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安兆国</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会计机构负责人</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3" w:name="_Toc477955676"/>
      <w:r>
        <w:rPr>
          <w:rFonts w:ascii="Times New Roman" w:hAnsi="Times New Roman" w:cs="宋体"/>
          <w:b/>
          <w:bCs/>
          <w:color w:val="000000"/>
          <w:kern w:val="0"/>
          <w:sz w:val="24"/>
          <w:szCs w:val="24"/>
        </w:rPr>
        <w:t xml:space="preserve">7.4 </w:t>
      </w:r>
      <w:r>
        <w:rPr>
          <w:rFonts w:hint="eastAsia" w:ascii="Times New Roman" w:hAnsi="Times New Roman" w:cs="宋体"/>
          <w:b/>
          <w:bCs/>
          <w:color w:val="000000"/>
          <w:kern w:val="0"/>
          <w:sz w:val="24"/>
          <w:szCs w:val="24"/>
        </w:rPr>
        <w:t>报表附注</w:t>
      </w:r>
      <w:bookmarkEnd w:id="33"/>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 </w:t>
      </w:r>
      <w:r>
        <w:rPr>
          <w:rFonts w:hint="eastAsia" w:ascii="Times New Roman" w:hAnsi="Times New Roman" w:cs="宋体"/>
          <w:b/>
          <w:bCs/>
          <w:color w:val="000000"/>
          <w:kern w:val="0"/>
          <w:sz w:val="24"/>
          <w:szCs w:val="24"/>
        </w:rPr>
        <w:t>基金基本情况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经中国证券监督管理委员会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证监许可</w:t>
      </w:r>
      <w:r>
        <w:rPr>
          <w:rFonts w:ascii="Times New Roman" w:hAnsi="Times New Roman" w:cs="宋体"/>
          <w:color w:val="000000"/>
          <w:kern w:val="0"/>
          <w:sz w:val="24"/>
          <w:szCs w:val="24"/>
        </w:rPr>
        <w:t>[2016]1275</w:t>
      </w:r>
      <w:r>
        <w:rPr>
          <w:rFonts w:hint="eastAsia" w:ascii="Times New Roman" w:hAnsi="Times New Roman" w:cs="宋体"/>
          <w:color w:val="000000"/>
          <w:kern w:val="0"/>
          <w:sz w:val="24"/>
          <w:szCs w:val="24"/>
        </w:rPr>
        <w:t>号《关于准予创金合信尊誉纯债债券型证券投资基金注册的批复》核准，由创金合信基金管理有限公司依照《中华人民共和国证券投资基金法》和《创金合信尊誉纯债债券型证券投资基金基金合同》负责公开募集。本基金为契约型开放式，存续期限不定，首次设立募集不包括认购资金利息共募集人民币</w:t>
      </w:r>
      <w:r>
        <w:rPr>
          <w:rFonts w:ascii="Times New Roman" w:hAnsi="Times New Roman" w:cs="宋体"/>
          <w:color w:val="000000"/>
          <w:kern w:val="0"/>
          <w:sz w:val="24"/>
          <w:szCs w:val="24"/>
        </w:rPr>
        <w:t>200,046,989.19</w:t>
      </w:r>
      <w:r>
        <w:rPr>
          <w:rFonts w:hint="eastAsia" w:ascii="Times New Roman" w:hAnsi="Times New Roman" w:cs="宋体"/>
          <w:color w:val="000000"/>
          <w:kern w:val="0"/>
          <w:sz w:val="24"/>
          <w:szCs w:val="24"/>
        </w:rPr>
        <w:t>元，业经普华永道中天会计师事务所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普华永道中天验字</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第</w:t>
      </w:r>
      <w:r>
        <w:rPr>
          <w:rFonts w:ascii="Times New Roman" w:hAnsi="Times New Roman" w:cs="宋体"/>
          <w:color w:val="000000"/>
          <w:kern w:val="0"/>
          <w:sz w:val="24"/>
          <w:szCs w:val="24"/>
        </w:rPr>
        <w:t>807</w:t>
      </w:r>
      <w:r>
        <w:rPr>
          <w:rFonts w:hint="eastAsia" w:ascii="Times New Roman" w:hAnsi="Times New Roman" w:cs="宋体"/>
          <w:color w:val="000000"/>
          <w:kern w:val="0"/>
          <w:sz w:val="24"/>
          <w:szCs w:val="24"/>
        </w:rPr>
        <w:t>号验资报告予以验证。经向中国证监会备案，《创金合信尊誉纯债债券型证券投资基金基金合同》于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日正式生效，基金合同生效日的基金份额总额为</w:t>
      </w:r>
      <w:r>
        <w:rPr>
          <w:rFonts w:ascii="Times New Roman" w:hAnsi="Times New Roman" w:cs="宋体"/>
          <w:color w:val="000000"/>
          <w:kern w:val="0"/>
          <w:sz w:val="24"/>
          <w:szCs w:val="24"/>
        </w:rPr>
        <w:t>200,056,004.19</w:t>
      </w:r>
      <w:r>
        <w:rPr>
          <w:rFonts w:hint="eastAsia" w:ascii="Times New Roman" w:hAnsi="Times New Roman" w:cs="宋体"/>
          <w:color w:val="000000"/>
          <w:kern w:val="0"/>
          <w:sz w:val="24"/>
          <w:szCs w:val="24"/>
        </w:rPr>
        <w:t>份基金份额，其中认购资金利息折合</w:t>
      </w:r>
      <w:r>
        <w:rPr>
          <w:rFonts w:ascii="Times New Roman" w:hAnsi="Times New Roman" w:cs="宋体"/>
          <w:color w:val="000000"/>
          <w:kern w:val="0"/>
          <w:sz w:val="24"/>
          <w:szCs w:val="24"/>
        </w:rPr>
        <w:t>9,015.00</w:t>
      </w:r>
      <w:r>
        <w:rPr>
          <w:rFonts w:hint="eastAsia" w:ascii="Times New Roman" w:hAnsi="Times New Roman" w:cs="宋体"/>
          <w:color w:val="000000"/>
          <w:kern w:val="0"/>
          <w:sz w:val="24"/>
          <w:szCs w:val="24"/>
        </w:rPr>
        <w:t>份基金份额。本基金的基金管理人为创金合信基金管理有限公司，基金托管人为宁波银行股份有限公司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宁波银行</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中华人民共和国证券投资基金法》和《创金合信尊誉纯债债券型证券投资基金基金合同》的有关规定，本基金主要投资于固定收益类品种，包括国债、央行票据、政府支持机构债券、政府支持债券、地方政府债、金融债、企业债、公司债、证券公司短期公司债券、中小企业私募债、次级债、中期票据、短期融资券及超级短期融资券、可转换债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含可分离交易可转债</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、可交换债券、资产支持证券、债券回购、同业存单、银行存款</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包括协议存款、定期存款及其他银行存款</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等，以及法律法规或中国证监会允许基金投资的其他金融工具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但须符合中国证监会相关规定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。本基金的业绩比较基准为：中债综合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全价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指数收益率。</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7.4.2 </w:t>
      </w:r>
      <w:r>
        <w:rPr>
          <w:rFonts w:hint="eastAsia" w:ascii="Times New Roman" w:hAnsi="Times New Roman" w:cs="宋体"/>
          <w:b/>
          <w:bCs/>
          <w:color w:val="000000"/>
          <w:kern w:val="0"/>
          <w:sz w:val="24"/>
          <w:szCs w:val="24"/>
        </w:rPr>
        <w:t>会计报表的编制基础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本基金的财务报表按照财政部于</w:t>
      </w:r>
      <w:r>
        <w:rPr>
          <w:rFonts w:ascii="Times New Roman" w:hAnsi="Times New Roman" w:cs="宋体"/>
          <w:color w:val="000000"/>
          <w:kern w:val="0"/>
          <w:sz w:val="24"/>
          <w:szCs w:val="24"/>
        </w:rPr>
        <w:t>2006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日及以后期间颁布的《企业会计准则－基本准则》、各项具体会计准则及相关规定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以下合称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、中国证监会颁布的《证券投资基金信息披露</w:t>
      </w:r>
      <w:r>
        <w:rPr>
          <w:rFonts w:ascii="Times New Roman" w:hAnsi="Times New Roman" w:cs="宋体"/>
          <w:color w:val="000000"/>
          <w:kern w:val="0"/>
          <w:sz w:val="24"/>
          <w:szCs w:val="24"/>
        </w:rPr>
        <w:t>XBRL</w:t>
      </w:r>
      <w:r>
        <w:rPr>
          <w:rFonts w:hint="eastAsia" w:ascii="Times New Roman" w:hAnsi="Times New Roman" w:cs="宋体"/>
          <w:color w:val="000000"/>
          <w:kern w:val="0"/>
          <w:sz w:val="24"/>
          <w:szCs w:val="24"/>
        </w:rPr>
        <w:t>模板第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年度报告和半年度报告</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》、中国证券投资基金业协会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以下简称</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中国基金业协会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颁布的《证券投资基金会计核算业务指引》、《创金合信尊誉纯债债券型证券投资基金基金合同》和在财务报表附注</w:t>
      </w:r>
      <w:r>
        <w:rPr>
          <w:rFonts w:ascii="Times New Roman" w:hAnsi="Times New Roman" w:cs="宋体"/>
          <w:color w:val="000000"/>
          <w:kern w:val="0"/>
          <w:sz w:val="24"/>
          <w:szCs w:val="24"/>
        </w:rPr>
        <w:t>7.4.4</w:t>
      </w:r>
      <w:r>
        <w:rPr>
          <w:rFonts w:hint="eastAsia" w:ascii="Times New Roman" w:hAnsi="Times New Roman" w:cs="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7.4.3 </w:t>
      </w:r>
      <w:r>
        <w:rPr>
          <w:rFonts w:hint="eastAsia" w:ascii="Times New Roman" w:hAnsi="Times New Roman" w:cs="宋体"/>
          <w:b/>
          <w:bCs/>
          <w:color w:val="000000"/>
          <w:kern w:val="0"/>
          <w:sz w:val="24"/>
          <w:szCs w:val="24"/>
        </w:rPr>
        <w:t>遵循企业会计准则及其他有关规定的声明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日止期间财务报表符合企业会计准则的要求，真实、完整地反映了本基金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日的财务状况以及</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 </w:t>
      </w:r>
      <w:r>
        <w:rPr>
          <w:rFonts w:hint="eastAsia" w:ascii="Times New Roman" w:hAnsi="Times New Roman" w:cs="宋体"/>
          <w:b/>
          <w:bCs/>
          <w:color w:val="000000"/>
          <w:kern w:val="0"/>
          <w:sz w:val="24"/>
          <w:szCs w:val="24"/>
        </w:rPr>
        <w:t>重要会计政策和会计估计</w:t>
      </w:r>
    </w:p>
    <w:p>
      <w:pPr>
        <w:autoSpaceDE w:val="0"/>
        <w:autoSpaceDN w:val="0"/>
        <w:adjustRightInd w:val="0"/>
        <w:spacing w:line="288" w:lineRule="auto"/>
        <w:jc w:val="left"/>
        <w:rPr>
          <w:rFonts w:ascii="Times New Roman" w:hAnsi="Times New Roman" w:cs="宋体"/>
          <w:color w:val="000000"/>
          <w:kern w:val="0"/>
          <w:sz w:val="23"/>
          <w:szCs w:val="23"/>
        </w:rPr>
      </w:pP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 </w:t>
      </w:r>
      <w:r>
        <w:rPr>
          <w:rFonts w:hint="eastAsia" w:ascii="Times New Roman" w:hAnsi="Times New Roman" w:cs="宋体"/>
          <w:b/>
          <w:bCs/>
          <w:color w:val="000000"/>
          <w:kern w:val="0"/>
          <w:sz w:val="24"/>
          <w:szCs w:val="24"/>
        </w:rPr>
        <w:t>会计年度</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本基金会计年度为公历</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日起至</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日止。本期财务报表的实际编制期间为</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日止期间。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7.4.4.2 </w:t>
      </w:r>
      <w:r>
        <w:rPr>
          <w:rFonts w:hint="eastAsia" w:ascii="Times New Roman" w:hAnsi="Times New Roman" w:cs="宋体"/>
          <w:b/>
          <w:bCs/>
          <w:color w:val="000000"/>
          <w:kern w:val="0"/>
          <w:sz w:val="24"/>
          <w:szCs w:val="24"/>
        </w:rPr>
        <w:t>记账本位币</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7.4.4.3 </w:t>
      </w:r>
      <w:r>
        <w:rPr>
          <w:rFonts w:hint="eastAsia" w:ascii="Times New Roman" w:hAnsi="Times New Roman" w:cs="宋体"/>
          <w:b/>
          <w:bCs/>
          <w:color w:val="000000"/>
          <w:kern w:val="0"/>
          <w:sz w:val="24"/>
          <w:szCs w:val="24"/>
        </w:rPr>
        <w:t>金融资产和金融负债的分类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金融资产的分类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本基金目前以交易目的持有的股票投资、债券投资和衍生工具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主要为权证投资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金融负债的分类</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7.4.4.4 </w:t>
      </w:r>
      <w:r>
        <w:rPr>
          <w:rFonts w:hint="eastAsia" w:ascii="Times New Roman" w:hAnsi="Times New Roman" w:cs="宋体"/>
          <w:b/>
          <w:bCs/>
          <w:color w:val="000000"/>
          <w:kern w:val="0"/>
          <w:sz w:val="24"/>
          <w:szCs w:val="24"/>
        </w:rPr>
        <w:t>金融资产和金融负债的初始确认、后续计量和终止确认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金融资产满足下列条件之一的，予以终止确认：</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收取该金融资产现金流量的合同权利终止；</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该金融资产已转移，且本基金将金融资产所有权上几乎所有的风险和报酬转移给转入方；或者</w:t>
      </w: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7.4.4.5 </w:t>
      </w:r>
      <w:r>
        <w:rPr>
          <w:rFonts w:hint="eastAsia" w:ascii="Times New Roman" w:hAnsi="Times New Roman" w:cs="宋体"/>
          <w:b/>
          <w:bCs/>
          <w:color w:val="000000"/>
          <w:kern w:val="0"/>
          <w:sz w:val="24"/>
          <w:szCs w:val="24"/>
        </w:rPr>
        <w:t>金融资产和金融负债的估值原则</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本基金持有的股票投资、债券投资和衍生工具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主要为权证投资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按如下原则确定公允价值并进行估值：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s="MS Sans Serif"/>
          <w:color w:val="000000"/>
          <w:kern w:val="0"/>
          <w:sz w:val="22"/>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7.4.4.6 </w:t>
      </w:r>
      <w:r>
        <w:rPr>
          <w:rFonts w:hint="eastAsia" w:ascii="Times New Roman" w:hAnsi="Times New Roman" w:cs="宋体"/>
          <w:b/>
          <w:bCs/>
          <w:color w:val="000000"/>
          <w:kern w:val="0"/>
          <w:sz w:val="24"/>
          <w:szCs w:val="24"/>
        </w:rPr>
        <w:t>金融资产和金融负债的抵销</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本基金持有的资产和承担的负债基本为金融资产和金融负债。当本基金</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具有抵销已确认金额的法定权利且该种法定权利现在是可执行的；且</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7.4.4.7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7.4.4.8 </w:t>
      </w:r>
      <w:r>
        <w:rPr>
          <w:rFonts w:hint="eastAsia" w:ascii="Times New Roman" w:hAnsi="Times New Roman" w:cs="宋体"/>
          <w:b/>
          <w:bCs/>
          <w:color w:val="000000"/>
          <w:kern w:val="0"/>
          <w:sz w:val="24"/>
          <w:szCs w:val="24"/>
        </w:rPr>
        <w:t>损益平准金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累计亏损</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7.4.4.9 </w:t>
      </w:r>
      <w:r>
        <w:rPr>
          <w:rFonts w:hint="eastAsia" w:ascii="Times New Roman" w:hAnsi="Times New Roman" w:cs="宋体"/>
          <w:b/>
          <w:bCs/>
          <w:color w:val="000000"/>
          <w:kern w:val="0"/>
          <w:sz w:val="24"/>
          <w:szCs w:val="24"/>
        </w:rPr>
        <w:t>收入</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（损失）的确认和计量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7.4.4.10 </w:t>
      </w:r>
      <w:r>
        <w:rPr>
          <w:rFonts w:hint="eastAsia" w:ascii="Times New Roman" w:hAnsi="Times New Roman" w:cs="宋体"/>
          <w:b/>
          <w:bCs/>
          <w:color w:val="000000"/>
          <w:kern w:val="0"/>
          <w:sz w:val="24"/>
          <w:szCs w:val="24"/>
        </w:rPr>
        <w:t>费用的确认和计量</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本基金的管理人报酬和托管费在费用涵盖期间按基金合同约定的费率和计算方法逐日确认。</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7.4.4.11 </w:t>
      </w:r>
      <w:r>
        <w:rPr>
          <w:rFonts w:hint="eastAsia" w:ascii="Times New Roman" w:hAnsi="Times New Roman" w:cs="宋体"/>
          <w:b/>
          <w:bCs/>
          <w:color w:val="000000"/>
          <w:kern w:val="0"/>
          <w:sz w:val="24"/>
          <w:szCs w:val="24"/>
        </w:rPr>
        <w:t>基金的收益分配政策</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本基金的收益分配政策为：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每一基金份额享有同等分配权；</w:t>
      </w:r>
      <w:r>
        <w:rPr>
          <w:rFonts w:ascii="Times New Roman" w:hAnsi="Times New Roman" w:cs="宋体"/>
          <w:color w:val="000000"/>
          <w:kern w:val="0"/>
          <w:sz w:val="24"/>
          <w:szCs w:val="24"/>
        </w:rPr>
        <w:t>(4)</w:t>
      </w:r>
      <w:r>
        <w:rPr>
          <w:rFonts w:hint="eastAsia" w:ascii="Times New Roman" w:hAnsi="Times New Roman" w:cs="宋体"/>
          <w:color w:val="000000"/>
          <w:kern w:val="0"/>
          <w:sz w:val="24"/>
          <w:szCs w:val="24"/>
        </w:rPr>
        <w:t>在对基金份额持有人利益无实质不利影响的前提下，基金管理人与基金托管人协商一致后可调整基金收益的分配原则和支付方式，不需召开基金份额持有人大会审议；</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法律法规或监管机关另有规定的，从其规定。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7.4.4.12 </w:t>
      </w:r>
      <w:r>
        <w:rPr>
          <w:rFonts w:hint="eastAsia" w:ascii="Times New Roman" w:hAnsi="Times New Roman" w:cs="宋体"/>
          <w:b/>
          <w:bCs/>
          <w:color w:val="000000"/>
          <w:kern w:val="0"/>
          <w:sz w:val="24"/>
          <w:szCs w:val="24"/>
        </w:rPr>
        <w:t>分部报告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该组成部分能够在日常活动中产生收入、发生费用；</w:t>
      </w: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本基金的基金管理人能够定期评价该组成部分的经营成果，以决定向其配置资源、评价其业绩；</w:t>
      </w:r>
      <w:r>
        <w:rPr>
          <w:rFonts w:ascii="Times New Roman" w:hAnsi="Times New Roman" w:cs="宋体"/>
          <w:color w:val="000000"/>
          <w:kern w:val="0"/>
          <w:sz w:val="24"/>
          <w:szCs w:val="24"/>
        </w:rPr>
        <w:t xml:space="preserve">(3) </w:t>
      </w:r>
      <w:r>
        <w:rPr>
          <w:rFonts w:hint="eastAsia" w:ascii="Times New Roman" w:hAnsi="Times New Roman" w:cs="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本基金目前以一个单一的经营分部运作，不需要披露分部信息。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7.4.4.13 </w:t>
      </w:r>
      <w:r>
        <w:rPr>
          <w:rFonts w:hint="eastAsia" w:ascii="Times New Roman" w:hAnsi="Times New Roman" w:cs="宋体"/>
          <w:b/>
          <w:bCs/>
          <w:color w:val="000000"/>
          <w:kern w:val="0"/>
          <w:sz w:val="24"/>
          <w:szCs w:val="24"/>
        </w:rPr>
        <w:t>其他重要的会计政策和会计估计</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对于证券交易所上市的股票和债券，若出现重大事项停牌或交易不活跃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等情况，本基金根据中国证监会公告</w:t>
      </w:r>
      <w:r>
        <w:rPr>
          <w:rFonts w:ascii="Times New Roman" w:hAnsi="Times New Roman" w:cs="宋体"/>
          <w:color w:val="000000"/>
          <w:kern w:val="0"/>
          <w:sz w:val="24"/>
          <w:szCs w:val="24"/>
        </w:rPr>
        <w:t>[2008]38</w:t>
      </w:r>
      <w:r>
        <w:rPr>
          <w:rFonts w:hint="eastAsia" w:ascii="Times New Roman" w:hAnsi="Times New Roman" w:cs="宋体"/>
          <w:color w:val="000000"/>
          <w:kern w:val="0"/>
          <w:sz w:val="24"/>
          <w:szCs w:val="24"/>
        </w:rPr>
        <w:t>号《关于进一步规范证券投资基金估值业务的指导意见》，根据具体情况采用《关于发布中基协</w:t>
      </w:r>
      <w:r>
        <w:rPr>
          <w:rFonts w:ascii="Times New Roman" w:hAnsi="Times New Roman" w:cs="宋体"/>
          <w:color w:val="000000"/>
          <w:kern w:val="0"/>
          <w:sz w:val="24"/>
          <w:szCs w:val="24"/>
        </w:rPr>
        <w:t>(AMAC)</w:t>
      </w:r>
      <w:r>
        <w:rPr>
          <w:rFonts w:hint="eastAsia" w:ascii="Times New Roman" w:hAnsi="Times New Roman" w:cs="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在银行间同业市场交易的债券品种，根据中国证监会证监会计字</w:t>
      </w:r>
      <w:r>
        <w:rPr>
          <w:rFonts w:ascii="Times New Roman" w:hAnsi="Times New Roman" w:cs="宋体"/>
          <w:color w:val="000000"/>
          <w:kern w:val="0"/>
          <w:sz w:val="24"/>
          <w:szCs w:val="24"/>
        </w:rPr>
        <w:t>[2007]21</w:t>
      </w:r>
      <w:r>
        <w:rPr>
          <w:rFonts w:hint="eastAsia" w:ascii="Times New Roman" w:hAnsi="Times New Roman" w:cs="宋体"/>
          <w:color w:val="000000"/>
          <w:kern w:val="0"/>
          <w:sz w:val="24"/>
          <w:szCs w:val="24"/>
        </w:rPr>
        <w:t>号《关于证券投资基金执行</w:t>
      </w:r>
      <w:r>
        <w:rPr>
          <w:rFonts w:ascii="Times New Roman" w:hAnsi="Times New Roman" w:cs="宋体"/>
          <w:color w:val="000000"/>
          <w:kern w:val="0"/>
          <w:sz w:val="24"/>
          <w:szCs w:val="24"/>
        </w:rPr>
        <w:t>&lt;</w:t>
      </w:r>
      <w:r>
        <w:rPr>
          <w:rFonts w:hint="eastAsia" w:ascii="Times New Roman" w:hAnsi="Times New Roman" w:cs="宋体"/>
          <w:color w:val="000000"/>
          <w:kern w:val="0"/>
          <w:sz w:val="24"/>
          <w:szCs w:val="24"/>
        </w:rPr>
        <w:t>企业会计准则</w:t>
      </w:r>
      <w:r>
        <w:rPr>
          <w:rFonts w:ascii="Times New Roman" w:hAnsi="Times New Roman" w:cs="宋体"/>
          <w:color w:val="000000"/>
          <w:kern w:val="0"/>
          <w:sz w:val="24"/>
          <w:szCs w:val="24"/>
        </w:rPr>
        <w:t>&gt;</w:t>
      </w:r>
      <w:r>
        <w:rPr>
          <w:rFonts w:hint="eastAsia" w:ascii="Times New Roman" w:hAnsi="Times New Roman" w:cs="宋体"/>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 </w:t>
      </w:r>
      <w:r>
        <w:rPr>
          <w:rFonts w:hint="eastAsia" w:ascii="Times New Roman" w:hAnsi="Times New Roman" w:cs="宋体"/>
          <w:b/>
          <w:bCs/>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7.4.5.1 </w:t>
      </w:r>
      <w:r>
        <w:rPr>
          <w:rFonts w:hint="eastAsia" w:ascii="Times New Roman" w:hAnsi="Times New Roman" w:cs="宋体"/>
          <w:b/>
          <w:bCs/>
          <w:color w:val="000000"/>
          <w:kern w:val="0"/>
          <w:sz w:val="24"/>
          <w:szCs w:val="24"/>
        </w:rPr>
        <w:t>会计政策变更的说明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本基金本报告期未发生会计政策变更。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7.4.5.2 </w:t>
      </w:r>
      <w:r>
        <w:rPr>
          <w:rFonts w:hint="eastAsia" w:ascii="Times New Roman" w:hAnsi="Times New Roman" w:cs="宋体"/>
          <w:b/>
          <w:bCs/>
          <w:color w:val="000000"/>
          <w:kern w:val="0"/>
          <w:sz w:val="24"/>
          <w:szCs w:val="24"/>
        </w:rPr>
        <w:t>会计估计变更的说明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本基金本报告期未发生会计估计变更。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7.4.5.3 </w:t>
      </w:r>
      <w:r>
        <w:rPr>
          <w:rFonts w:hint="eastAsia" w:ascii="Times New Roman" w:hAnsi="Times New Roman" w:cs="宋体"/>
          <w:b/>
          <w:bCs/>
          <w:color w:val="000000"/>
          <w:kern w:val="0"/>
          <w:sz w:val="24"/>
          <w:szCs w:val="24"/>
        </w:rPr>
        <w:t>差错更正的说明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本基金在本报告期间无须说明的会计差错更正。</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7.4.6 </w:t>
      </w:r>
      <w:r>
        <w:rPr>
          <w:rFonts w:hint="eastAsia" w:ascii="Times New Roman" w:hAnsi="Times New Roman" w:cs="宋体"/>
          <w:b/>
          <w:bCs/>
          <w:color w:val="000000"/>
          <w:kern w:val="0"/>
          <w:sz w:val="24"/>
          <w:szCs w:val="24"/>
        </w:rPr>
        <w:t>税项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根据财政部、国家税务总局财税</w:t>
      </w:r>
      <w:r>
        <w:rPr>
          <w:rFonts w:ascii="Times New Roman" w:hAnsi="Times New Roman" w:cs="宋体"/>
          <w:color w:val="000000"/>
          <w:kern w:val="0"/>
          <w:sz w:val="24"/>
          <w:szCs w:val="24"/>
        </w:rPr>
        <w:t>[2004]78</w:t>
      </w:r>
      <w:r>
        <w:rPr>
          <w:rFonts w:hint="eastAsia" w:ascii="Times New Roman" w:hAnsi="Times New Roman" w:cs="宋体"/>
          <w:color w:val="000000"/>
          <w:kern w:val="0"/>
          <w:sz w:val="24"/>
          <w:szCs w:val="24"/>
        </w:rPr>
        <w:t>号《财政部、国家税务总局关于证券投资基金税收政策的通知》、财税</w:t>
      </w:r>
      <w:r>
        <w:rPr>
          <w:rFonts w:ascii="Times New Roman" w:hAnsi="Times New Roman" w:cs="宋体"/>
          <w:color w:val="000000"/>
          <w:kern w:val="0"/>
          <w:sz w:val="24"/>
          <w:szCs w:val="24"/>
        </w:rPr>
        <w:t>[2008]1</w:t>
      </w:r>
      <w:r>
        <w:rPr>
          <w:rFonts w:hint="eastAsia" w:ascii="Times New Roman" w:hAnsi="Times New Roman" w:cs="宋体"/>
          <w:color w:val="000000"/>
          <w:kern w:val="0"/>
          <w:sz w:val="24"/>
          <w:szCs w:val="24"/>
        </w:rPr>
        <w:t>号《关于企业所得税若干优惠政策的通知》、财税</w:t>
      </w:r>
      <w:r>
        <w:rPr>
          <w:rFonts w:ascii="Times New Roman" w:hAnsi="Times New Roman" w:cs="宋体"/>
          <w:color w:val="000000"/>
          <w:kern w:val="0"/>
          <w:sz w:val="24"/>
          <w:szCs w:val="24"/>
        </w:rPr>
        <w:t>[2012]85</w:t>
      </w:r>
      <w:r>
        <w:rPr>
          <w:rFonts w:hint="eastAsia" w:ascii="Times New Roman" w:hAnsi="Times New Roman" w:cs="宋体"/>
          <w:color w:val="000000"/>
          <w:kern w:val="0"/>
          <w:sz w:val="24"/>
          <w:szCs w:val="24"/>
        </w:rPr>
        <w:t>号《关于实施上市公司股息红利差别化个人所得税政策有关问题的通知》、财税</w:t>
      </w:r>
      <w:r>
        <w:rPr>
          <w:rFonts w:ascii="Times New Roman" w:hAnsi="Times New Roman" w:cs="宋体"/>
          <w:color w:val="000000"/>
          <w:kern w:val="0"/>
          <w:sz w:val="24"/>
          <w:szCs w:val="24"/>
        </w:rPr>
        <w:t>[2015]101</w:t>
      </w:r>
      <w:r>
        <w:rPr>
          <w:rFonts w:hint="eastAsia" w:ascii="Times New Roman" w:hAnsi="Times New Roman" w:cs="宋体"/>
          <w:color w:val="000000"/>
          <w:kern w:val="0"/>
          <w:sz w:val="24"/>
          <w:szCs w:val="24"/>
        </w:rPr>
        <w:t>号《关于上市公司股息红利差别化个人所得税政策有关问题的通知》、财税</w:t>
      </w:r>
      <w:r>
        <w:rPr>
          <w:rFonts w:ascii="Times New Roman" w:hAnsi="Times New Roman" w:cs="宋体"/>
          <w:color w:val="000000"/>
          <w:kern w:val="0"/>
          <w:sz w:val="24"/>
          <w:szCs w:val="24"/>
        </w:rPr>
        <w:t>[2016]36</w:t>
      </w:r>
      <w:r>
        <w:rPr>
          <w:rFonts w:hint="eastAsia" w:ascii="Times New Roman" w:hAnsi="Times New Roman" w:cs="宋体"/>
          <w:color w:val="000000"/>
          <w:kern w:val="0"/>
          <w:sz w:val="24"/>
          <w:szCs w:val="24"/>
        </w:rPr>
        <w:t>号《关于全面推开营业税改征增值税试点的通知》、财税</w:t>
      </w:r>
      <w:r>
        <w:rPr>
          <w:rFonts w:ascii="Times New Roman" w:hAnsi="Times New Roman" w:cs="宋体"/>
          <w:color w:val="000000"/>
          <w:kern w:val="0"/>
          <w:sz w:val="24"/>
          <w:szCs w:val="24"/>
        </w:rPr>
        <w:t>[2016]46</w:t>
      </w:r>
      <w:r>
        <w:rPr>
          <w:rFonts w:hint="eastAsia" w:ascii="Times New Roman" w:hAnsi="Times New Roman" w:cs="宋体"/>
          <w:color w:val="000000"/>
          <w:kern w:val="0"/>
          <w:sz w:val="24"/>
          <w:szCs w:val="24"/>
        </w:rPr>
        <w:t>号《关于进一步明确全面推开营改增试点金融业有关政策的通知》、财税</w:t>
      </w:r>
      <w:r>
        <w:rPr>
          <w:rFonts w:ascii="Times New Roman" w:hAnsi="Times New Roman" w:cs="宋体"/>
          <w:color w:val="000000"/>
          <w:kern w:val="0"/>
          <w:sz w:val="24"/>
          <w:szCs w:val="24"/>
        </w:rPr>
        <w:t>[2016]70</w:t>
      </w:r>
      <w:r>
        <w:rPr>
          <w:rFonts w:hint="eastAsia" w:ascii="Times New Roman" w:hAnsi="Times New Roman" w:cs="宋体"/>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(1) </w:t>
      </w: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(2) </w:t>
      </w:r>
      <w:r>
        <w:rPr>
          <w:rFonts w:hint="eastAsia" w:ascii="Times New Roman" w:hAnsi="Times New Roman" w:cs="宋体"/>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对基金取得的企业债券利息收入，应由发行债券的企业在向基金支付利息时代扣代缴</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的个人所得税。对基金从上市公司取得的股息红利所得，持股期限在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个月以内</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的，其股息红利所得全额计入应纳税所得额；持股期限在</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个月以上至</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计入应纳税所得额；持股期限超过</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s="宋体"/>
          <w:color w:val="000000"/>
          <w:kern w:val="0"/>
          <w:sz w:val="24"/>
          <w:szCs w:val="24"/>
        </w:rPr>
        <w:t>50%</w:t>
      </w:r>
      <w:r>
        <w:rPr>
          <w:rFonts w:hint="eastAsia" w:ascii="Times New Roman" w:hAnsi="Times New Roman" w:cs="宋体"/>
          <w:color w:val="000000"/>
          <w:kern w:val="0"/>
          <w:sz w:val="24"/>
          <w:szCs w:val="24"/>
        </w:rPr>
        <w:t>计入应纳税所得额。上述所得统一适用</w:t>
      </w:r>
      <w:r>
        <w:rPr>
          <w:rFonts w:ascii="Times New Roman" w:hAnsi="Times New Roman" w:cs="宋体"/>
          <w:color w:val="000000"/>
          <w:kern w:val="0"/>
          <w:sz w:val="24"/>
          <w:szCs w:val="24"/>
        </w:rPr>
        <w:t>20%</w:t>
      </w:r>
      <w:r>
        <w:rPr>
          <w:rFonts w:hint="eastAsia" w:ascii="Times New Roman" w:hAnsi="Times New Roman" w:cs="宋体"/>
          <w:color w:val="000000"/>
          <w:kern w:val="0"/>
          <w:sz w:val="24"/>
          <w:szCs w:val="24"/>
        </w:rPr>
        <w:t>的税率计征个人所得税。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(4) </w:t>
      </w:r>
      <w:r>
        <w:rPr>
          <w:rFonts w:hint="eastAsia" w:ascii="Times New Roman" w:hAnsi="Times New Roman" w:cs="宋体"/>
          <w:color w:val="000000"/>
          <w:kern w:val="0"/>
          <w:sz w:val="24"/>
          <w:szCs w:val="24"/>
        </w:rPr>
        <w:t>基金卖出股票按</w:t>
      </w:r>
      <w:r>
        <w:rPr>
          <w:rFonts w:ascii="Times New Roman" w:hAnsi="Times New Roman" w:cs="宋体"/>
          <w:color w:val="000000"/>
          <w:kern w:val="0"/>
          <w:sz w:val="24"/>
          <w:szCs w:val="24"/>
        </w:rPr>
        <w:t>0.1%</w:t>
      </w:r>
      <w:r>
        <w:rPr>
          <w:rFonts w:hint="eastAsia" w:ascii="Times New Roman" w:hAnsi="Times New Roman" w:cs="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 </w:t>
      </w:r>
      <w:r>
        <w:rPr>
          <w:rFonts w:hint="eastAsia" w:ascii="Times New Roman" w:hAnsi="Times New Roman" w:cs="宋体"/>
          <w:b/>
          <w:bCs/>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 </w:t>
      </w:r>
      <w:r>
        <w:rPr>
          <w:rFonts w:hint="eastAsia" w:ascii="Times New Roman" w:hAnsi="Times New Roman" w:cs="宋体"/>
          <w:b/>
          <w:bCs/>
          <w:color w:val="000000"/>
          <w:kern w:val="0"/>
          <w:sz w:val="24"/>
          <w:szCs w:val="24"/>
        </w:rPr>
        <w:t>银行存款</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88"/>
        <w:gridCol w:w="6200"/>
      </w:tblGrid>
      <w:tr>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3,320,919.99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其中：存款期限</w:t>
            </w: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个月</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62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3,320,919.99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7.4.7.2 </w:t>
      </w:r>
      <w:r>
        <w:rPr>
          <w:rFonts w:hint="eastAsia" w:ascii="Times New Roman" w:hAnsi="Times New Roman" w:cs="宋体"/>
          <w:b/>
          <w:bCs/>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29,544,210.00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r>
      <w:tr>
        <w:tblPrEx>
          <w:tblCellMar>
            <w:top w:w="0" w:type="dxa"/>
            <w:left w:w="108" w:type="dxa"/>
            <w:bottom w:w="0" w:type="dxa"/>
            <w:right w:w="108" w:type="dxa"/>
          </w:tblCellMar>
        </w:tblPrEx>
        <w:trPr>
          <w:wBefore w:w="0" w:type="auto"/>
        </w:trPr>
        <w:tc>
          <w:tcPr>
            <w:tcW w:w="72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29,544,210.00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29,544,210.00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7.4.7.3 </w:t>
      </w:r>
      <w:r>
        <w:rPr>
          <w:rFonts w:hint="eastAsia" w:ascii="Times New Roman" w:hAnsi="Times New Roman" w:cs="宋体"/>
          <w:b/>
          <w:bCs/>
          <w:color w:val="000000"/>
          <w:kern w:val="0"/>
          <w:sz w:val="24"/>
          <w:szCs w:val="24"/>
        </w:rPr>
        <w:t>衍生金融资产</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负债</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本基金于本期末未持有衍生金融资产</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负债。</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 </w:t>
      </w:r>
      <w:r>
        <w:rPr>
          <w:rFonts w:hint="eastAsia" w:ascii="Times New Roman" w:hAnsi="Times New Roman" w:cs="宋体"/>
          <w:b/>
          <w:bCs/>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3251"/>
        <w:gridCol w:w="3251"/>
      </w:tblGrid>
      <w:tr>
        <w:tblPrEx>
          <w:tblCellMar>
            <w:top w:w="0" w:type="dxa"/>
            <w:left w:w="108" w:type="dxa"/>
            <w:bottom w:w="0" w:type="dxa"/>
            <w:right w:w="108" w:type="dxa"/>
          </w:tblCellMar>
        </w:tblPrEx>
        <w:trPr>
          <w:wBefore w:w="0" w:type="dxa"/>
          <w:wAfter w:w="0" w:type="dxa"/>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0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 xml:space="preserve"> 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252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账面余额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其中：买断式逆回购</w:t>
            </w:r>
          </w:p>
        </w:tc>
      </w:tr>
      <w:tr>
        <w:tblPrEx>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16,960,265.44</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16,960,265.44</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7.4.7.4.2 </w:t>
      </w:r>
      <w:r>
        <w:rPr>
          <w:rFonts w:hint="eastAsia" w:ascii="Times New Roman" w:hAnsi="Times New Roman" w:cs="宋体"/>
          <w:b/>
          <w:bCs/>
          <w:color w:val="000000"/>
          <w:kern w:val="0"/>
          <w:sz w:val="24"/>
          <w:szCs w:val="24"/>
        </w:rPr>
        <w:t>期末买断式逆回购交易中取得的债券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7.4.7.5 </w:t>
      </w:r>
      <w:r>
        <w:rPr>
          <w:rFonts w:hint="eastAsia" w:ascii="Times New Roman" w:hAnsi="Times New Roman" w:cs="宋体"/>
          <w:b/>
          <w:bCs/>
          <w:color w:val="000000"/>
          <w:kern w:val="0"/>
          <w:sz w:val="24"/>
          <w:szCs w:val="24"/>
        </w:rPr>
        <w:t>应收利息</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应收活期存款利息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11,200.52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应收定期存款利息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应收其他存款利息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应收结算备付金利息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应收债券利息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363,078.26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应收买入返售证券利息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10,645.93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应收申购款利息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应收黄金合约拆借孳息</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384,924.71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7.4.7.6 </w:t>
      </w:r>
      <w:r>
        <w:rPr>
          <w:rFonts w:hint="eastAsia" w:ascii="Times New Roman" w:hAnsi="Times New Roman" w:cs="宋体"/>
          <w:b/>
          <w:bCs/>
          <w:color w:val="000000"/>
          <w:kern w:val="0"/>
          <w:sz w:val="24"/>
          <w:szCs w:val="24"/>
        </w:rPr>
        <w:t>其他资产</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7.4.7.7 </w:t>
      </w:r>
      <w:r>
        <w:rPr>
          <w:rFonts w:hint="eastAsia" w:ascii="Times New Roman" w:hAnsi="Times New Roman" w:cs="宋体"/>
          <w:b/>
          <w:bCs/>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银行间市场应付交易费用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1,860.14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1,860.14</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7.4.7.8 </w:t>
      </w:r>
      <w:r>
        <w:rPr>
          <w:rFonts w:hint="eastAsia" w:ascii="Times New Roman" w:hAnsi="Times New Roman" w:cs="宋体"/>
          <w:b/>
          <w:bCs/>
          <w:color w:val="000000"/>
          <w:kern w:val="0"/>
          <w:sz w:val="24"/>
          <w:szCs w:val="24"/>
        </w:rPr>
        <w:t>其他负债</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应付券商交易单元保证金</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应付赎回费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预提费用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114,000.00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7.4.7.9 </w:t>
      </w:r>
      <w:r>
        <w:rPr>
          <w:rFonts w:hint="eastAsia" w:ascii="Times New Roman" w:hAnsi="Times New Roman" w:cs="宋体"/>
          <w:b/>
          <w:bCs/>
          <w:color w:val="000000"/>
          <w:kern w:val="0"/>
          <w:sz w:val="24"/>
          <w:szCs w:val="24"/>
        </w:rPr>
        <w:t>实收基金</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日（基金合同生效日）至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200,056,004.19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200,056,004.19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51,688,989.30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51,688,989.30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本期赎回（以“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-201,926,948.42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-201,926,948.42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49,818,045.07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49,818,045.07</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w:t>
      </w:r>
      <w:r>
        <w:rPr>
          <w:rFonts w:ascii="Times New Roman" w:hAnsi="Times New Roman" w:cs="宋体"/>
          <w:color w:val="000000"/>
          <w:kern w:val="0"/>
          <w:szCs w:val="21"/>
        </w:rPr>
        <w:t>1.</w:t>
      </w:r>
      <w:r>
        <w:rPr>
          <w:rFonts w:hint="eastAsia" w:ascii="Times New Roman" w:hAnsi="Times New Roman" w:cs="宋体"/>
          <w:color w:val="000000"/>
          <w:kern w:val="0"/>
          <w:szCs w:val="21"/>
        </w:rPr>
        <w:t>申购含红利再投、转换入份（金）额，赎回含转换出份（金）额。</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ascii="Times New Roman" w:hAnsi="Times New Roman" w:cs="宋体"/>
          <w:color w:val="000000"/>
          <w:kern w:val="0"/>
          <w:szCs w:val="21"/>
        </w:rPr>
        <w:t>2.</w:t>
      </w:r>
      <w:r>
        <w:rPr>
          <w:rFonts w:hint="eastAsia" w:ascii="Times New Roman" w:hAnsi="Times New Roman" w:cs="宋体"/>
          <w:color w:val="000000"/>
          <w:kern w:val="0"/>
          <w:szCs w:val="21"/>
        </w:rPr>
        <w:t>本基金自</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6</w:t>
      </w:r>
      <w:r>
        <w:rPr>
          <w:rFonts w:hint="eastAsia" w:ascii="Times New Roman" w:hAnsi="Times New Roman" w:cs="宋体"/>
          <w:color w:val="000000"/>
          <w:kern w:val="0"/>
          <w:szCs w:val="21"/>
        </w:rPr>
        <w:t>月</w:t>
      </w:r>
      <w:r>
        <w:rPr>
          <w:rFonts w:ascii="Times New Roman" w:hAnsi="Times New Roman" w:cs="宋体"/>
          <w:color w:val="000000"/>
          <w:kern w:val="0"/>
          <w:szCs w:val="21"/>
        </w:rPr>
        <w:t>27</w:t>
      </w:r>
      <w:r>
        <w:rPr>
          <w:rFonts w:hint="eastAsia" w:ascii="Times New Roman" w:hAnsi="Times New Roman" w:cs="宋体"/>
          <w:color w:val="000000"/>
          <w:kern w:val="0"/>
          <w:szCs w:val="21"/>
        </w:rPr>
        <w:t>日至</w:t>
      </w:r>
      <w:r>
        <w:rPr>
          <w:rFonts w:ascii="Times New Roman" w:hAnsi="Times New Roman" w:cs="宋体"/>
          <w:color w:val="000000"/>
          <w:kern w:val="0"/>
          <w:szCs w:val="21"/>
        </w:rPr>
        <w:t>2016</w:t>
      </w:r>
      <w:r>
        <w:rPr>
          <w:rFonts w:hint="eastAsia" w:ascii="Times New Roman" w:hAnsi="Times New Roman" w:cs="宋体"/>
          <w:color w:val="000000"/>
          <w:kern w:val="0"/>
          <w:szCs w:val="21"/>
        </w:rPr>
        <w:t>年</w:t>
      </w:r>
      <w:r>
        <w:rPr>
          <w:rFonts w:ascii="Times New Roman" w:hAnsi="Times New Roman" w:cs="宋体"/>
          <w:color w:val="000000"/>
          <w:kern w:val="0"/>
          <w:szCs w:val="21"/>
        </w:rPr>
        <w:t>7</w:t>
      </w:r>
      <w:r>
        <w:rPr>
          <w:rFonts w:hint="eastAsia" w:ascii="Times New Roman" w:hAnsi="Times New Roman" w:cs="宋体"/>
          <w:color w:val="000000"/>
          <w:kern w:val="0"/>
          <w:szCs w:val="21"/>
        </w:rPr>
        <w:t>月</w:t>
      </w:r>
      <w:r>
        <w:rPr>
          <w:rFonts w:ascii="Times New Roman" w:hAnsi="Times New Roman" w:cs="宋体"/>
          <w:color w:val="000000"/>
          <w:kern w:val="0"/>
          <w:szCs w:val="21"/>
        </w:rPr>
        <w:t>6</w:t>
      </w:r>
      <w:r>
        <w:rPr>
          <w:rFonts w:hint="eastAsia" w:ascii="Times New Roman" w:hAnsi="Times New Roman" w:cs="宋体"/>
          <w:color w:val="000000"/>
          <w:kern w:val="0"/>
          <w:szCs w:val="21"/>
        </w:rPr>
        <w:t>日止期间公开发售，共募集有效净认购资金</w:t>
      </w:r>
      <w:r>
        <w:rPr>
          <w:rFonts w:ascii="Times New Roman" w:hAnsi="Times New Roman" w:cs="宋体"/>
          <w:color w:val="000000"/>
          <w:kern w:val="0"/>
          <w:szCs w:val="21"/>
        </w:rPr>
        <w:t>200,046,989.19</w:t>
      </w:r>
      <w:r>
        <w:rPr>
          <w:rFonts w:hint="eastAsia" w:ascii="Times New Roman" w:hAnsi="Times New Roman" w:cs="宋体"/>
          <w:color w:val="000000"/>
          <w:kern w:val="0"/>
          <w:szCs w:val="21"/>
        </w:rPr>
        <w:t>元。根据《创金合信尊誉纯债债券型证券投资基金招募说明书》的规定，本基金设立募集期内认购资金产生的利息收入</w:t>
      </w:r>
      <w:r>
        <w:rPr>
          <w:rFonts w:ascii="Times New Roman" w:hAnsi="Times New Roman" w:cs="宋体"/>
          <w:color w:val="000000"/>
          <w:kern w:val="0"/>
          <w:szCs w:val="21"/>
        </w:rPr>
        <w:t>9,015.00</w:t>
      </w:r>
      <w:r>
        <w:rPr>
          <w:rFonts w:hint="eastAsia" w:ascii="Times New Roman" w:hAnsi="Times New Roman" w:cs="宋体"/>
          <w:color w:val="000000"/>
          <w:kern w:val="0"/>
          <w:szCs w:val="21"/>
        </w:rPr>
        <w:t>元，在本基金成立后，折算为</w:t>
      </w:r>
      <w:r>
        <w:rPr>
          <w:rFonts w:ascii="Times New Roman" w:hAnsi="Times New Roman" w:cs="宋体"/>
          <w:color w:val="000000"/>
          <w:kern w:val="0"/>
          <w:szCs w:val="21"/>
        </w:rPr>
        <w:t>9,015.00</w:t>
      </w:r>
      <w:r>
        <w:rPr>
          <w:rFonts w:hint="eastAsia" w:ascii="Times New Roman" w:hAnsi="Times New Roman" w:cs="宋体"/>
          <w:color w:val="000000"/>
          <w:kern w:val="0"/>
          <w:szCs w:val="21"/>
        </w:rPr>
        <w:t>份基金份额，划入基金份额持有人账户。</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7.4.7.10 </w:t>
      </w:r>
      <w:r>
        <w:rPr>
          <w:rFonts w:hint="eastAsia" w:ascii="Times New Roman" w:hAnsi="Times New Roman" w:cs="宋体"/>
          <w:b/>
          <w:bCs/>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2168"/>
        <w:gridCol w:w="2167"/>
        <w:gridCol w:w="2167"/>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1,253,277.65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1,262,067.65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-89,731.93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-89,749.83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225,893.89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225,875.95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-315,625.82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-315,625.78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-904,749.89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-904,749.89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258,795.83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8,772.10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267,567.93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7.4.7.11 </w:t>
      </w:r>
      <w:r>
        <w:rPr>
          <w:rFonts w:hint="eastAsia" w:ascii="Times New Roman" w:hAnsi="Times New Roman" w:cs="宋体"/>
          <w:b/>
          <w:bCs/>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活期存款利息收入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113,151.46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定期存款利息收入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1,128,125.00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其他存款利息收入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结算备付金利息收入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1,241,276.46</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7.4.7.12 </w:t>
      </w:r>
      <w:r>
        <w:rPr>
          <w:rFonts w:hint="eastAsia" w:ascii="Times New Roman" w:hAnsi="Times New Roman" w:cs="宋体"/>
          <w:b/>
          <w:bCs/>
          <w:color w:val="000000"/>
          <w:kern w:val="0"/>
          <w:sz w:val="24"/>
          <w:szCs w:val="24"/>
        </w:rPr>
        <w:t>股票投资收益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本基金本报告期内无股票投资收益。</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 </w:t>
      </w:r>
      <w:r>
        <w:rPr>
          <w:rFonts w:hint="eastAsia" w:ascii="Times New Roman" w:hAnsi="Times New Roman" w:cs="宋体"/>
          <w:b/>
          <w:bCs/>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7.4.7.13.1 </w:t>
      </w:r>
      <w:r>
        <w:rPr>
          <w:rFonts w:hint="eastAsia" w:ascii="Times New Roman" w:hAnsi="Times New Roman" w:cs="宋体"/>
          <w:b/>
          <w:bCs/>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买卖债券（、债转股及债券到期兑付）差价收入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-17,460.00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赎回差价收入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债券投资收益</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申购差价收入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-17,460.00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7.4.7.13.2 </w:t>
      </w:r>
      <w:r>
        <w:rPr>
          <w:rFonts w:hint="eastAsia" w:ascii="Times New Roman" w:hAnsi="Times New Roman" w:cs="宋体"/>
          <w:b/>
          <w:bCs/>
          <w:color w:val="000000"/>
          <w:kern w:val="0"/>
          <w:sz w:val="24"/>
          <w:szCs w:val="24"/>
        </w:rPr>
        <w:t>债券投资收益</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卖出债券（、债转股及债券到期兑付）成交总额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减：卖出债券（、债转股及债券到期兑付）成本总额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39,655,680.00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减：应收利息总额</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361,780.00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买卖债券差价收入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-17,460.00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7.4.7.14 </w:t>
      </w:r>
      <w:r>
        <w:rPr>
          <w:rFonts w:hint="eastAsia" w:ascii="Times New Roman" w:hAnsi="Times New Roman" w:cs="宋体"/>
          <w:b/>
          <w:bCs/>
          <w:color w:val="000000"/>
          <w:kern w:val="0"/>
          <w:sz w:val="24"/>
          <w:szCs w:val="24"/>
        </w:rPr>
        <w:t>衍生工具收益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7.4.7.15 </w:t>
      </w:r>
      <w:r>
        <w:rPr>
          <w:rFonts w:hint="eastAsia" w:ascii="Times New Roman" w:hAnsi="Times New Roman" w:cs="宋体"/>
          <w:b/>
          <w:bCs/>
          <w:color w:val="000000"/>
          <w:kern w:val="0"/>
          <w:sz w:val="24"/>
          <w:szCs w:val="24"/>
        </w:rPr>
        <w:t>股利收益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本基金本报告期内无股利收益。</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7.4.7.16 </w:t>
      </w:r>
      <w:r>
        <w:rPr>
          <w:rFonts w:hint="eastAsia" w:ascii="Times New Roman" w:hAnsi="Times New Roman" w:cs="宋体"/>
          <w:b/>
          <w:bCs/>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交易性金融资产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股票投资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债券投资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资产支持证券投资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贵金属投资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衍生工具</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权证投资</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其他</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8,790.00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7.4.7.17 </w:t>
      </w:r>
      <w:r>
        <w:rPr>
          <w:rFonts w:hint="eastAsia" w:ascii="Times New Roman" w:hAnsi="Times New Roman" w:cs="宋体"/>
          <w:b/>
          <w:bCs/>
          <w:color w:val="000000"/>
          <w:kern w:val="0"/>
          <w:sz w:val="24"/>
          <w:szCs w:val="24"/>
        </w:rPr>
        <w:t>其他收入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基金赎回费收入</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101,121.28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101,121.28</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7.4.7.18 </w:t>
      </w:r>
      <w:r>
        <w:rPr>
          <w:rFonts w:hint="eastAsia" w:ascii="Times New Roman" w:hAnsi="Times New Roman" w:cs="宋体"/>
          <w:b/>
          <w:bCs/>
          <w:color w:val="000000"/>
          <w:kern w:val="0"/>
          <w:sz w:val="24"/>
          <w:szCs w:val="24"/>
        </w:rPr>
        <w:t>交易费用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交易所市场交易费用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银行间市场交易费用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625.00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625.00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7.4.7.19 </w:t>
      </w:r>
      <w:r>
        <w:rPr>
          <w:rFonts w:hint="eastAsia" w:ascii="Times New Roman" w:hAnsi="Times New Roman" w:cs="宋体"/>
          <w:b/>
          <w:bCs/>
          <w:color w:val="000000"/>
          <w:kern w:val="0"/>
          <w:sz w:val="24"/>
          <w:szCs w:val="24"/>
        </w:rPr>
        <w:t>其他费用</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审计费用</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65,000.00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信息披露费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帐户维护费</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117,000.00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 </w:t>
      </w:r>
      <w:r>
        <w:rPr>
          <w:rFonts w:hint="eastAsia" w:ascii="Times New Roman" w:hAnsi="Times New Roman" w:cs="宋体"/>
          <w:b/>
          <w:bCs/>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7.4.8.1 </w:t>
      </w:r>
      <w:r>
        <w:rPr>
          <w:rFonts w:hint="eastAsia" w:ascii="Times New Roman" w:hAnsi="Times New Roman" w:cs="宋体"/>
          <w:b/>
          <w:bCs/>
          <w:color w:val="000000"/>
          <w:kern w:val="0"/>
          <w:sz w:val="24"/>
          <w:szCs w:val="24"/>
        </w:rPr>
        <w:t>或有事项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7.4.8.2 </w:t>
      </w:r>
      <w:r>
        <w:rPr>
          <w:rFonts w:hint="eastAsia" w:ascii="Times New Roman" w:hAnsi="Times New Roman" w:cs="宋体"/>
          <w:b/>
          <w:bCs/>
          <w:color w:val="000000"/>
          <w:kern w:val="0"/>
          <w:sz w:val="24"/>
          <w:szCs w:val="24"/>
        </w:rPr>
        <w:t>资产负债表日后事项</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．本基金的基金管理人于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日宣告</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年度第</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次分红，向截至</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13</w:t>
      </w:r>
      <w:r>
        <w:rPr>
          <w:rFonts w:hint="eastAsia" w:ascii="Times New Roman" w:hAnsi="Times New Roman" w:cs="宋体"/>
          <w:color w:val="000000"/>
          <w:kern w:val="0"/>
          <w:sz w:val="24"/>
          <w:szCs w:val="24"/>
        </w:rPr>
        <w:t>日止在本基金注册登记人创金合信基金管理有限公司登记在册的全体持有人，按每</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份基金份额派发红利</w:t>
      </w:r>
      <w:r>
        <w:rPr>
          <w:rFonts w:ascii="Times New Roman" w:hAnsi="Times New Roman" w:cs="宋体"/>
          <w:color w:val="000000"/>
          <w:kern w:val="0"/>
          <w:sz w:val="24"/>
          <w:szCs w:val="24"/>
        </w:rPr>
        <w:t>0.05</w:t>
      </w:r>
      <w:r>
        <w:rPr>
          <w:rFonts w:hint="eastAsia" w:ascii="Times New Roman" w:hAnsi="Times New Roman" w:cs="宋体"/>
          <w:color w:val="000000"/>
          <w:kern w:val="0"/>
          <w:sz w:val="24"/>
          <w:szCs w:val="24"/>
        </w:rPr>
        <w:t>元。</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．财政部、国家税务总局于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21</w:t>
      </w:r>
      <w:r>
        <w:rPr>
          <w:rFonts w:hint="eastAsia" w:ascii="Times New Roman" w:hAnsi="Times New Roman" w:cs="宋体"/>
          <w:color w:val="000000"/>
          <w:kern w:val="0"/>
          <w:sz w:val="24"/>
          <w:szCs w:val="24"/>
        </w:rPr>
        <w:t>日颁布《关于明确金融房地产开发教育辅助服务等增值税政策的通知》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财税</w:t>
      </w:r>
      <w:r>
        <w:rPr>
          <w:rFonts w:ascii="Times New Roman" w:hAnsi="Times New Roman" w:cs="宋体"/>
          <w:color w:val="000000"/>
          <w:kern w:val="0"/>
          <w:sz w:val="24"/>
          <w:szCs w:val="24"/>
        </w:rPr>
        <w:t>[2016]140</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，要求资管产品运营过程中发生的增值税应税行为，以资管产品管理人为增值税纳税人，自</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日起执行。</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根据财政部、国家税务总局于</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6</w:t>
      </w:r>
      <w:r>
        <w:rPr>
          <w:rFonts w:hint="eastAsia" w:ascii="Times New Roman" w:hAnsi="Times New Roman" w:cs="宋体"/>
          <w:color w:val="000000"/>
          <w:kern w:val="0"/>
          <w:sz w:val="24"/>
          <w:szCs w:val="24"/>
        </w:rPr>
        <w:t>日颁布的《关于资管产品增值税政策有关问题的补充通知》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财税</w:t>
      </w:r>
      <w:r>
        <w:rPr>
          <w:rFonts w:ascii="Times New Roman" w:hAnsi="Times New Roman" w:cs="宋体"/>
          <w:color w:val="000000"/>
          <w:kern w:val="0"/>
          <w:sz w:val="24"/>
          <w:szCs w:val="24"/>
        </w:rPr>
        <w:t>[2017]2</w:t>
      </w:r>
      <w:r>
        <w:rPr>
          <w:rFonts w:hint="eastAsia" w:ascii="Times New Roman" w:hAnsi="Times New Roman" w:cs="宋体"/>
          <w:color w:val="000000"/>
          <w:kern w:val="0"/>
          <w:sz w:val="24"/>
          <w:szCs w:val="24"/>
        </w:rPr>
        <w:t>号</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含</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s="宋体"/>
          <w:color w:val="000000"/>
          <w:kern w:val="0"/>
          <w:sz w:val="24"/>
          <w:szCs w:val="24"/>
        </w:rPr>
        <w:t>2017</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 </w:t>
      </w:r>
      <w:r>
        <w:rPr>
          <w:rFonts w:hint="eastAsia" w:ascii="Times New Roman" w:hAnsi="Times New Roman" w:cs="宋体"/>
          <w:b/>
          <w:bCs/>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7.4.9.1 </w:t>
      </w:r>
      <w:r>
        <w:rPr>
          <w:rFonts w:hint="eastAsia" w:ascii="Times New Roman" w:hAnsi="Times New Roman" w:cs="宋体"/>
          <w:b/>
          <w:bCs/>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本报告期不存在重大关联方发生变化的情况。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2"/>
        <w:gridCol w:w="4696"/>
      </w:tblGrid>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宁波银行股份有限公司</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“宁波银行”</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33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深圳市金合信投资合伙企业</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有限合伙</w:t>
            </w:r>
            <w:r>
              <w:rPr>
                <w:rFonts w:ascii="Times New Roman" w:hAnsi="Times New Roman" w:cs="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 </w:t>
      </w:r>
      <w:r>
        <w:rPr>
          <w:rFonts w:hint="eastAsia" w:ascii="Times New Roman" w:hAnsi="Times New Roman" w:cs="宋体"/>
          <w:b/>
          <w:bCs/>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 </w:t>
      </w:r>
      <w:r>
        <w:rPr>
          <w:rFonts w:hint="eastAsia" w:ascii="Times New Roman" w:hAnsi="Times New Roman" w:cs="宋体"/>
          <w:b/>
          <w:bCs/>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7.4.10.1.1 </w:t>
      </w:r>
      <w:r>
        <w:rPr>
          <w:rFonts w:hint="eastAsia" w:ascii="Times New Roman" w:hAnsi="Times New Roman" w:cs="宋体"/>
          <w:b/>
          <w:bCs/>
          <w:color w:val="000000"/>
          <w:kern w:val="0"/>
          <w:sz w:val="24"/>
          <w:szCs w:val="24"/>
        </w:rPr>
        <w:t>股票交易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本基金本报告期内未通过关联方交易单元进行股票交易。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7.4.10.1.2 </w:t>
      </w:r>
      <w:r>
        <w:rPr>
          <w:rFonts w:hint="eastAsia" w:ascii="Times New Roman" w:hAnsi="Times New Roman" w:cs="宋体"/>
          <w:b/>
          <w:bCs/>
          <w:color w:val="000000"/>
          <w:kern w:val="0"/>
          <w:sz w:val="24"/>
          <w:szCs w:val="24"/>
        </w:rPr>
        <w:t>权证交易</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本基金本报告期内未通过关联方交易单元进行权证交易。</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7.4.10.1.3 </w:t>
      </w:r>
      <w:r>
        <w:rPr>
          <w:rFonts w:hint="eastAsia" w:ascii="Times New Roman" w:hAnsi="Times New Roman" w:cs="宋体"/>
          <w:b/>
          <w:bCs/>
          <w:color w:val="000000"/>
          <w:kern w:val="0"/>
          <w:sz w:val="24"/>
          <w:szCs w:val="24"/>
        </w:rPr>
        <w:t>应支付关联方的佣金</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本基金本报告期内无应支付关联方的佣金。</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 </w:t>
      </w:r>
      <w:r>
        <w:rPr>
          <w:rFonts w:hint="eastAsia" w:ascii="Times New Roman" w:hAnsi="Times New Roman" w:cs="宋体"/>
          <w:b/>
          <w:bCs/>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7.4.10.2.1 </w:t>
      </w:r>
      <w:r>
        <w:rPr>
          <w:rFonts w:hint="eastAsia" w:ascii="Times New Roman" w:hAnsi="Times New Roman" w:cs="宋体"/>
          <w:b/>
          <w:bCs/>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169,575.37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846.71</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注：支付基金管理人创金合信的管理人报酬按前一日基金资产净值</w:t>
      </w:r>
      <w:r>
        <w:rPr>
          <w:rFonts w:ascii="Times New Roman" w:hAnsi="Times New Roman" w:cs="宋体"/>
          <w:color w:val="000000"/>
          <w:kern w:val="0"/>
          <w:szCs w:val="21"/>
        </w:rPr>
        <w:t>0.30%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日管理人报酬＝前一日基金资产净值</w:t>
      </w:r>
      <w:r>
        <w:rPr>
          <w:rFonts w:ascii="Times New Roman" w:hAnsi="Times New Roman" w:cs="宋体"/>
          <w:color w:val="000000"/>
          <w:kern w:val="0"/>
          <w:szCs w:val="21"/>
        </w:rPr>
        <w:t xml:space="preserve"> X 0.30% / </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7.4.10.2.2 </w:t>
      </w:r>
      <w:r>
        <w:rPr>
          <w:rFonts w:hint="eastAsia" w:ascii="Times New Roman" w:hAnsi="Times New Roman" w:cs="宋体"/>
          <w:b/>
          <w:bCs/>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6562"/>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56,525.14</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注：支付基金托管人宁波银行的托管费按前一日基金资产净值</w:t>
      </w:r>
      <w:r>
        <w:rPr>
          <w:rFonts w:ascii="Times New Roman" w:hAnsi="Times New Roman" w:cs="宋体"/>
          <w:color w:val="000000"/>
          <w:kern w:val="0"/>
          <w:szCs w:val="21"/>
        </w:rPr>
        <w:t>0.10%</w:t>
      </w:r>
      <w:r>
        <w:rPr>
          <w:rFonts w:hint="eastAsia" w:ascii="Times New Roman" w:hAnsi="Times New Roman" w:cs="宋体"/>
          <w:color w:val="000000"/>
          <w:kern w:val="0"/>
          <w:szCs w:val="21"/>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日托管费＝前一日基金资产净值</w:t>
      </w:r>
      <w:r>
        <w:rPr>
          <w:rFonts w:ascii="Times New Roman" w:hAnsi="Times New Roman" w:cs="宋体"/>
          <w:color w:val="000000"/>
          <w:kern w:val="0"/>
          <w:szCs w:val="21"/>
        </w:rPr>
        <w:t xml:space="preserve"> X 0.10% / </w:t>
      </w:r>
      <w:r>
        <w:rPr>
          <w:rFonts w:hint="eastAsia" w:ascii="Times New Roman" w:hAnsi="Times New Roman" w:cs="宋体"/>
          <w:color w:val="000000"/>
          <w:kern w:val="0"/>
          <w:szCs w:val="21"/>
        </w:rPr>
        <w:t>当年天数。</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7.4.10.3 </w:t>
      </w:r>
      <w:r>
        <w:rPr>
          <w:rFonts w:hint="eastAsia" w:ascii="Times New Roman" w:hAnsi="Times New Roman" w:cs="宋体"/>
          <w:b/>
          <w:bCs/>
          <w:color w:val="000000"/>
          <w:kern w:val="0"/>
          <w:sz w:val="24"/>
          <w:szCs w:val="24"/>
        </w:rPr>
        <w:t>与关联方进行银行间同业市场的债券</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含回购</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交易</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6"/>
        <w:gridCol w:w="1084"/>
        <w:gridCol w:w="1084"/>
        <w:gridCol w:w="1083"/>
        <w:gridCol w:w="1084"/>
        <w:gridCol w:w="1083"/>
        <w:gridCol w:w="1084"/>
      </w:tblGrid>
      <w:tr>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银行间市场交易的</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基金正回购</w:t>
            </w:r>
          </w:p>
        </w:tc>
      </w:tr>
      <w:tr>
        <w:tblPrEx>
          <w:tblCellMar>
            <w:top w:w="0" w:type="dxa"/>
            <w:left w:w="108" w:type="dxa"/>
            <w:bottom w:w="0" w:type="dxa"/>
            <w:right w:w="108" w:type="dxa"/>
          </w:tblCellMar>
        </w:tblPrEx>
        <w:trPr>
          <w:wBefore w:w="0" w:type="auto"/>
        </w:trPr>
        <w:tc>
          <w:tcPr>
            <w:tcW w:w="252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利息支出</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宁波银行</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29,900,480.54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 </w:t>
      </w:r>
      <w:r>
        <w:rPr>
          <w:rFonts w:hint="eastAsia" w:ascii="Times New Roman" w:hAnsi="Times New Roman" w:cs="宋体"/>
          <w:b/>
          <w:bCs/>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7.4.10.4.1 </w:t>
      </w:r>
      <w:r>
        <w:rPr>
          <w:rFonts w:hint="eastAsia" w:ascii="Times New Roman" w:hAnsi="Times New Roman" w:cs="宋体"/>
          <w:b/>
          <w:bCs/>
          <w:color w:val="000000"/>
          <w:kern w:val="0"/>
          <w:sz w:val="24"/>
          <w:szCs w:val="24"/>
        </w:rPr>
        <w:t>报告期内基金管理人运用固有资金投资本基金的情况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7.4.10.4.2 </w:t>
      </w:r>
      <w:r>
        <w:rPr>
          <w:rFonts w:hint="eastAsia" w:ascii="Times New Roman" w:hAnsi="Times New Roman" w:cs="宋体"/>
          <w:b/>
          <w:bCs/>
          <w:color w:val="000000"/>
          <w:kern w:val="0"/>
          <w:sz w:val="24"/>
          <w:szCs w:val="24"/>
        </w:rPr>
        <w:t>报告期末除基金管理人之外的其他关联方投资本基金的情况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7.4.10.5 </w:t>
      </w:r>
      <w:r>
        <w:rPr>
          <w:rFonts w:hint="eastAsia" w:ascii="Times New Roman" w:hAnsi="Times New Roman" w:cs="宋体"/>
          <w:b/>
          <w:bCs/>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4"/>
        <w:gridCol w:w="3612"/>
        <w:gridCol w:w="3612"/>
      </w:tblGrid>
      <w:tr>
        <w:tblPrEx>
          <w:tblCellMar>
            <w:top w:w="0" w:type="dxa"/>
            <w:left w:w="108" w:type="dxa"/>
            <w:bottom w:w="0" w:type="dxa"/>
            <w:right w:w="108" w:type="dxa"/>
          </w:tblCellMar>
        </w:tblPrEx>
        <w:trPr>
          <w:wBefore w:w="0" w:type="auto"/>
        </w:trPr>
        <w:tc>
          <w:tcPr>
            <w:tcW w:w="180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日至</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80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期末余额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宁波银行活期存款</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3,320,919.99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113,151.46</w:t>
            </w: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注：本基金的银行存款由基金托管人宁波银行保管，按金融机构同业存款利率计息。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7.4.10.6 </w:t>
      </w:r>
      <w:r>
        <w:rPr>
          <w:rFonts w:hint="eastAsia" w:ascii="Times New Roman" w:hAnsi="Times New Roman" w:cs="宋体"/>
          <w:b/>
          <w:bCs/>
          <w:color w:val="000000"/>
          <w:kern w:val="0"/>
          <w:sz w:val="24"/>
          <w:szCs w:val="24"/>
        </w:rPr>
        <w:t>本基金在承销期内参与关联方承销证券的情况</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本报告期，本基金未发生承销期内参与关联方承销证券的情况。</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7.4.10.7 </w:t>
      </w:r>
      <w:r>
        <w:rPr>
          <w:rFonts w:hint="eastAsia" w:ascii="Times New Roman" w:hAnsi="Times New Roman" w:cs="宋体"/>
          <w:b/>
          <w:bCs/>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7.4.11 </w:t>
      </w:r>
      <w:r>
        <w:rPr>
          <w:rFonts w:hint="eastAsia" w:ascii="Times New Roman" w:hAnsi="Times New Roman" w:cs="宋体"/>
          <w:b/>
          <w:bCs/>
          <w:color w:val="000000"/>
          <w:kern w:val="0"/>
          <w:sz w:val="24"/>
          <w:szCs w:val="24"/>
        </w:rPr>
        <w:t>利润分配情况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0"/>
        <w:gridCol w:w="1084"/>
        <w:gridCol w:w="1445"/>
        <w:gridCol w:w="1445"/>
        <w:gridCol w:w="1083"/>
        <w:gridCol w:w="1445"/>
        <w:gridCol w:w="1084"/>
        <w:gridCol w:w="722"/>
      </w:tblGrid>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除息日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每</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份基金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份额分红数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现金形式</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发放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再投资形式</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发放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利润分配</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2016-09-23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2016-09-23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198.53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904,551.36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904,749.89</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198.53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904,551.36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904,749.89</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 </w:t>
      </w:r>
      <w:r>
        <w:rPr>
          <w:rFonts w:hint="eastAsia" w:ascii="Times New Roman" w:hAnsi="Times New Roman" w:cs="宋体"/>
          <w:b/>
          <w:bCs/>
          <w:color w:val="000000"/>
          <w:kern w:val="0"/>
          <w:sz w:val="24"/>
          <w:szCs w:val="24"/>
        </w:rPr>
        <w:t>期末（</w:t>
      </w:r>
      <w:r>
        <w:rPr>
          <w:rFonts w:ascii="Times New Roman" w:hAnsi="Times New Roman" w:cs="宋体"/>
          <w:b/>
          <w:bCs/>
          <w:color w:val="000000"/>
          <w:kern w:val="0"/>
          <w:sz w:val="24"/>
          <w:szCs w:val="24"/>
        </w:rPr>
        <w:t>2016</w:t>
      </w:r>
      <w:r>
        <w:rPr>
          <w:rFonts w:hint="eastAsia" w:ascii="Times New Roman" w:hAnsi="Times New Roman" w:cs="宋体"/>
          <w:b/>
          <w:bCs/>
          <w:color w:val="000000"/>
          <w:kern w:val="0"/>
          <w:sz w:val="24"/>
          <w:szCs w:val="24"/>
        </w:rPr>
        <w:t>年</w:t>
      </w:r>
      <w:r>
        <w:rPr>
          <w:rFonts w:ascii="Times New Roman" w:hAnsi="Times New Roman" w:cs="宋体"/>
          <w:b/>
          <w:bCs/>
          <w:color w:val="000000"/>
          <w:kern w:val="0"/>
          <w:sz w:val="24"/>
          <w:szCs w:val="24"/>
        </w:rPr>
        <w:t>12</w:t>
      </w:r>
      <w:r>
        <w:rPr>
          <w:rFonts w:hint="eastAsia" w:ascii="Times New Roman" w:hAnsi="Times New Roman" w:cs="宋体"/>
          <w:b/>
          <w:bCs/>
          <w:color w:val="000000"/>
          <w:kern w:val="0"/>
          <w:sz w:val="24"/>
          <w:szCs w:val="24"/>
        </w:rPr>
        <w:t>月</w:t>
      </w:r>
      <w:r>
        <w:rPr>
          <w:rFonts w:ascii="Times New Roman" w:hAnsi="Times New Roman" w:cs="宋体"/>
          <w:b/>
          <w:bCs/>
          <w:color w:val="000000"/>
          <w:kern w:val="0"/>
          <w:sz w:val="24"/>
          <w:szCs w:val="24"/>
        </w:rPr>
        <w:t>31</w:t>
      </w:r>
      <w:r>
        <w:rPr>
          <w:rFonts w:hint="eastAsia" w:ascii="Times New Roman" w:hAnsi="Times New Roman" w:cs="宋体"/>
          <w:b/>
          <w:bCs/>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7.4.12.1 </w:t>
      </w:r>
      <w:r>
        <w:rPr>
          <w:rFonts w:hint="eastAsia" w:ascii="Times New Roman" w:hAnsi="Times New Roman" w:cs="宋体"/>
          <w:b/>
          <w:bCs/>
          <w:color w:val="000000"/>
          <w:kern w:val="0"/>
          <w:sz w:val="24"/>
          <w:szCs w:val="24"/>
        </w:rPr>
        <w:t>因认购新发</w:t>
      </w:r>
      <w:r>
        <w:rPr>
          <w:rFonts w:ascii="Times New Roman" w:hAnsi="Times New Roman" w:cs="宋体"/>
          <w:b/>
          <w:bCs/>
          <w:color w:val="000000"/>
          <w:kern w:val="0"/>
          <w:sz w:val="24"/>
          <w:szCs w:val="24"/>
        </w:rPr>
        <w:t>/</w:t>
      </w:r>
      <w:r>
        <w:rPr>
          <w:rFonts w:hint="eastAsia" w:ascii="Times New Roman" w:hAnsi="Times New Roman" w:cs="宋体"/>
          <w:b/>
          <w:bCs/>
          <w:color w:val="000000"/>
          <w:kern w:val="0"/>
          <w:sz w:val="24"/>
          <w:szCs w:val="24"/>
        </w:rPr>
        <w:t>增发证券而于期末持有的流通受限证券</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本基金无因认购新发</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增发证券而于期末持有的流通受限证券。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7.4.12.2 </w:t>
      </w:r>
      <w:r>
        <w:rPr>
          <w:rFonts w:hint="eastAsia" w:ascii="Times New Roman" w:hAnsi="Times New Roman" w:cs="宋体"/>
          <w:b/>
          <w:bCs/>
          <w:color w:val="000000"/>
          <w:kern w:val="0"/>
          <w:sz w:val="24"/>
          <w:szCs w:val="24"/>
        </w:rPr>
        <w:t>期末持有的暂时停牌等流通受限股票</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本基金未持有暂时停牌等流通受限股票。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 </w:t>
      </w:r>
      <w:r>
        <w:rPr>
          <w:rFonts w:hint="eastAsia" w:ascii="Times New Roman" w:hAnsi="Times New Roman" w:cs="宋体"/>
          <w:b/>
          <w:bCs/>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7.4.12.3.1 </w:t>
      </w:r>
      <w:r>
        <w:rPr>
          <w:rFonts w:hint="eastAsia" w:ascii="Times New Roman" w:hAnsi="Times New Roman" w:cs="宋体"/>
          <w:b/>
          <w:bCs/>
          <w:color w:val="000000"/>
          <w:kern w:val="0"/>
          <w:sz w:val="24"/>
          <w:szCs w:val="24"/>
        </w:rPr>
        <w:t>银行间市场债券正回购</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日止，本基金从事银行间市场债券正回购交易形成的卖出回购证券款余额为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7.4.12.3.2 </w:t>
      </w:r>
      <w:r>
        <w:rPr>
          <w:rFonts w:hint="eastAsia" w:ascii="Times New Roman" w:hAnsi="Times New Roman" w:cs="宋体"/>
          <w:b/>
          <w:bCs/>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截至本报告期末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日止，本基金从事交易所债券正回购交易形成的卖出回购证券款余额为</w:t>
      </w:r>
      <w:r>
        <w:rPr>
          <w:rFonts w:ascii="Times New Roman" w:hAnsi="Times New Roman" w:cs="宋体"/>
          <w:color w:val="000000"/>
          <w:kern w:val="0"/>
          <w:sz w:val="24"/>
          <w:szCs w:val="24"/>
        </w:rPr>
        <w:t>0</w:t>
      </w:r>
      <w:r>
        <w:rPr>
          <w:rFonts w:hint="eastAsia" w:ascii="Times New Roman" w:hAnsi="Times New Roman" w:cs="宋体"/>
          <w:color w:val="000000"/>
          <w:kern w:val="0"/>
          <w:sz w:val="24"/>
          <w:szCs w:val="24"/>
        </w:rPr>
        <w:t>，无抵押债券。</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 </w:t>
      </w:r>
      <w:r>
        <w:rPr>
          <w:rFonts w:hint="eastAsia" w:ascii="Times New Roman" w:hAnsi="Times New Roman" w:cs="宋体"/>
          <w:b/>
          <w:bCs/>
          <w:color w:val="000000"/>
          <w:kern w:val="0"/>
          <w:sz w:val="24"/>
          <w:szCs w:val="24"/>
        </w:rPr>
        <w:t>金融工具风险及管理</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7.4.13.1 </w:t>
      </w:r>
      <w:r>
        <w:rPr>
          <w:rFonts w:hint="eastAsia" w:ascii="Times New Roman" w:hAnsi="Times New Roman" w:cs="宋体"/>
          <w:b/>
          <w:bCs/>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7.4.13.2</w:t>
      </w:r>
      <w:r>
        <w:rPr>
          <w:rFonts w:hint="eastAsia" w:ascii="Times New Roman" w:hAnsi="Times New Roman" w:cs="宋体"/>
          <w:b/>
          <w:bCs/>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交易前对交易对手的资信状况进行了充分的评估。本基金的活期银行存款存放在本基金的托管行宁波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7.4.13.2.1 </w:t>
      </w:r>
      <w:r>
        <w:rPr>
          <w:rFonts w:hint="eastAsia" w:ascii="Times New Roman" w:hAnsi="Times New Roman" w:cs="宋体"/>
          <w:b/>
          <w:bCs/>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49"/>
        <w:gridCol w:w="583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短期信用评级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A-1</w:t>
            </w:r>
            <w:r>
              <w:rPr>
                <w:rFonts w:hint="eastAsia" w:ascii="Times New Roman" w:hAnsi="Times New Roman" w:cs="宋体"/>
                <w:color w:val="000000"/>
                <w:kern w:val="0"/>
                <w:sz w:val="24"/>
                <w:szCs w:val="24"/>
              </w:rPr>
              <w:t>以下</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未评级</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583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r>
    </w:tbl>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7.4.13.3 </w:t>
      </w:r>
      <w:r>
        <w:rPr>
          <w:rFonts w:hint="eastAsia" w:ascii="Times New Roman" w:hAnsi="Times New Roman" w:cs="宋体"/>
          <w:b/>
          <w:bCs/>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，且本基金与由本基金的基金管理人管理的其他基金共同持有一家公司发行的证券不得超过该证券的</w:t>
      </w:r>
      <w:r>
        <w:rPr>
          <w:rFonts w:ascii="Times New Roman" w:hAnsi="Times New Roman" w:cs="宋体"/>
          <w:color w:val="000000"/>
          <w:kern w:val="0"/>
          <w:sz w:val="24"/>
          <w:szCs w:val="24"/>
        </w:rPr>
        <w:t>10%</w:t>
      </w:r>
      <w:r>
        <w:rPr>
          <w:rFonts w:hint="eastAsia" w:ascii="Times New Roman" w:hAnsi="Times New Roman" w:cs="宋体"/>
          <w:color w:val="000000"/>
          <w:kern w:val="0"/>
          <w:sz w:val="24"/>
          <w:szCs w:val="24"/>
        </w:rPr>
        <w:t>。本基金所持大部分证券在银行间同业市场交易，其余亦在证券交易所上市交易，因此除附注</w:t>
      </w:r>
      <w:r>
        <w:rPr>
          <w:rFonts w:ascii="Times New Roman" w:hAnsi="Times New Roman" w:cs="宋体"/>
          <w:color w:val="000000"/>
          <w:kern w:val="0"/>
          <w:sz w:val="24"/>
          <w:szCs w:val="24"/>
        </w:rPr>
        <w:t>7.4.12</w:t>
      </w:r>
      <w:r>
        <w:rPr>
          <w:rFonts w:hint="eastAsia" w:ascii="Times New Roman" w:hAnsi="Times New Roman" w:cs="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 </w:t>
      </w:r>
      <w:r>
        <w:rPr>
          <w:rFonts w:hint="eastAsia" w:ascii="Times New Roman" w:hAnsi="Times New Roman" w:cs="宋体"/>
          <w:b/>
          <w:bCs/>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 </w:t>
      </w:r>
      <w:r>
        <w:rPr>
          <w:rFonts w:hint="eastAsia" w:ascii="Times New Roman" w:hAnsi="Times New Roman" w:cs="宋体"/>
          <w:b/>
          <w:bCs/>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7.4.13.4.1.1 </w:t>
      </w:r>
      <w:r>
        <w:rPr>
          <w:rFonts w:hint="eastAsia" w:ascii="Times New Roman" w:hAnsi="Times New Roman" w:cs="宋体"/>
          <w:b/>
          <w:bCs/>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4"/>
        <w:gridCol w:w="1445"/>
        <w:gridCol w:w="1445"/>
        <w:gridCol w:w="1444"/>
        <w:gridCol w:w="1445"/>
        <w:gridCol w:w="1445"/>
      </w:tblGrid>
      <w:tr>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3,320,919.99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3,320,919.99</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16,960,265.44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16,960,265.44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384,924.71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384,924.71</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49,834,185.43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384,924.71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50,219,110.14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s="宋体"/>
                <w:color w:val="000000"/>
                <w:kern w:val="0"/>
                <w:sz w:val="23"/>
                <w:szCs w:val="23"/>
              </w:rPr>
            </w:pP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13,227.75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13,227.75</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4,409.25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4,409.25</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1,860.14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1,860.14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114,000.00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114,000.00</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133,497.14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133,497.14</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49,834,185.43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251,427.57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50,085,613.00</w:t>
            </w:r>
          </w:p>
        </w:tc>
      </w:tr>
    </w:tbl>
    <w:p>
      <w:pPr>
        <w:autoSpaceDE w:val="0"/>
        <w:autoSpaceDN w:val="0"/>
        <w:adjustRightInd w:val="0"/>
        <w:spacing w:before="145"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7.4.13.4.1.2 </w:t>
      </w:r>
      <w:r>
        <w:rPr>
          <w:rFonts w:hint="eastAsia" w:ascii="Times New Roman" w:hAnsi="Times New Roman" w:cs="宋体"/>
          <w:b/>
          <w:bCs/>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2"/>
        <w:gridCol w:w="2889"/>
        <w:gridCol w:w="5057"/>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nil"/>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相关风险变量的变动</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2" w:type="dxa"/>
            <w:vMerge w:val="continue"/>
            <w:tcBorders>
              <w:top w:val="single" w:color="000000" w:sz="8" w:space="0"/>
              <w:left w:val="single" w:color="000000" w:sz="8" w:space="0"/>
              <w:bottom w:val="nil"/>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本期末</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市场利率上升</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-5,170.85</w:t>
            </w:r>
          </w:p>
        </w:tc>
      </w:tr>
      <w:tr>
        <w:tblPrEx>
          <w:tblCellMar>
            <w:top w:w="0" w:type="dxa"/>
            <w:left w:w="108" w:type="dxa"/>
            <w:bottom w:w="0" w:type="dxa"/>
            <w:right w:w="108" w:type="dxa"/>
          </w:tblCellMar>
        </w:tblPrEx>
        <w:trPr>
          <w:wBefore w:w="0" w:type="auto"/>
        </w:trPr>
        <w:tc>
          <w:tcPr>
            <w:tcW w:w="1082" w:type="dxa"/>
            <w:tcBorders>
              <w:top w:val="nil"/>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市场利率下降</w:t>
            </w:r>
            <w:r>
              <w:rPr>
                <w:rFonts w:ascii="Times New Roman" w:hAnsi="Times New Roman" w:cs="宋体"/>
                <w:color w:val="000000"/>
                <w:kern w:val="0"/>
                <w:sz w:val="24"/>
                <w:szCs w:val="24"/>
              </w:rPr>
              <w:t>25</w:t>
            </w:r>
            <w:r>
              <w:rPr>
                <w:rFonts w:hint="eastAsia" w:ascii="Times New Roman" w:hAnsi="Times New Roman" w:cs="宋体"/>
                <w:color w:val="000000"/>
                <w:kern w:val="0"/>
                <w:sz w:val="24"/>
                <w:szCs w:val="24"/>
              </w:rPr>
              <w:t>个基点</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5,172.7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7.4.13.4.2 </w:t>
      </w:r>
      <w:r>
        <w:rPr>
          <w:rFonts w:hint="eastAsia" w:ascii="Times New Roman" w:hAnsi="Times New Roman" w:cs="宋体"/>
          <w:b/>
          <w:bCs/>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 </w:t>
      </w:r>
      <w:r>
        <w:rPr>
          <w:rFonts w:hint="eastAsia" w:ascii="Times New Roman" w:hAnsi="Times New Roman" w:cs="宋体"/>
          <w:b/>
          <w:bCs/>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本基金的基金管理人在构建和管理投资组合的过程中，采用</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自上而下</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本基金通过投资组合的分散化降低其他价格风险。本基金投资组合中债券投资的比例不低于基金资产的</w:t>
      </w:r>
      <w:r>
        <w:rPr>
          <w:rFonts w:ascii="Times New Roman" w:hAnsi="Times New Roman" w:cs="宋体"/>
          <w:color w:val="000000"/>
          <w:kern w:val="0"/>
          <w:sz w:val="24"/>
          <w:szCs w:val="24"/>
        </w:rPr>
        <w:t>80%</w:t>
      </w:r>
      <w:r>
        <w:rPr>
          <w:rFonts w:hint="eastAsia" w:ascii="Times New Roman" w:hAnsi="Times New Roman" w:cs="宋体"/>
          <w:color w:val="000000"/>
          <w:kern w:val="0"/>
          <w:sz w:val="24"/>
          <w:szCs w:val="24"/>
        </w:rPr>
        <w:t>；本基金持有的现金或者到期日在一年以内的政府债券不低于基金资产净值的</w:t>
      </w:r>
      <w:r>
        <w:rPr>
          <w:rFonts w:ascii="Times New Roman" w:hAnsi="Times New Roman" w:cs="宋体"/>
          <w:color w:val="000000"/>
          <w:kern w:val="0"/>
          <w:sz w:val="24"/>
          <w:szCs w:val="24"/>
        </w:rPr>
        <w:t>5%</w:t>
      </w:r>
      <w:r>
        <w:rPr>
          <w:rFonts w:hint="eastAsia" w:ascii="Times New Roman" w:hAnsi="Times New Roman" w:cs="宋体"/>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s="宋体"/>
          <w:color w:val="000000"/>
          <w:kern w:val="0"/>
          <w:sz w:val="24"/>
          <w:szCs w:val="24"/>
        </w:rPr>
        <w:t>VaR(Value at Risk)</w:t>
      </w:r>
      <w:r>
        <w:rPr>
          <w:rFonts w:hint="eastAsia" w:ascii="Times New Roman" w:hAnsi="Times New Roman" w:cs="宋体"/>
          <w:color w:val="000000"/>
          <w:kern w:val="0"/>
          <w:sz w:val="24"/>
          <w:szCs w:val="24"/>
        </w:rPr>
        <w:t>指标等来测试本基金面临的潜在价格风险，及时可靠地对风险进行跟踪和控制。</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日，本基金未持有交易性权益类投资，因此除市场利率和外汇汇率以外的市场价格因素的变动对于本基金资产净值无重大影响。</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7.4.13.4.3.1 </w:t>
      </w:r>
      <w:r>
        <w:rPr>
          <w:rFonts w:hint="eastAsia" w:ascii="Times New Roman" w:hAnsi="Times New Roman" w:cs="宋体"/>
          <w:b/>
          <w:bCs/>
          <w:color w:val="000000"/>
          <w:kern w:val="0"/>
          <w:sz w:val="24"/>
          <w:szCs w:val="24"/>
        </w:rPr>
        <w:t>其他价格风险敞口</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7.4.13.4.3.2 </w:t>
      </w:r>
      <w:r>
        <w:rPr>
          <w:rFonts w:hint="eastAsia" w:ascii="Times New Roman" w:hAnsi="Times New Roman" w:cs="宋体"/>
          <w:b/>
          <w:bCs/>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日，本基金未持有交易性权益类投资，因此除市场利率和外汇汇率以外的市场价格因素的变动对于本基金资产净值无重大影响。</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7.4.14 </w:t>
      </w:r>
      <w:r>
        <w:rPr>
          <w:rFonts w:hint="eastAsia" w:ascii="Times New Roman" w:hAnsi="Times New Roman" w:cs="宋体"/>
          <w:b/>
          <w:bCs/>
          <w:color w:val="000000"/>
          <w:kern w:val="0"/>
          <w:sz w:val="24"/>
          <w:szCs w:val="24"/>
        </w:rPr>
        <w:t>有助于理解和分析会计报表需要说明的其他事项</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(1)</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(a)</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金融工具公允价值计量的方法</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第一层次：相同资产或负债在活跃市场上未经调整的报价。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第二层次：除第一层次输入值外相关资产或负债直接或间接可观察的输入值。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第三层次：相关资产或负债的不可观察输入值。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(b)</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各层次金融工具公允价值</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日，本基金持有的以公允价值计量且其变动计入当期损益的金融资产中属于第二层次的余额为</w:t>
      </w:r>
      <w:r>
        <w:rPr>
          <w:rFonts w:ascii="Times New Roman" w:hAnsi="Times New Roman" w:cs="宋体"/>
          <w:color w:val="000000"/>
          <w:kern w:val="0"/>
          <w:sz w:val="24"/>
          <w:szCs w:val="24"/>
        </w:rPr>
        <w:t>29,553,000.00</w:t>
      </w:r>
      <w:r>
        <w:rPr>
          <w:rFonts w:hint="eastAsia" w:ascii="Times New Roman" w:hAnsi="Times New Roman" w:cs="宋体"/>
          <w:color w:val="000000"/>
          <w:kern w:val="0"/>
          <w:sz w:val="24"/>
          <w:szCs w:val="24"/>
        </w:rPr>
        <w:t>元，无属于第一层次以及第三层次的余额。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公允价值所属层次间的重大变动</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对于证券交易所上市的股票和债券，若出现重大事项停牌、交易不活跃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包括涨跌停时的交易不活跃</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(iii)</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第三层次公允价值余额和本期变动金额</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无。</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(c)</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于</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12</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31</w:t>
      </w:r>
      <w:r>
        <w:rPr>
          <w:rFonts w:hint="eastAsia" w:ascii="Times New Roman" w:hAnsi="Times New Roman" w:cs="宋体"/>
          <w:color w:val="000000"/>
          <w:kern w:val="0"/>
          <w:sz w:val="24"/>
          <w:szCs w:val="24"/>
        </w:rPr>
        <w:t>日，本基金未持有非持续的以公允价值计量的金融工具。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(d)</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不以公允价值计量的金融工具</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145"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(2)</w:t>
      </w:r>
      <w:r>
        <w:rPr>
          <w:rFonts w:ascii="Times New Roman" w:hAnsi="Times New Roman" w:cs="宋体"/>
          <w:color w:val="000000"/>
          <w:kern w:val="0"/>
          <w:sz w:val="24"/>
          <w:szCs w:val="24"/>
        </w:rPr>
        <w:tab/>
      </w:r>
      <w:r>
        <w:rPr>
          <w:rFonts w:hint="eastAsia" w:ascii="Times New Roman" w:hAnsi="Times New Roman" w:cs="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34" w:name="_Toc477955677"/>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8  </w:t>
      </w:r>
      <w:r>
        <w:rPr>
          <w:rFonts w:hint="eastAsia" w:ascii="Times New Roman" w:hAnsi="Times New Roman" w:cs="宋体"/>
          <w:b/>
          <w:bCs/>
          <w:color w:val="000000"/>
          <w:kern w:val="0"/>
          <w:sz w:val="24"/>
          <w:szCs w:val="24"/>
        </w:rPr>
        <w:t>投资组合报告</w:t>
      </w:r>
      <w:bookmarkEnd w:id="34"/>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5" w:name="_Toc477955678"/>
      <w:r>
        <w:rPr>
          <w:rFonts w:ascii="Times New Roman" w:hAnsi="Times New Roman" w:cs="宋体"/>
          <w:b/>
          <w:bCs/>
          <w:color w:val="000000"/>
          <w:kern w:val="0"/>
          <w:sz w:val="24"/>
          <w:szCs w:val="24"/>
        </w:rPr>
        <w:t xml:space="preserve">8.1 </w:t>
      </w:r>
      <w:r>
        <w:rPr>
          <w:rFonts w:hint="eastAsia" w:ascii="Times New Roman" w:hAnsi="Times New Roman" w:cs="宋体"/>
          <w:b/>
          <w:bCs/>
          <w:color w:val="000000"/>
          <w:kern w:val="0"/>
          <w:sz w:val="24"/>
          <w:szCs w:val="24"/>
        </w:rPr>
        <w:t>期末基金资产组合情况</w:t>
      </w:r>
      <w:bookmarkEnd w:id="35"/>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占基金总资产的比例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29,553,000.00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 xml:space="preserve">      </w:t>
            </w:r>
            <w:r>
              <w:rPr>
                <w:rFonts w:hint="eastAsia" w:ascii="Times New Roman" w:hAnsi="Times New Roman" w:cs="宋体"/>
                <w:color w:val="000000"/>
                <w:kern w:val="0"/>
                <w:sz w:val="24"/>
                <w:szCs w:val="24"/>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16,960,265.44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4"/>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3,320,919.99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384,924.71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50,219,110.14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8.2 </w:t>
      </w:r>
      <w:r>
        <w:rPr>
          <w:rFonts w:hint="eastAsia" w:ascii="Times New Roman" w:hAnsi="Times New Roman" w:cs="宋体"/>
          <w:b/>
          <w:bCs/>
          <w:color w:val="000000"/>
          <w:kern w:val="0"/>
          <w:sz w:val="24"/>
          <w:szCs w:val="24"/>
        </w:rPr>
        <w:t>报告期末按行业分类的股票投资组合</w:t>
      </w:r>
    </w:p>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6" w:name="_Toc477955679"/>
      <w:r>
        <w:rPr>
          <w:rFonts w:ascii="Times New Roman" w:hAnsi="Times New Roman" w:cs="宋体"/>
          <w:b/>
          <w:bCs/>
          <w:color w:val="000000"/>
          <w:kern w:val="0"/>
          <w:sz w:val="24"/>
          <w:szCs w:val="24"/>
        </w:rPr>
        <w:t xml:space="preserve">8.3 </w:t>
      </w:r>
      <w:r>
        <w:rPr>
          <w:rFonts w:hint="eastAsia" w:ascii="Times New Roman" w:hAnsi="Times New Roman" w:cs="宋体"/>
          <w:b/>
          <w:bCs/>
          <w:color w:val="000000"/>
          <w:kern w:val="0"/>
          <w:sz w:val="24"/>
          <w:szCs w:val="24"/>
        </w:rPr>
        <w:t>期末按公允价值占基金资产净值比例大小排序的所有股票投资明细</w:t>
      </w:r>
      <w:bookmarkEnd w:id="3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7" w:name="_Toc477955680"/>
      <w:r>
        <w:rPr>
          <w:rFonts w:ascii="Times New Roman" w:hAnsi="Times New Roman" w:cs="宋体"/>
          <w:b/>
          <w:bCs/>
          <w:color w:val="000000"/>
          <w:kern w:val="0"/>
          <w:sz w:val="24"/>
          <w:szCs w:val="24"/>
        </w:rPr>
        <w:t xml:space="preserve">8.4 </w:t>
      </w:r>
      <w:r>
        <w:rPr>
          <w:rFonts w:hint="eastAsia" w:ascii="Times New Roman" w:hAnsi="Times New Roman" w:cs="宋体"/>
          <w:b/>
          <w:bCs/>
          <w:color w:val="000000"/>
          <w:kern w:val="0"/>
          <w:sz w:val="24"/>
          <w:szCs w:val="24"/>
        </w:rPr>
        <w:t>报告期内股票投资组合的重大变动</w:t>
      </w:r>
      <w:bookmarkEnd w:id="37"/>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8.4.1 </w:t>
      </w:r>
      <w:r>
        <w:rPr>
          <w:rFonts w:hint="eastAsia" w:ascii="Times New Roman" w:hAnsi="Times New Roman" w:cs="宋体"/>
          <w:b/>
          <w:bCs/>
          <w:color w:val="000000"/>
          <w:kern w:val="0"/>
          <w:sz w:val="24"/>
          <w:szCs w:val="24"/>
        </w:rPr>
        <w:t>累计买入金额超出期末基金资产净值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8.4.2 </w:t>
      </w:r>
      <w:r>
        <w:rPr>
          <w:rFonts w:hint="eastAsia" w:ascii="Times New Roman" w:hAnsi="Times New Roman" w:cs="宋体"/>
          <w:b/>
          <w:bCs/>
          <w:color w:val="000000"/>
          <w:kern w:val="0"/>
          <w:sz w:val="24"/>
          <w:szCs w:val="24"/>
        </w:rPr>
        <w:t>累计卖出金额超出期末基金资产净值</w:t>
      </w:r>
      <w:r>
        <w:rPr>
          <w:rFonts w:ascii="Times New Roman" w:hAnsi="Times New Roman" w:cs="宋体"/>
          <w:b/>
          <w:bCs/>
          <w:color w:val="000000"/>
          <w:kern w:val="0"/>
          <w:sz w:val="24"/>
          <w:szCs w:val="24"/>
        </w:rPr>
        <w:t>2%</w:t>
      </w:r>
      <w:r>
        <w:rPr>
          <w:rFonts w:hint="eastAsia" w:ascii="Times New Roman" w:hAnsi="Times New Roman" w:cs="宋体"/>
          <w:b/>
          <w:bCs/>
          <w:color w:val="000000"/>
          <w:kern w:val="0"/>
          <w:sz w:val="24"/>
          <w:szCs w:val="24"/>
        </w:rPr>
        <w:t>或前</w:t>
      </w:r>
      <w:r>
        <w:rPr>
          <w:rFonts w:ascii="Times New Roman" w:hAnsi="Times New Roman" w:cs="宋体"/>
          <w:b/>
          <w:bCs/>
          <w:color w:val="000000"/>
          <w:kern w:val="0"/>
          <w:sz w:val="24"/>
          <w:szCs w:val="24"/>
        </w:rPr>
        <w:t>20</w:t>
      </w:r>
      <w:r>
        <w:rPr>
          <w:rFonts w:hint="eastAsia" w:ascii="Times New Roman" w:hAnsi="Times New Roman" w:cs="宋体"/>
          <w:b/>
          <w:bCs/>
          <w:color w:val="000000"/>
          <w:kern w:val="0"/>
          <w:sz w:val="24"/>
          <w:szCs w:val="24"/>
        </w:rPr>
        <w:t>名的股票明细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8.4.3 </w:t>
      </w:r>
      <w:r>
        <w:rPr>
          <w:rFonts w:hint="eastAsia" w:ascii="Times New Roman" w:hAnsi="Times New Roman" w:cs="宋体"/>
          <w:b/>
          <w:bCs/>
          <w:color w:val="000000"/>
          <w:kern w:val="0"/>
          <w:sz w:val="24"/>
          <w:szCs w:val="24"/>
        </w:rPr>
        <w:t>买入股票的成本总额及卖出股票的收入总额</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本基金本报告期内未持有股票。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8" w:name="_Toc477955681"/>
      <w:r>
        <w:rPr>
          <w:rFonts w:ascii="Times New Roman" w:hAnsi="Times New Roman" w:cs="宋体"/>
          <w:b/>
          <w:bCs/>
          <w:color w:val="000000"/>
          <w:kern w:val="0"/>
          <w:sz w:val="24"/>
          <w:szCs w:val="24"/>
        </w:rPr>
        <w:t xml:space="preserve">8.5 </w:t>
      </w:r>
      <w:r>
        <w:rPr>
          <w:rFonts w:hint="eastAsia" w:ascii="Times New Roman" w:hAnsi="Times New Roman" w:cs="宋体"/>
          <w:b/>
          <w:bCs/>
          <w:color w:val="000000"/>
          <w:kern w:val="0"/>
          <w:sz w:val="24"/>
          <w:szCs w:val="24"/>
        </w:rPr>
        <w:t>期末按债券品种分类的债券投资组合</w:t>
      </w:r>
      <w:bookmarkEnd w:id="38"/>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s="宋体"/>
                <w:color w:val="000000"/>
                <w:kern w:val="0"/>
                <w:sz w:val="23"/>
                <w:szCs w:val="23"/>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可转债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59.00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59.00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39" w:name="_Toc477955682"/>
      <w:r>
        <w:rPr>
          <w:rFonts w:ascii="Times New Roman" w:hAnsi="Times New Roman" w:cs="宋体"/>
          <w:b/>
          <w:bCs/>
          <w:color w:val="000000"/>
          <w:kern w:val="0"/>
          <w:sz w:val="24"/>
          <w:szCs w:val="24"/>
        </w:rPr>
        <w:t xml:space="preserve">8.6 </w:t>
      </w:r>
      <w:r>
        <w:rPr>
          <w:rFonts w:hint="eastAsia" w:ascii="Times New Roman" w:hAnsi="Times New Roman" w:cs="宋体"/>
          <w:b/>
          <w:bCs/>
          <w:color w:val="000000"/>
          <w:kern w:val="0"/>
          <w:sz w:val="24"/>
          <w:szCs w:val="24"/>
        </w:rPr>
        <w:t>期末按公允价值占基金资产净值比例大小排序的前五名债券投资明细</w:t>
      </w:r>
      <w:bookmarkEnd w:id="39"/>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1445"/>
        <w:gridCol w:w="1806"/>
        <w:gridCol w:w="1445"/>
        <w:gridCol w:w="1806"/>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占基金资产净值比例</w:t>
            </w:r>
            <w:r>
              <w:rPr>
                <w:rFonts w:ascii="Times New Roman" w:hAnsi="Times New Roman" w:cs="宋体"/>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111615154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16</w:t>
            </w:r>
            <w:r>
              <w:rPr>
                <w:rFonts w:hint="eastAsia" w:ascii="Times New Roman" w:hAnsi="Times New Roman" w:cs="宋体"/>
                <w:color w:val="000000"/>
                <w:kern w:val="0"/>
                <w:sz w:val="24"/>
                <w:szCs w:val="24"/>
              </w:rPr>
              <w:t>民生</w:t>
            </w:r>
            <w:r>
              <w:rPr>
                <w:rFonts w:ascii="Times New Roman" w:hAnsi="Times New Roman" w:cs="宋体"/>
                <w:color w:val="000000"/>
                <w:kern w:val="0"/>
                <w:sz w:val="24"/>
                <w:szCs w:val="24"/>
              </w:rPr>
              <w:t>CD154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29,553,000.00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59.00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0" w:name="_Toc477955683"/>
      <w:r>
        <w:rPr>
          <w:rFonts w:ascii="Times New Roman" w:hAnsi="Times New Roman" w:cs="宋体"/>
          <w:b/>
          <w:bCs/>
          <w:color w:val="000000"/>
          <w:kern w:val="0"/>
          <w:sz w:val="24"/>
          <w:szCs w:val="24"/>
        </w:rPr>
        <w:t xml:space="preserve">8.7 </w:t>
      </w:r>
      <w:r>
        <w:rPr>
          <w:rFonts w:hint="eastAsia" w:ascii="Times New Roman" w:hAnsi="Times New Roman" w:cs="宋体"/>
          <w:b/>
          <w:bCs/>
          <w:color w:val="000000"/>
          <w:kern w:val="0"/>
          <w:sz w:val="24"/>
          <w:szCs w:val="24"/>
        </w:rPr>
        <w:t>期末按公允价值占基金资产净值比例大小排序的所有资产支持证券投资明细</w:t>
      </w:r>
      <w:bookmarkEnd w:id="40"/>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1" w:name="_Toc477955684"/>
      <w:r>
        <w:rPr>
          <w:rFonts w:ascii="Times New Roman" w:hAnsi="Times New Roman" w:cs="宋体"/>
          <w:b/>
          <w:bCs/>
          <w:color w:val="000000"/>
          <w:kern w:val="0"/>
          <w:sz w:val="24"/>
          <w:szCs w:val="24"/>
        </w:rPr>
        <w:t xml:space="preserve">8.8 </w:t>
      </w:r>
      <w:r>
        <w:rPr>
          <w:rFonts w:hint="eastAsia" w:ascii="Times New Roman" w:hAnsi="Times New Roman" w:cs="宋体"/>
          <w:b/>
          <w:bCs/>
          <w:color w:val="000000"/>
          <w:kern w:val="0"/>
          <w:sz w:val="24"/>
          <w:szCs w:val="24"/>
        </w:rPr>
        <w:t>报告期末按公允价值占基金资产净值比例大小排序的前五名贵金属投资明细</w:t>
      </w:r>
      <w:bookmarkEnd w:id="41"/>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2" w:name="_Toc477955685"/>
      <w:r>
        <w:rPr>
          <w:rFonts w:ascii="Times New Roman" w:hAnsi="Times New Roman" w:cs="宋体"/>
          <w:b/>
          <w:bCs/>
          <w:color w:val="000000"/>
          <w:kern w:val="0"/>
          <w:sz w:val="24"/>
          <w:szCs w:val="24"/>
        </w:rPr>
        <w:t xml:space="preserve">8.9 </w:t>
      </w:r>
      <w:r>
        <w:rPr>
          <w:rFonts w:hint="eastAsia" w:ascii="Times New Roman" w:hAnsi="Times New Roman" w:cs="宋体"/>
          <w:b/>
          <w:bCs/>
          <w:color w:val="000000"/>
          <w:kern w:val="0"/>
          <w:sz w:val="24"/>
          <w:szCs w:val="24"/>
        </w:rPr>
        <w:t>期末按公允价值占基金资产净值比例大小排序的前五名权证投资明细</w:t>
      </w:r>
      <w:bookmarkEnd w:id="4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3" w:name="_Toc477955686"/>
      <w:r>
        <w:rPr>
          <w:rFonts w:ascii="Times New Roman" w:hAnsi="Times New Roman" w:cs="宋体"/>
          <w:b/>
          <w:bCs/>
          <w:color w:val="000000"/>
          <w:kern w:val="0"/>
          <w:sz w:val="24"/>
          <w:szCs w:val="24"/>
        </w:rPr>
        <w:t xml:space="preserve">8.10 </w:t>
      </w:r>
      <w:r>
        <w:rPr>
          <w:rFonts w:hint="eastAsia" w:ascii="Times New Roman" w:hAnsi="Times New Roman" w:cs="宋体"/>
          <w:b/>
          <w:bCs/>
          <w:color w:val="000000"/>
          <w:kern w:val="0"/>
          <w:sz w:val="24"/>
          <w:szCs w:val="24"/>
        </w:rPr>
        <w:t>报告期末本基金投资的股指期货交易情况说明</w:t>
      </w:r>
      <w:bookmarkEnd w:id="43"/>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4" w:name="_Toc477955687"/>
      <w:r>
        <w:rPr>
          <w:rFonts w:ascii="Times New Roman" w:hAnsi="Times New Roman" w:cs="宋体"/>
          <w:b/>
          <w:bCs/>
          <w:color w:val="000000"/>
          <w:kern w:val="0"/>
          <w:sz w:val="24"/>
          <w:szCs w:val="24"/>
        </w:rPr>
        <w:t xml:space="preserve">8.11 </w:t>
      </w:r>
      <w:r>
        <w:rPr>
          <w:rFonts w:hint="eastAsia" w:ascii="Times New Roman" w:hAnsi="Times New Roman" w:cs="宋体"/>
          <w:b/>
          <w:bCs/>
          <w:color w:val="000000"/>
          <w:kern w:val="0"/>
          <w:sz w:val="24"/>
          <w:szCs w:val="24"/>
        </w:rPr>
        <w:t>报告期末本基金投资的国债期货交易情况说明</w:t>
      </w:r>
      <w:bookmarkEnd w:id="44"/>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5" w:name="_Toc477955688"/>
      <w:r>
        <w:rPr>
          <w:rFonts w:ascii="Times New Roman" w:hAnsi="Times New Roman" w:cs="宋体"/>
          <w:b/>
          <w:bCs/>
          <w:color w:val="000000"/>
          <w:kern w:val="0"/>
          <w:sz w:val="24"/>
          <w:szCs w:val="24"/>
        </w:rPr>
        <w:t xml:space="preserve">8.12 </w:t>
      </w:r>
      <w:r>
        <w:rPr>
          <w:rFonts w:hint="eastAsia" w:ascii="Times New Roman" w:hAnsi="Times New Roman" w:cs="宋体"/>
          <w:b/>
          <w:bCs/>
          <w:color w:val="000000"/>
          <w:kern w:val="0"/>
          <w:sz w:val="24"/>
          <w:szCs w:val="24"/>
        </w:rPr>
        <w:t>投资组合报告附注</w:t>
      </w:r>
      <w:bookmarkEnd w:id="45"/>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8.12.1</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本报告期内基金投资的前十名证券发行主体未受到监管机构的立案调查，在编制日前一年内也未收到公开谴责和处罚。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8.12.2</w:t>
      </w:r>
    </w:p>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本基金未投资于股票。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8.12.3 </w:t>
      </w:r>
      <w:r>
        <w:rPr>
          <w:rFonts w:hint="eastAsia" w:ascii="Times New Roman" w:hAnsi="Times New Roman" w:cs="宋体"/>
          <w:b/>
          <w:bCs/>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0"/>
        <w:gridCol w:w="3612"/>
        <w:gridCol w:w="469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384,924.71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其他</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合计</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384,924.71</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8.12.4 </w:t>
      </w:r>
      <w:r>
        <w:rPr>
          <w:rFonts w:hint="eastAsia" w:ascii="Times New Roman" w:hAnsi="Times New Roman" w:cs="宋体"/>
          <w:b/>
          <w:bCs/>
          <w:color w:val="000000"/>
          <w:kern w:val="0"/>
          <w:sz w:val="24"/>
          <w:szCs w:val="24"/>
        </w:rPr>
        <w:t>期末持有的处于转股期的可转换债券明细</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s="MS Sans Serif"/>
          <w:color w:val="000000"/>
          <w:kern w:val="0"/>
          <w:sz w:val="24"/>
          <w:szCs w:val="24"/>
        </w:rPr>
      </w:pP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8.12.5 </w:t>
      </w:r>
      <w:r>
        <w:rPr>
          <w:rFonts w:hint="eastAsia" w:ascii="Times New Roman" w:hAnsi="Times New Roman" w:cs="宋体"/>
          <w:b/>
          <w:bCs/>
          <w:color w:val="000000"/>
          <w:kern w:val="0"/>
          <w:sz w:val="24"/>
          <w:szCs w:val="24"/>
        </w:rPr>
        <w:t>期末前十名股票中存在流通受限情况的说明</w:t>
      </w:r>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46" w:name="_Toc477955689"/>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9  </w:t>
      </w:r>
      <w:r>
        <w:rPr>
          <w:rFonts w:hint="eastAsia" w:ascii="Times New Roman" w:hAnsi="Times New Roman" w:cs="宋体"/>
          <w:b/>
          <w:bCs/>
          <w:color w:val="000000"/>
          <w:kern w:val="0"/>
          <w:sz w:val="24"/>
          <w:szCs w:val="24"/>
        </w:rPr>
        <w:t>基金份额持有人信息</w:t>
      </w:r>
      <w:bookmarkEnd w:id="46"/>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7" w:name="_Toc477955690"/>
      <w:r>
        <w:rPr>
          <w:rFonts w:ascii="Times New Roman" w:hAnsi="Times New Roman" w:cs="宋体"/>
          <w:b/>
          <w:bCs/>
          <w:color w:val="000000"/>
          <w:kern w:val="0"/>
          <w:sz w:val="24"/>
          <w:szCs w:val="24"/>
        </w:rPr>
        <w:t xml:space="preserve">9.1 </w:t>
      </w:r>
      <w:r>
        <w:rPr>
          <w:rFonts w:hint="eastAsia" w:ascii="Times New Roman" w:hAnsi="Times New Roman" w:cs="宋体"/>
          <w:b/>
          <w:bCs/>
          <w:color w:val="000000"/>
          <w:kern w:val="0"/>
          <w:sz w:val="24"/>
          <w:szCs w:val="24"/>
        </w:rPr>
        <w:t>期末基金份额持有人户数及持有人结构</w:t>
      </w:r>
      <w:bookmarkEnd w:id="47"/>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443"/>
        <w:gridCol w:w="1806"/>
        <w:gridCol w:w="1806"/>
        <w:gridCol w:w="1083"/>
        <w:gridCol w:w="1806"/>
        <w:gridCol w:w="1084"/>
      </w:tblGrid>
      <w:tr>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户</w:t>
            </w:r>
            <w:r>
              <w:rPr>
                <w:rFonts w:ascii="Times New Roman" w:hAnsi="Times New Roman" w:cs="宋体"/>
                <w:color w:val="000000"/>
                <w:kern w:val="0"/>
                <w:sz w:val="24"/>
                <w:szCs w:val="24"/>
              </w:rPr>
              <w:t>)</w:t>
            </w:r>
          </w:p>
        </w:tc>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持有人结构</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机构投资者</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个人投资者</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占总份额比例</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205,859.69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49,775,012.44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99.91%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43,032.63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0.09%</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8" w:name="_Toc477955691"/>
      <w:r>
        <w:rPr>
          <w:rFonts w:ascii="Times New Roman" w:hAnsi="Times New Roman" w:cs="宋体"/>
          <w:b/>
          <w:bCs/>
          <w:color w:val="000000"/>
          <w:kern w:val="0"/>
          <w:sz w:val="24"/>
          <w:szCs w:val="24"/>
        </w:rPr>
        <w:t xml:space="preserve">9.2 </w:t>
      </w:r>
      <w:r>
        <w:rPr>
          <w:rFonts w:hint="eastAsia" w:ascii="Times New Roman" w:hAnsi="Times New Roman" w:cs="宋体"/>
          <w:b/>
          <w:bCs/>
          <w:color w:val="000000"/>
          <w:kern w:val="0"/>
          <w:sz w:val="24"/>
          <w:szCs w:val="24"/>
        </w:rPr>
        <w:t>期末基金管理人的从业人员持有本基金的情况</w:t>
      </w:r>
      <w:bookmarkEnd w:id="48"/>
    </w:p>
    <w:tbl>
      <w:tblPr>
        <w:tblStyle w:val="8"/>
        <w:tblW w:w="0" w:type="auto"/>
        <w:tblInd w:w="108" w:type="dxa"/>
        <w:tblLayout w:type="fixed"/>
        <w:tblCellMar>
          <w:top w:w="0" w:type="dxa"/>
          <w:left w:w="108" w:type="dxa"/>
          <w:bottom w:w="0" w:type="dxa"/>
          <w:right w:w="108" w:type="dxa"/>
        </w:tblCellMar>
      </w:tblPr>
      <w:tblGrid>
        <w:gridCol w:w="3971"/>
        <w:gridCol w:w="2529"/>
        <w:gridCol w:w="252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持有份额总数（份）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13,206.31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0.03%</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49" w:name="_Toc477955692"/>
      <w:r>
        <w:rPr>
          <w:rFonts w:ascii="Times New Roman" w:hAnsi="Times New Roman" w:cs="宋体"/>
          <w:b/>
          <w:bCs/>
          <w:color w:val="000000"/>
          <w:kern w:val="0"/>
          <w:sz w:val="24"/>
          <w:szCs w:val="24"/>
        </w:rPr>
        <w:t xml:space="preserve">9.3 </w:t>
      </w:r>
      <w:r>
        <w:rPr>
          <w:rFonts w:hint="eastAsia" w:ascii="Times New Roman" w:hAnsi="Times New Roman" w:cs="宋体"/>
          <w:b/>
          <w:bCs/>
          <w:color w:val="000000"/>
          <w:kern w:val="0"/>
          <w:sz w:val="24"/>
          <w:szCs w:val="24"/>
        </w:rPr>
        <w:t>期末基金管理人的从业人员持有本开放式基金份额总量区间情况</w:t>
      </w:r>
      <w:bookmarkEnd w:id="49"/>
    </w:p>
    <w:tbl>
      <w:tblPr>
        <w:tblStyle w:val="8"/>
        <w:tblW w:w="0" w:type="auto"/>
        <w:tblInd w:w="108" w:type="dxa"/>
        <w:tblLayout w:type="fixed"/>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项目</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持有基金份额总量的数量区间（万份）</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r>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ascii="Times New Roman" w:hAnsi="Times New Roman" w:cs="宋体"/>
                <w:color w:val="000000"/>
                <w:kern w:val="0"/>
                <w:sz w:val="24"/>
                <w:szCs w:val="24"/>
              </w:rPr>
              <w:t>0~10</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0" w:name="_Toc47795569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10 </w:t>
      </w:r>
      <w:r>
        <w:rPr>
          <w:rFonts w:hint="eastAsia" w:ascii="Times New Roman" w:hAnsi="Times New Roman" w:cs="宋体"/>
          <w:b/>
          <w:bCs/>
          <w:color w:val="000000"/>
          <w:kern w:val="0"/>
          <w:sz w:val="24"/>
          <w:szCs w:val="24"/>
        </w:rPr>
        <w:t>开放式基金份额变动</w:t>
      </w:r>
      <w:bookmarkEnd w:id="50"/>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w:t>
            </w:r>
            <w:r>
              <w:rPr>
                <w:rFonts w:ascii="Times New Roman" w:hAnsi="Times New Roman" w:cs="宋体"/>
                <w:color w:val="000000"/>
                <w:kern w:val="0"/>
                <w:sz w:val="24"/>
                <w:szCs w:val="24"/>
              </w:rPr>
              <w:t>7</w:t>
            </w:r>
            <w:r>
              <w:rPr>
                <w:rFonts w:hint="eastAsia" w:ascii="Times New Roman" w:hAnsi="Times New Roman" w:cs="宋体"/>
                <w:color w:val="000000"/>
                <w:kern w:val="0"/>
                <w:sz w:val="24"/>
                <w:szCs w:val="24"/>
              </w:rPr>
              <w:t>月</w:t>
            </w:r>
            <w:r>
              <w:rPr>
                <w:rFonts w:ascii="Times New Roman" w:hAnsi="Times New Roman" w:cs="宋体"/>
                <w:color w:val="000000"/>
                <w:kern w:val="0"/>
                <w:sz w:val="24"/>
                <w:szCs w:val="24"/>
              </w:rPr>
              <w:t>11</w:t>
            </w:r>
            <w:r>
              <w:rPr>
                <w:rFonts w:hint="eastAsia" w:ascii="Times New Roman" w:hAnsi="Times New Roman" w:cs="宋体"/>
                <w:color w:val="000000"/>
                <w:kern w:val="0"/>
                <w:sz w:val="24"/>
                <w:szCs w:val="24"/>
              </w:rPr>
              <w:t>日</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200,056,004.19</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51,688,989.30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201,926,948.42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49,818,045.07</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51" w:name="_Toc47795569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11 </w:t>
      </w:r>
      <w:r>
        <w:rPr>
          <w:rFonts w:hint="eastAsia" w:ascii="Times New Roman" w:hAnsi="Times New Roman" w:cs="宋体"/>
          <w:b/>
          <w:bCs/>
          <w:color w:val="000000"/>
          <w:kern w:val="0"/>
          <w:sz w:val="24"/>
          <w:szCs w:val="24"/>
        </w:rPr>
        <w:t>重大事件揭示</w:t>
      </w:r>
      <w:bookmarkEnd w:id="5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2" w:name="_Toc477955695"/>
      <w:r>
        <w:rPr>
          <w:rFonts w:ascii="Times New Roman" w:hAnsi="Times New Roman" w:cs="宋体"/>
          <w:b/>
          <w:bCs/>
          <w:color w:val="000000"/>
          <w:kern w:val="0"/>
          <w:sz w:val="24"/>
          <w:szCs w:val="24"/>
        </w:rPr>
        <w:t xml:space="preserve">11.1 </w:t>
      </w:r>
      <w:r>
        <w:rPr>
          <w:rFonts w:hint="eastAsia" w:ascii="Times New Roman" w:hAnsi="Times New Roman" w:cs="宋体"/>
          <w:b/>
          <w:bCs/>
          <w:color w:val="000000"/>
          <w:kern w:val="0"/>
          <w:sz w:val="24"/>
          <w:szCs w:val="24"/>
        </w:rPr>
        <w:t>基金份额持有人大会决议</w:t>
      </w:r>
      <w:bookmarkEnd w:id="52"/>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3" w:name="_Toc477955696"/>
      <w:r>
        <w:rPr>
          <w:rFonts w:ascii="Times New Roman" w:hAnsi="Times New Roman" w:cs="宋体"/>
          <w:b/>
          <w:bCs/>
          <w:color w:val="000000"/>
          <w:kern w:val="0"/>
          <w:sz w:val="24"/>
          <w:szCs w:val="24"/>
        </w:rPr>
        <w:t xml:space="preserve">11.2 </w:t>
      </w:r>
      <w:r>
        <w:rPr>
          <w:rFonts w:hint="eastAsia" w:ascii="Times New Roman" w:hAnsi="Times New Roman" w:cs="宋体"/>
          <w:b/>
          <w:bCs/>
          <w:color w:val="000000"/>
          <w:kern w:val="0"/>
          <w:sz w:val="24"/>
          <w:szCs w:val="24"/>
        </w:rPr>
        <w:t>基金管理人、基金托管人的专门基金托管部门的重大人事变动</w:t>
      </w:r>
      <w:bookmarkEnd w:id="5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4" w:name="_Toc477955697"/>
      <w:r>
        <w:rPr>
          <w:rFonts w:ascii="Times New Roman" w:hAnsi="Times New Roman" w:cs="宋体"/>
          <w:b/>
          <w:bCs/>
          <w:color w:val="000000"/>
          <w:kern w:val="0"/>
          <w:sz w:val="24"/>
          <w:szCs w:val="24"/>
        </w:rPr>
        <w:t xml:space="preserve">11.3 </w:t>
      </w:r>
      <w:r>
        <w:rPr>
          <w:rFonts w:hint="eastAsia" w:ascii="Times New Roman" w:hAnsi="Times New Roman" w:cs="宋体"/>
          <w:b/>
          <w:bCs/>
          <w:color w:val="000000"/>
          <w:kern w:val="0"/>
          <w:sz w:val="24"/>
          <w:szCs w:val="24"/>
        </w:rPr>
        <w:t>涉及基金管理人、基金财产、基金托管业务的诉讼</w:t>
      </w:r>
      <w:bookmarkEnd w:id="5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5" w:name="_Toc477955698"/>
      <w:r>
        <w:rPr>
          <w:rFonts w:ascii="Times New Roman" w:hAnsi="Times New Roman" w:cs="宋体"/>
          <w:b/>
          <w:bCs/>
          <w:color w:val="000000"/>
          <w:kern w:val="0"/>
          <w:sz w:val="24"/>
          <w:szCs w:val="24"/>
        </w:rPr>
        <w:t xml:space="preserve">11.4 </w:t>
      </w:r>
      <w:r>
        <w:rPr>
          <w:rFonts w:hint="eastAsia" w:ascii="Times New Roman" w:hAnsi="Times New Roman" w:cs="宋体"/>
          <w:b/>
          <w:bCs/>
          <w:color w:val="000000"/>
          <w:kern w:val="0"/>
          <w:sz w:val="24"/>
          <w:szCs w:val="24"/>
        </w:rPr>
        <w:t>基金投资策略的改变</w:t>
      </w:r>
      <w:bookmarkEnd w:id="55"/>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6" w:name="_Toc477955699"/>
      <w:r>
        <w:rPr>
          <w:rFonts w:ascii="Times New Roman" w:hAnsi="Times New Roman" w:cs="宋体"/>
          <w:b/>
          <w:bCs/>
          <w:color w:val="000000"/>
          <w:kern w:val="0"/>
          <w:sz w:val="24"/>
          <w:szCs w:val="24"/>
        </w:rPr>
        <w:t xml:space="preserve">11.5 </w:t>
      </w:r>
      <w:r>
        <w:rPr>
          <w:rFonts w:hint="eastAsia" w:ascii="Times New Roman" w:hAnsi="Times New Roman" w:cs="宋体"/>
          <w:b/>
          <w:bCs/>
          <w:color w:val="000000"/>
          <w:kern w:val="0"/>
          <w:sz w:val="24"/>
          <w:szCs w:val="24"/>
        </w:rPr>
        <w:t>为基金进行审计的会计师事务所情况</w:t>
      </w:r>
      <w:bookmarkEnd w:id="56"/>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本报告期内本基金未更换会计师事务所，本年度支付给普华永道中天会计师事务所</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特殊普通合伙</w:t>
      </w:r>
      <w:r>
        <w:rPr>
          <w:rFonts w:ascii="Times New Roman" w:hAnsi="Times New Roman" w:cs="宋体"/>
          <w:color w:val="000000"/>
          <w:kern w:val="0"/>
          <w:sz w:val="24"/>
          <w:szCs w:val="24"/>
        </w:rPr>
        <w:t>)</w:t>
      </w:r>
      <w:r>
        <w:rPr>
          <w:rFonts w:hint="eastAsia" w:ascii="Times New Roman" w:hAnsi="Times New Roman" w:cs="宋体"/>
          <w:color w:val="000000"/>
          <w:kern w:val="0"/>
          <w:sz w:val="24"/>
          <w:szCs w:val="24"/>
        </w:rPr>
        <w:t>审计费用</w:t>
      </w:r>
      <w:r>
        <w:rPr>
          <w:rFonts w:ascii="Times New Roman" w:hAnsi="Times New Roman" w:cs="宋体"/>
          <w:color w:val="000000"/>
          <w:kern w:val="0"/>
          <w:sz w:val="24"/>
          <w:szCs w:val="24"/>
        </w:rPr>
        <w:t>65,000.00</w:t>
      </w:r>
      <w:r>
        <w:rPr>
          <w:rFonts w:hint="eastAsia" w:ascii="Times New Roman" w:hAnsi="Times New Roman" w:cs="宋体"/>
          <w:color w:val="000000"/>
          <w:kern w:val="0"/>
          <w:sz w:val="24"/>
          <w:szCs w:val="24"/>
        </w:rPr>
        <w:t>元，该审计机构连续提供审计服务的年限为</w:t>
      </w: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年。</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7" w:name="_Toc477955700"/>
      <w:r>
        <w:rPr>
          <w:rFonts w:ascii="Times New Roman" w:hAnsi="Times New Roman" w:cs="宋体"/>
          <w:b/>
          <w:bCs/>
          <w:color w:val="000000"/>
          <w:kern w:val="0"/>
          <w:sz w:val="24"/>
          <w:szCs w:val="24"/>
        </w:rPr>
        <w:t xml:space="preserve">11.6 </w:t>
      </w:r>
      <w:r>
        <w:rPr>
          <w:rFonts w:hint="eastAsia" w:ascii="Times New Roman" w:hAnsi="Times New Roman" w:cs="宋体"/>
          <w:b/>
          <w:bCs/>
          <w:color w:val="000000"/>
          <w:kern w:val="0"/>
          <w:sz w:val="24"/>
          <w:szCs w:val="24"/>
        </w:rPr>
        <w:t>管理人、托管人及其高级管理人员受稽查或处罚等情况</w:t>
      </w:r>
      <w:bookmarkEnd w:id="57"/>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8" w:name="_Toc477955701"/>
      <w:r>
        <w:rPr>
          <w:rFonts w:ascii="Times New Roman" w:hAnsi="Times New Roman" w:cs="宋体"/>
          <w:b/>
          <w:bCs/>
          <w:color w:val="000000"/>
          <w:kern w:val="0"/>
          <w:sz w:val="24"/>
          <w:szCs w:val="24"/>
        </w:rPr>
        <w:t xml:space="preserve">11.7 </w:t>
      </w:r>
      <w:r>
        <w:rPr>
          <w:rFonts w:hint="eastAsia" w:ascii="Times New Roman" w:hAnsi="Times New Roman" w:cs="宋体"/>
          <w:b/>
          <w:bCs/>
          <w:color w:val="000000"/>
          <w:kern w:val="0"/>
          <w:sz w:val="24"/>
          <w:szCs w:val="24"/>
        </w:rPr>
        <w:t>基金租用证券公司交易单元的有关情况</w:t>
      </w:r>
      <w:bookmarkEnd w:id="58"/>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11.7.1 </w:t>
      </w:r>
      <w:r>
        <w:rPr>
          <w:rFonts w:hint="eastAsia" w:ascii="Times New Roman" w:hAnsi="Times New Roman" w:cs="宋体"/>
          <w:b/>
          <w:bCs/>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445"/>
        <w:gridCol w:w="1445"/>
        <w:gridCol w:w="1445"/>
        <w:gridCol w:w="722"/>
      </w:tblGrid>
      <w:tr>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交易单元</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数量</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股票交易</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备注</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占股票</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占当期佣金</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0"/>
              </w:rPr>
            </w:pPr>
          </w:p>
        </w:tc>
      </w:tr>
    </w:tbl>
    <w:p>
      <w:pPr>
        <w:autoSpaceDE w:val="0"/>
        <w:autoSpaceDN w:val="0"/>
        <w:adjustRightInd w:val="0"/>
        <w:spacing w:before="29" w:line="288" w:lineRule="auto"/>
        <w:ind w:left="15"/>
        <w:jc w:val="left"/>
        <w:rPr>
          <w:rFonts w:ascii="Times New Roman" w:hAnsi="Times New Roman" w:cs="宋体"/>
          <w:color w:val="000000"/>
          <w:kern w:val="0"/>
          <w:szCs w:val="21"/>
        </w:rPr>
      </w:pPr>
      <w:r>
        <w:rPr>
          <w:rFonts w:hint="eastAsia" w:ascii="Times New Roman" w:hAnsi="Times New Roman" w:cs="宋体"/>
          <w:color w:val="000000"/>
          <w:kern w:val="0"/>
          <w:szCs w:val="21"/>
        </w:rPr>
        <w:t>注：本基金报告期内未租用券商交易单元。</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11.7.2 </w:t>
      </w:r>
      <w:r>
        <w:rPr>
          <w:rFonts w:hint="eastAsia" w:ascii="Times New Roman" w:hAnsi="Times New Roman" w:cs="宋体"/>
          <w:b/>
          <w:bCs/>
          <w:color w:val="000000"/>
          <w:kern w:val="0"/>
          <w:sz w:val="24"/>
          <w:szCs w:val="24"/>
        </w:rPr>
        <w:t>基金租用证券公司交易单元进行其他证券投资的情况</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right"/>
        <w:rPr>
          <w:rFonts w:ascii="Times New Roman" w:hAnsi="Times New Roman" w:cs="宋体"/>
          <w:color w:val="000000"/>
          <w:kern w:val="0"/>
          <w:sz w:val="24"/>
          <w:szCs w:val="24"/>
        </w:rPr>
      </w:pPr>
      <w:r>
        <w:rPr>
          <w:rFonts w:hint="eastAsia" w:ascii="Times New Roman" w:hAnsi="Times New Roman" w:cs="宋体"/>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权证交易</w:t>
            </w:r>
          </w:p>
        </w:tc>
      </w:tr>
      <w:tr>
        <w:tblPrEx>
          <w:tblCellMar>
            <w:top w:w="0" w:type="dxa"/>
            <w:left w:w="108" w:type="dxa"/>
            <w:bottom w:w="0" w:type="dxa"/>
            <w:right w:w="108" w:type="dxa"/>
          </w:tblCellMar>
        </w:tblPrEx>
        <w:trPr>
          <w:wBefore w:w="0" w:type="auto"/>
        </w:trPr>
        <w:tc>
          <w:tcPr>
            <w:tcW w:w="144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0"/>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占债券回购</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占权证</w:t>
            </w:r>
          </w:p>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成交总额比例</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59" w:name="_Toc477955702"/>
      <w:r>
        <w:rPr>
          <w:rFonts w:ascii="Times New Roman" w:hAnsi="Times New Roman" w:cs="宋体"/>
          <w:b/>
          <w:bCs/>
          <w:color w:val="000000"/>
          <w:kern w:val="0"/>
          <w:sz w:val="24"/>
          <w:szCs w:val="24"/>
        </w:rPr>
        <w:t xml:space="preserve">11.8 </w:t>
      </w:r>
      <w:r>
        <w:rPr>
          <w:rFonts w:hint="eastAsia" w:ascii="Times New Roman" w:hAnsi="Times New Roman" w:cs="宋体"/>
          <w:b/>
          <w:bCs/>
          <w:color w:val="000000"/>
          <w:kern w:val="0"/>
          <w:sz w:val="24"/>
          <w:szCs w:val="24"/>
        </w:rPr>
        <w:t>其他重大事件</w:t>
      </w:r>
      <w:bookmarkEnd w:id="59"/>
    </w:p>
    <w:tbl>
      <w:tblPr>
        <w:tblStyle w:val="8"/>
        <w:tblW w:w="0" w:type="auto"/>
        <w:tblInd w:w="108" w:type="dxa"/>
        <w:tblLayout w:type="fixed"/>
        <w:tblCellMar>
          <w:top w:w="0" w:type="dxa"/>
          <w:left w:w="108" w:type="dxa"/>
          <w:bottom w:w="0" w:type="dxa"/>
          <w:right w:w="108" w:type="dxa"/>
        </w:tblCellMar>
      </w:tblPr>
      <w:tblGrid>
        <w:gridCol w:w="720"/>
        <w:gridCol w:w="3612"/>
        <w:gridCol w:w="2890"/>
        <w:gridCol w:w="1806"/>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hint="eastAsia" w:ascii="Times New Roman" w:hAnsi="Times New Roman" w:cs="宋体"/>
                <w:color w:val="000000"/>
                <w:kern w:val="0"/>
                <w:sz w:val="24"/>
                <w:szCs w:val="24"/>
              </w:rPr>
              <w:t>法定披露日期</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创金合信基金管理有限公司关于创金合信尊誉纯债债券型证券投资基金暂停天天基金代销、微信直销的公告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2016-06-30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创金合信基金管理有限公司关于创金合信尊誉纯债债券型证券投资基金提前结束募集的公告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2016-07-06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2016-07-12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2016-07-26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创金合信尊誉纯债债券型证券投资基金分红公告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2016-09-22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年第</w:t>
            </w: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s="宋体"/>
                <w:color w:val="000000"/>
                <w:kern w:val="0"/>
                <w:sz w:val="24"/>
                <w:szCs w:val="24"/>
              </w:rPr>
            </w:pPr>
            <w:r>
              <w:rPr>
                <w:rFonts w:ascii="Times New Roman" w:hAnsi="Times New Roman" w:cs="宋体"/>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创金合信尊誉纯债债券型证券投资基金增加晋商银行为代销机构的公告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公司官网、上海证券报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s="宋体"/>
                <w:color w:val="000000"/>
                <w:kern w:val="0"/>
                <w:sz w:val="24"/>
                <w:szCs w:val="24"/>
              </w:rPr>
            </w:pPr>
            <w:r>
              <w:rPr>
                <w:rFonts w:ascii="Times New Roman" w:hAnsi="Times New Roman" w:cs="宋体"/>
                <w:color w:val="000000"/>
                <w:kern w:val="0"/>
                <w:sz w:val="24"/>
                <w:szCs w:val="24"/>
              </w:rPr>
              <w:t>2016-12-26</w:t>
            </w:r>
          </w:p>
        </w:tc>
      </w:tr>
    </w:tbl>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0" w:name="_Toc477955703"/>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12  </w:t>
      </w:r>
      <w:r>
        <w:rPr>
          <w:rFonts w:hint="eastAsia" w:ascii="Times New Roman" w:hAnsi="Times New Roman" w:cs="宋体"/>
          <w:b/>
          <w:bCs/>
          <w:color w:val="000000"/>
          <w:kern w:val="0"/>
          <w:sz w:val="24"/>
          <w:szCs w:val="24"/>
        </w:rPr>
        <w:t>影响投资者决策的其他重要信息</w:t>
      </w:r>
      <w:bookmarkEnd w:id="60"/>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145" w:line="288" w:lineRule="auto"/>
        <w:ind w:left="15"/>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center"/>
        <w:outlineLvl w:val="0"/>
        <w:rPr>
          <w:rFonts w:ascii="Times New Roman" w:hAnsi="Times New Roman" w:cs="宋体"/>
          <w:b/>
          <w:bCs/>
          <w:color w:val="000000"/>
          <w:kern w:val="0"/>
          <w:sz w:val="24"/>
          <w:szCs w:val="24"/>
        </w:rPr>
      </w:pPr>
      <w:bookmarkStart w:id="61" w:name="_Toc477955704"/>
      <w:r>
        <w:rPr>
          <w:rFonts w:hint="eastAsia" w:ascii="Times New Roman" w:hAnsi="Times New Roman" w:cs="宋体"/>
          <w:b/>
          <w:bCs/>
          <w:color w:val="000000"/>
          <w:kern w:val="0"/>
          <w:sz w:val="24"/>
          <w:szCs w:val="24"/>
        </w:rPr>
        <w:t>§</w:t>
      </w:r>
      <w:r>
        <w:rPr>
          <w:rFonts w:ascii="Times New Roman" w:hAnsi="Times New Roman" w:cs="宋体"/>
          <w:b/>
          <w:bCs/>
          <w:color w:val="000000"/>
          <w:kern w:val="0"/>
          <w:sz w:val="24"/>
          <w:szCs w:val="24"/>
        </w:rPr>
        <w:t xml:space="preserve">13 </w:t>
      </w:r>
      <w:r>
        <w:rPr>
          <w:rFonts w:hint="eastAsia" w:ascii="Times New Roman" w:hAnsi="Times New Roman" w:cs="宋体"/>
          <w:b/>
          <w:bCs/>
          <w:color w:val="000000"/>
          <w:kern w:val="0"/>
          <w:sz w:val="24"/>
          <w:szCs w:val="24"/>
        </w:rPr>
        <w:t>备查文件目录</w:t>
      </w:r>
      <w:bookmarkEnd w:id="61"/>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2" w:name="_Toc477955705"/>
      <w:r>
        <w:rPr>
          <w:rFonts w:ascii="Times New Roman" w:hAnsi="Times New Roman" w:cs="宋体"/>
          <w:b/>
          <w:bCs/>
          <w:color w:val="000000"/>
          <w:kern w:val="0"/>
          <w:sz w:val="24"/>
          <w:szCs w:val="24"/>
        </w:rPr>
        <w:t xml:space="preserve">13.1 </w:t>
      </w:r>
      <w:r>
        <w:rPr>
          <w:rFonts w:hint="eastAsia" w:ascii="Times New Roman" w:hAnsi="Times New Roman" w:cs="宋体"/>
          <w:b/>
          <w:bCs/>
          <w:color w:val="000000"/>
          <w:kern w:val="0"/>
          <w:sz w:val="24"/>
          <w:szCs w:val="24"/>
        </w:rPr>
        <w:t>备查文件目录</w:t>
      </w:r>
      <w:bookmarkEnd w:id="62"/>
    </w:p>
    <w:p>
      <w:pPr>
        <w:autoSpaceDE w:val="0"/>
        <w:autoSpaceDN w:val="0"/>
        <w:adjustRightInd w:val="0"/>
        <w:spacing w:before="29" w:line="288" w:lineRule="auto"/>
        <w:ind w:left="15" w:leftChars="7" w:firstLine="480" w:firstLineChars="200"/>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1</w:t>
      </w:r>
      <w:r>
        <w:rPr>
          <w:rFonts w:hint="eastAsia" w:ascii="Times New Roman" w:hAnsi="Times New Roman" w:cs="宋体"/>
          <w:color w:val="000000"/>
          <w:kern w:val="0"/>
          <w:sz w:val="24"/>
          <w:szCs w:val="24"/>
        </w:rPr>
        <w:t>、《创金合信尊誉纯债债券型证券投资基金基金合同》；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s="宋体"/>
          <w:color w:val="000000"/>
          <w:kern w:val="0"/>
          <w:sz w:val="24"/>
          <w:szCs w:val="24"/>
        </w:rPr>
      </w:pPr>
      <w:r>
        <w:rPr>
          <w:rFonts w:ascii="Times New Roman" w:hAnsi="Times New Roman" w:cs="宋体"/>
          <w:color w:val="000000"/>
          <w:kern w:val="0"/>
          <w:sz w:val="24"/>
          <w:szCs w:val="24"/>
        </w:rPr>
        <w:t>2</w:t>
      </w:r>
      <w:r>
        <w:rPr>
          <w:rFonts w:hint="eastAsia" w:ascii="Times New Roman" w:hAnsi="Times New Roman" w:cs="宋体"/>
          <w:color w:val="000000"/>
          <w:kern w:val="0"/>
          <w:sz w:val="24"/>
          <w:szCs w:val="24"/>
        </w:rPr>
        <w:t>、《创金合信尊誉纯债债券型证券投资基金托管协议》；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s="宋体"/>
          <w:color w:val="000000"/>
          <w:kern w:val="0"/>
          <w:sz w:val="24"/>
          <w:szCs w:val="24"/>
        </w:rPr>
      </w:pPr>
      <w:r>
        <w:rPr>
          <w:rFonts w:ascii="Times New Roman" w:hAnsi="Times New Roman" w:cs="宋体"/>
          <w:color w:val="000000"/>
          <w:kern w:val="0"/>
          <w:sz w:val="24"/>
          <w:szCs w:val="24"/>
        </w:rPr>
        <w:t>3</w:t>
      </w:r>
      <w:r>
        <w:rPr>
          <w:rFonts w:hint="eastAsia" w:ascii="Times New Roman" w:hAnsi="Times New Roman" w:cs="宋体"/>
          <w:color w:val="000000"/>
          <w:kern w:val="0"/>
          <w:sz w:val="24"/>
          <w:szCs w:val="24"/>
        </w:rPr>
        <w:t>、创金合信尊誉纯债债券型证券投资基金</w:t>
      </w:r>
      <w:r>
        <w:rPr>
          <w:rFonts w:ascii="Times New Roman" w:hAnsi="Times New Roman" w:cs="宋体"/>
          <w:color w:val="000000"/>
          <w:kern w:val="0"/>
          <w:sz w:val="24"/>
          <w:szCs w:val="24"/>
        </w:rPr>
        <w:t>2016</w:t>
      </w:r>
      <w:r>
        <w:rPr>
          <w:rFonts w:hint="eastAsia" w:ascii="Times New Roman" w:hAnsi="Times New Roman" w:cs="宋体"/>
          <w:color w:val="000000"/>
          <w:kern w:val="0"/>
          <w:sz w:val="24"/>
          <w:szCs w:val="24"/>
        </w:rPr>
        <w:t>年年报报告原文</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3" w:name="_Toc477955706"/>
      <w:r>
        <w:rPr>
          <w:rFonts w:ascii="Times New Roman" w:hAnsi="Times New Roman" w:cs="宋体"/>
          <w:b/>
          <w:bCs/>
          <w:color w:val="000000"/>
          <w:kern w:val="0"/>
          <w:sz w:val="24"/>
          <w:szCs w:val="24"/>
        </w:rPr>
        <w:t xml:space="preserve">13.2 </w:t>
      </w:r>
      <w:r>
        <w:rPr>
          <w:rFonts w:hint="eastAsia" w:ascii="Times New Roman" w:hAnsi="Times New Roman" w:cs="宋体"/>
          <w:b/>
          <w:bCs/>
          <w:color w:val="000000"/>
          <w:kern w:val="0"/>
          <w:sz w:val="24"/>
          <w:szCs w:val="24"/>
        </w:rPr>
        <w:t>存放地点</w:t>
      </w:r>
      <w:bookmarkEnd w:id="63"/>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深圳市福田中心区福华一路</w:t>
      </w:r>
      <w:r>
        <w:rPr>
          <w:rFonts w:ascii="Times New Roman" w:hAnsi="Times New Roman" w:cs="宋体"/>
          <w:color w:val="000000"/>
          <w:kern w:val="0"/>
          <w:sz w:val="24"/>
          <w:szCs w:val="24"/>
        </w:rPr>
        <w:t>115</w:t>
      </w:r>
      <w:r>
        <w:rPr>
          <w:rFonts w:hint="eastAsia" w:ascii="Times New Roman" w:hAnsi="Times New Roman" w:cs="宋体"/>
          <w:color w:val="000000"/>
          <w:kern w:val="0"/>
          <w:sz w:val="24"/>
          <w:szCs w:val="24"/>
        </w:rPr>
        <w:t>号投行大厦</w:t>
      </w:r>
      <w:r>
        <w:rPr>
          <w:rFonts w:ascii="Times New Roman" w:hAnsi="Times New Roman" w:cs="宋体"/>
          <w:color w:val="000000"/>
          <w:kern w:val="0"/>
          <w:sz w:val="24"/>
          <w:szCs w:val="24"/>
        </w:rPr>
        <w:t>15</w:t>
      </w:r>
      <w:r>
        <w:rPr>
          <w:rFonts w:hint="eastAsia" w:ascii="Times New Roman" w:hAnsi="Times New Roman" w:cs="宋体"/>
          <w:color w:val="000000"/>
          <w:kern w:val="0"/>
          <w:sz w:val="24"/>
          <w:szCs w:val="24"/>
        </w:rPr>
        <w:t>楼</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jc w:val="left"/>
        <w:outlineLvl w:val="1"/>
        <w:rPr>
          <w:rFonts w:ascii="Times New Roman" w:hAnsi="Times New Roman" w:cs="宋体"/>
          <w:b/>
          <w:bCs/>
          <w:color w:val="000000"/>
          <w:kern w:val="0"/>
          <w:sz w:val="24"/>
          <w:szCs w:val="24"/>
        </w:rPr>
      </w:pPr>
      <w:bookmarkStart w:id="64" w:name="_Toc477955707"/>
      <w:r>
        <w:rPr>
          <w:rFonts w:ascii="Times New Roman" w:hAnsi="Times New Roman" w:cs="宋体"/>
          <w:b/>
          <w:bCs/>
          <w:color w:val="000000"/>
          <w:kern w:val="0"/>
          <w:sz w:val="24"/>
          <w:szCs w:val="24"/>
        </w:rPr>
        <w:t xml:space="preserve">13.3 </w:t>
      </w:r>
      <w:r>
        <w:rPr>
          <w:rFonts w:hint="eastAsia" w:ascii="Times New Roman" w:hAnsi="Times New Roman" w:cs="宋体"/>
          <w:b/>
          <w:bCs/>
          <w:color w:val="000000"/>
          <w:kern w:val="0"/>
          <w:sz w:val="24"/>
          <w:szCs w:val="24"/>
        </w:rPr>
        <w:t>查阅方式</w:t>
      </w:r>
      <w:bookmarkEnd w:id="64"/>
    </w:p>
    <w:p>
      <w:pPr>
        <w:autoSpaceDE w:val="0"/>
        <w:autoSpaceDN w:val="0"/>
        <w:adjustRightInd w:val="0"/>
        <w:spacing w:before="29" w:line="288" w:lineRule="auto"/>
        <w:ind w:left="15" w:firstLine="482"/>
        <w:jc w:val="left"/>
        <w:rPr>
          <w:rFonts w:ascii="Times New Roman" w:hAnsi="Times New Roman" w:cs="宋体"/>
          <w:color w:val="000000"/>
          <w:kern w:val="0"/>
          <w:sz w:val="24"/>
          <w:szCs w:val="24"/>
        </w:rPr>
      </w:pPr>
      <w:r>
        <w:rPr>
          <w:rFonts w:ascii="Times New Roman" w:hAnsi="Times New Roman" w:cs="宋体"/>
          <w:color w:val="000000"/>
          <w:kern w:val="0"/>
          <w:sz w:val="24"/>
          <w:szCs w:val="24"/>
        </w:rPr>
        <w:t>www.cjhxfund.com</w:t>
      </w:r>
    </w:p>
    <w:p>
      <w:pPr>
        <w:autoSpaceDE w:val="0"/>
        <w:autoSpaceDN w:val="0"/>
        <w:adjustRightInd w:val="0"/>
        <w:spacing w:line="288" w:lineRule="auto"/>
        <w:jc w:val="left"/>
        <w:rPr>
          <w:rFonts w:ascii="Times New Roman" w:hAnsi="Times New Roman" w:cs="MS Sans Serif"/>
          <w:color w:val="000000"/>
          <w:kern w:val="0"/>
          <w:sz w:val="23"/>
          <w:szCs w:val="23"/>
        </w:rPr>
      </w:pP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cs="宋体"/>
          <w:b/>
          <w:bCs/>
          <w:color w:val="000000"/>
          <w:kern w:val="0"/>
          <w:sz w:val="24"/>
          <w:szCs w:val="24"/>
        </w:rPr>
      </w:pPr>
      <w:r>
        <w:rPr>
          <w:rFonts w:hint="eastAsia" w:ascii="Times New Roman" w:hAnsi="Times New Roman" w:cs="宋体"/>
          <w:b/>
          <w:bCs/>
          <w:color w:val="000000"/>
          <w:kern w:val="0"/>
          <w:sz w:val="24"/>
          <w:szCs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宋体"/>
        <w:kern w:val="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rFonts w:ascii="宋体"/>
        <w:kern w:val="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7FBA"/>
    <w:rsid w:val="000437D4"/>
    <w:rsid w:val="00283913"/>
    <w:rsid w:val="0032060C"/>
    <w:rsid w:val="00396C3B"/>
    <w:rsid w:val="004C2F97"/>
    <w:rsid w:val="00500C4A"/>
    <w:rsid w:val="006545DA"/>
    <w:rsid w:val="006D674E"/>
    <w:rsid w:val="006E7FBA"/>
    <w:rsid w:val="007D45AF"/>
    <w:rsid w:val="009F5549"/>
    <w:rsid w:val="00A4781E"/>
    <w:rsid w:val="00A77A96"/>
    <w:rsid w:val="00B21085"/>
    <w:rsid w:val="00C16C35"/>
    <w:rsid w:val="00C62337"/>
    <w:rsid w:val="00D800DF"/>
    <w:rsid w:val="00DF7E34"/>
    <w:rsid w:val="00FE4559"/>
    <w:rsid w:val="3514296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5308</Words>
  <Characters>30260</Characters>
  <Lines>252</Lines>
  <Paragraphs>70</Paragraphs>
  <TotalTime>0</TotalTime>
  <ScaleCrop>false</ScaleCrop>
  <LinksUpToDate>false</LinksUpToDate>
  <CharactersWithSpaces>35498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2017-03-22T06:18:00Z</dcterms:created>
  <dc:creator>FastReport</dc:creator>
  <cp:lastModifiedBy>Administrator</cp:lastModifiedBy>
  <dcterms:modified xsi:type="dcterms:W3CDTF">2019-12-26T14:06:35Z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