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center"/>
        <w:rPr>
          <w:rFonts w:ascii="Times New Roman" w:hAnsi="Times New Roman"/>
          <w:color w:val="000000"/>
          <w:kern w:val="0"/>
          <w:sz w:val="24"/>
          <w:szCs w:val="24"/>
        </w:rPr>
      </w:pPr>
      <w:bookmarkStart w:id="64" w:name="_GoBack"/>
      <w:bookmarkEnd w:id="64"/>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创金合信鑫回报灵活配置混合型证券投资基金</w:t>
      </w:r>
      <w:r>
        <w:rPr>
          <w:rFonts w:ascii="Times New Roman" w:hAnsi="Times New Roman"/>
          <w:b/>
          <w:color w:val="000000"/>
          <w:kern w:val="0"/>
          <w:sz w:val="24"/>
          <w:szCs w:val="24"/>
        </w:rPr>
        <w:t>2016</w:t>
      </w:r>
      <w:r>
        <w:rPr>
          <w:rFonts w:hint="eastAsia" w:ascii="Times New Roman" w:hAnsi="Times New Roman"/>
          <w:b/>
          <w:color w:val="000000"/>
          <w:kern w:val="0"/>
          <w:sz w:val="24"/>
          <w:szCs w:val="24"/>
        </w:rPr>
        <w:t>年年度报告</w:t>
      </w:r>
    </w:p>
    <w:p>
      <w:pPr>
        <w:autoSpaceDE w:val="0"/>
        <w:autoSpaceDN w:val="0"/>
        <w:adjustRightInd w:val="0"/>
        <w:spacing w:line="288" w:lineRule="auto"/>
        <w:jc w:val="center"/>
        <w:rPr>
          <w:rFonts w:ascii="Times New Roman" w:hAnsi="Times New Roman"/>
          <w:b/>
          <w:color w:val="000000"/>
          <w:kern w:val="0"/>
          <w:sz w:val="24"/>
          <w:szCs w:val="24"/>
        </w:rPr>
      </w:pPr>
    </w:p>
    <w:p>
      <w:pPr>
        <w:autoSpaceDE w:val="0"/>
        <w:autoSpaceDN w:val="0"/>
        <w:adjustRightInd w:val="0"/>
        <w:spacing w:before="30"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2016</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w:t>
      </w:r>
    </w:p>
    <w:p>
      <w:pPr>
        <w:autoSpaceDE w:val="0"/>
        <w:autoSpaceDN w:val="0"/>
        <w:adjustRightInd w:val="0"/>
        <w:spacing w:line="288" w:lineRule="auto"/>
        <w:jc w:val="center"/>
        <w:rPr>
          <w:rFonts w:ascii="Times New Roman" w:hAnsi="Times New Roman"/>
          <w:b/>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基金管理人：创金合信基金管理有限公司</w:t>
      </w: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基金托管人：招商银行股份有限公司</w:t>
      </w: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送出日期：</w:t>
      </w:r>
      <w:r>
        <w:rPr>
          <w:rFonts w:ascii="Times New Roman" w:hAnsi="Times New Roman"/>
          <w:b/>
          <w:color w:val="000000"/>
          <w:kern w:val="0"/>
          <w:sz w:val="24"/>
          <w:szCs w:val="24"/>
        </w:rPr>
        <w:t>2017</w:t>
      </w:r>
      <w:r>
        <w:rPr>
          <w:rFonts w:hint="eastAsia" w:ascii="Times New Roman" w:hAnsi="Times New Roman"/>
          <w:b/>
          <w:color w:val="000000"/>
          <w:kern w:val="0"/>
          <w:sz w:val="24"/>
          <w:szCs w:val="24"/>
        </w:rPr>
        <w:t>年</w:t>
      </w:r>
      <w:r>
        <w:rPr>
          <w:rFonts w:ascii="Times New Roman" w:hAnsi="Times New Roman"/>
          <w:b/>
          <w:color w:val="000000"/>
          <w:kern w:val="0"/>
          <w:sz w:val="24"/>
          <w:szCs w:val="24"/>
        </w:rPr>
        <w:t>03</w:t>
      </w:r>
      <w:r>
        <w:rPr>
          <w:rFonts w:hint="eastAsia" w:ascii="Times New Roman" w:hAnsi="Times New Roman"/>
          <w:b/>
          <w:color w:val="000000"/>
          <w:kern w:val="0"/>
          <w:sz w:val="24"/>
          <w:szCs w:val="24"/>
        </w:rPr>
        <w:t>月</w:t>
      </w:r>
      <w:r>
        <w:rPr>
          <w:rFonts w:ascii="Times New Roman" w:hAnsi="Times New Roman"/>
          <w:b/>
          <w:color w:val="000000"/>
          <w:kern w:val="0"/>
          <w:sz w:val="24"/>
          <w:szCs w:val="24"/>
        </w:rPr>
        <w:t>27</w:t>
      </w:r>
      <w:r>
        <w:rPr>
          <w:rFonts w:hint="eastAsia" w:ascii="Times New Roman" w:hAnsi="Times New Roman"/>
          <w:b/>
          <w:color w:val="000000"/>
          <w:kern w:val="0"/>
          <w:sz w:val="24"/>
          <w:szCs w:val="24"/>
        </w:rPr>
        <w:t>日</w:t>
      </w:r>
    </w:p>
    <w:p>
      <w:pPr>
        <w:autoSpaceDE w:val="0"/>
        <w:autoSpaceDN w:val="0"/>
        <w:adjustRightInd w:val="0"/>
        <w:spacing w:line="288" w:lineRule="auto"/>
        <w:jc w:val="left"/>
        <w:rPr>
          <w:rFonts w:ascii="Times New Roman" w:hAnsi="Times New Roman"/>
          <w:kern w:val="0"/>
          <w:sz w:val="24"/>
          <w:szCs w:val="24"/>
        </w:rPr>
        <w:sectPr>
          <w:headerReference r:id="rId3" w:type="default"/>
          <w:footerReference r:id="rId4" w:type="default"/>
          <w:pgSz w:w="11926" w:h="16867"/>
          <w:pgMar w:top="1420" w:right="1420" w:bottom="852" w:left="1420" w:header="851" w:footer="992" w:gutter="0"/>
          <w:cols w:space="720" w:num="1"/>
        </w:sectPr>
      </w:pPr>
    </w:p>
    <w:p>
      <w:pPr>
        <w:autoSpaceDE w:val="0"/>
        <w:autoSpaceDN w:val="0"/>
        <w:adjustRightInd w:val="0"/>
        <w:spacing w:before="30" w:line="288" w:lineRule="auto"/>
        <w:ind w:left="15"/>
        <w:jc w:val="center"/>
        <w:outlineLvl w:val="0"/>
        <w:rPr>
          <w:rFonts w:ascii="Times New Roman" w:hAnsi="Times New Roman"/>
          <w:b/>
          <w:color w:val="000000"/>
          <w:kern w:val="0"/>
          <w:sz w:val="24"/>
          <w:szCs w:val="24"/>
        </w:rPr>
      </w:pPr>
      <w:bookmarkStart w:id="0" w:name="_Toc477955715"/>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  </w:t>
      </w:r>
      <w:r>
        <w:rPr>
          <w:rFonts w:hint="eastAsia" w:ascii="Times New Roman" w:hAnsi="Times New Roman"/>
          <w:b/>
          <w:color w:val="000000"/>
          <w:kern w:val="0"/>
          <w:sz w:val="24"/>
          <w:szCs w:val="24"/>
        </w:rPr>
        <w:t>重要提示及目录</w:t>
      </w:r>
      <w:bookmarkEnd w:id="0"/>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30" w:line="288" w:lineRule="auto"/>
        <w:ind w:left="15"/>
        <w:jc w:val="left"/>
        <w:outlineLvl w:val="1"/>
        <w:rPr>
          <w:rFonts w:ascii="Times New Roman" w:hAnsi="Times New Roman"/>
          <w:b/>
          <w:color w:val="000000"/>
          <w:kern w:val="0"/>
          <w:sz w:val="24"/>
          <w:szCs w:val="24"/>
        </w:rPr>
      </w:pPr>
      <w:bookmarkStart w:id="1" w:name="_Toc477955716"/>
      <w:r>
        <w:rPr>
          <w:rFonts w:ascii="Times New Roman" w:hAnsi="Times New Roman"/>
          <w:b/>
          <w:color w:val="000000"/>
          <w:kern w:val="0"/>
          <w:sz w:val="24"/>
          <w:szCs w:val="24"/>
        </w:rPr>
        <w:t xml:space="preserve">1.1 </w:t>
      </w:r>
      <w:r>
        <w:rPr>
          <w:rFonts w:hint="eastAsia" w:ascii="Times New Roman" w:hAnsi="Times New Roman"/>
          <w:b/>
          <w:color w:val="000000"/>
          <w:kern w:val="0"/>
          <w:sz w:val="24"/>
          <w:szCs w:val="24"/>
        </w:rPr>
        <w:t>重要提示</w:t>
      </w:r>
      <w:bookmarkEnd w:id="1"/>
    </w:p>
    <w:tbl>
      <w:tblPr>
        <w:tblStyle w:val="8"/>
        <w:tblW w:w="0" w:type="auto"/>
        <w:tblInd w:w="108" w:type="dxa"/>
        <w:tblLayout w:type="fixed"/>
        <w:tblCellMar>
          <w:top w:w="0" w:type="dxa"/>
          <w:left w:w="108" w:type="dxa"/>
          <w:bottom w:w="0" w:type="dxa"/>
          <w:right w:w="108" w:type="dxa"/>
        </w:tblCellMar>
      </w:tblPr>
      <w:tblGrid>
        <w:gridCol w:w="8970"/>
      </w:tblGrid>
      <w:tr>
        <w:tblPrEx>
          <w:tblCellMar>
            <w:top w:w="0" w:type="dxa"/>
            <w:left w:w="108" w:type="dxa"/>
            <w:bottom w:w="0" w:type="dxa"/>
            <w:right w:w="108" w:type="dxa"/>
          </w:tblCellMar>
        </w:tblPrEx>
        <w:trPr>
          <w:wBefore w:w="0" w:type="auto"/>
        </w:trPr>
        <w:tc>
          <w:tcPr>
            <w:tcW w:w="897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基金托管人招商银行股份有限公司根据本基金合同规定，于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3</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基金管理人承诺以诚实信用、勤勉尽责的原则管理和运用基金资产，但不保证基金一定盈利。</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基金的过往业绩并不代表其未来表现。投资有风险，投资者在作出投资决策前应仔细阅读本基金的招募说明书及其更新。</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日起至</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w:t>
            </w:r>
          </w:p>
        </w:tc>
      </w:tr>
    </w:tbl>
    <w:p>
      <w:pPr>
        <w:autoSpaceDE w:val="0"/>
        <w:autoSpaceDN w:val="0"/>
        <w:adjustRightInd w:val="0"/>
        <w:spacing w:line="288" w:lineRule="auto"/>
        <w:jc w:val="left"/>
        <w:rPr>
          <w:rFonts w:ascii="Times New Roman" w:hAnsi="Times New Roman"/>
          <w:kern w:val="0"/>
          <w:sz w:val="24"/>
          <w:szCs w:val="24"/>
        </w:rPr>
        <w:sectPr>
          <w:pgSz w:w="11926" w:h="16867"/>
          <w:pgMar w:top="1420" w:right="1420" w:bottom="852" w:left="1420" w:header="851" w:footer="992" w:gutter="0"/>
          <w:cols w:space="720" w:num="1"/>
        </w:sectPr>
      </w:pPr>
    </w:p>
    <w:p>
      <w:pPr>
        <w:autoSpaceDE w:val="0"/>
        <w:autoSpaceDN w:val="0"/>
        <w:adjustRightInd w:val="0"/>
        <w:spacing w:before="30" w:line="288" w:lineRule="auto"/>
        <w:ind w:left="15"/>
        <w:jc w:val="left"/>
        <w:outlineLvl w:val="1"/>
        <w:rPr>
          <w:rFonts w:ascii="Times New Roman" w:hAnsi="Times New Roman"/>
          <w:b/>
          <w:color w:val="000000"/>
          <w:kern w:val="0"/>
          <w:sz w:val="24"/>
          <w:szCs w:val="24"/>
        </w:rPr>
      </w:pPr>
      <w:bookmarkStart w:id="2" w:name="_Toc477955717"/>
      <w:r>
        <w:rPr>
          <w:rFonts w:ascii="Times New Roman" w:hAnsi="Times New Roman"/>
          <w:b/>
          <w:color w:val="000000"/>
          <w:kern w:val="0"/>
          <w:sz w:val="24"/>
          <w:szCs w:val="24"/>
        </w:rPr>
        <w:t xml:space="preserve">1.2  </w:t>
      </w:r>
      <w:r>
        <w:rPr>
          <w:rFonts w:hint="eastAsia" w:ascii="Times New Roman" w:hAnsi="Times New Roman"/>
          <w:b/>
          <w:color w:val="000000"/>
          <w:kern w:val="0"/>
          <w:sz w:val="24"/>
          <w:szCs w:val="24"/>
        </w:rPr>
        <w:t>目录</w:t>
      </w:r>
      <w:bookmarkEnd w:id="2"/>
    </w:p>
    <w:p>
      <w:pPr>
        <w:pStyle w:val="6"/>
        <w:tabs>
          <w:tab w:val="right" w:leader="dot" w:pos="9076"/>
        </w:tabs>
        <w:rPr>
          <w:lang/>
        </w:rPr>
      </w:pPr>
      <w:r>
        <w:rPr>
          <w:rFonts w:ascii="Times New Roman" w:hAnsi="Times New Roman"/>
          <w:b/>
          <w:color w:val="000000"/>
          <w:kern w:val="0"/>
          <w:sz w:val="24"/>
          <w:szCs w:val="24"/>
        </w:rPr>
        <w:fldChar w:fldCharType="begin"/>
      </w:r>
      <w:r>
        <w:rPr>
          <w:rFonts w:ascii="Times New Roman" w:hAnsi="Times New Roman"/>
          <w:b/>
          <w:color w:val="000000"/>
          <w:kern w:val="0"/>
          <w:sz w:val="24"/>
          <w:szCs w:val="24"/>
        </w:rPr>
        <w:instrText xml:space="preserve"> TOC \o "1-2" \h \z \u </w:instrText>
      </w:r>
      <w:r>
        <w:rPr>
          <w:rFonts w:ascii="Times New Roman" w:hAnsi="Times New Roman"/>
          <w:b/>
          <w:color w:val="000000"/>
          <w:kern w:val="0"/>
          <w:sz w:val="24"/>
          <w:szCs w:val="24"/>
        </w:rPr>
        <w:fldChar w:fldCharType="separate"/>
      </w:r>
      <w:r>
        <w:rPr>
          <w:rStyle w:val="10"/>
          <w:lang/>
        </w:rPr>
        <w:fldChar w:fldCharType="begin"/>
      </w:r>
      <w:r>
        <w:rPr>
          <w:rStyle w:val="10"/>
          <w:lang/>
        </w:rPr>
        <w:instrText xml:space="preserve"> </w:instrText>
      </w:r>
      <w:r>
        <w:rPr>
          <w:lang/>
        </w:rPr>
        <w:instrText xml:space="preserve">HYPERLINK \l "_Toc477955715"</w:instrText>
      </w:r>
      <w:r>
        <w:rPr>
          <w:rStyle w:val="10"/>
          <w:lang/>
        </w:rPr>
        <w:instrText xml:space="preserve"> </w:instrText>
      </w:r>
      <w:r>
        <w:rPr>
          <w:rStyle w:val="10"/>
          <w:lang/>
        </w:rPr>
        <w:fldChar w:fldCharType="separate"/>
      </w:r>
      <w:r>
        <w:rPr>
          <w:rStyle w:val="10"/>
          <w:rFonts w:ascii="Times New Roman" w:hAnsi="Times New Roman"/>
          <w:b/>
          <w:kern w:val="0"/>
          <w:lang/>
        </w:rPr>
        <w:t xml:space="preserve">§1  </w:t>
      </w:r>
      <w:r>
        <w:rPr>
          <w:rStyle w:val="10"/>
          <w:rFonts w:hint="eastAsia" w:ascii="Times New Roman" w:hAnsi="Times New Roman"/>
          <w:b/>
          <w:kern w:val="0"/>
          <w:lang/>
        </w:rPr>
        <w:t>重要提示及目录</w:t>
      </w:r>
      <w:r>
        <w:rPr>
          <w:lang/>
        </w:rPr>
        <w:tab/>
      </w:r>
      <w:r>
        <w:rPr>
          <w:lang/>
        </w:rPr>
        <w:fldChar w:fldCharType="begin"/>
      </w:r>
      <w:r>
        <w:rPr>
          <w:lang/>
        </w:rPr>
        <w:instrText xml:space="preserve"> PAGEREF _Toc477955715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"_Toc477955716"</w:instrText>
      </w:r>
      <w:r>
        <w:rPr>
          <w:rStyle w:val="10"/>
          <w:lang/>
        </w:rPr>
        <w:instrText xml:space="preserve"> </w:instrText>
      </w:r>
      <w:r>
        <w:rPr>
          <w:rStyle w:val="10"/>
          <w:lang/>
        </w:rPr>
        <w:fldChar w:fldCharType="separate"/>
      </w:r>
      <w:r>
        <w:rPr>
          <w:rStyle w:val="10"/>
          <w:rFonts w:ascii="Times New Roman" w:hAnsi="Times New Roman"/>
          <w:b/>
          <w:kern w:val="0"/>
          <w:lang/>
        </w:rPr>
        <w:t xml:space="preserve">1.1 </w:t>
      </w:r>
      <w:r>
        <w:rPr>
          <w:rStyle w:val="10"/>
          <w:rFonts w:hint="eastAsia" w:ascii="Times New Roman" w:hAnsi="Times New Roman"/>
          <w:b/>
          <w:kern w:val="0"/>
          <w:lang/>
        </w:rPr>
        <w:t>重要提示</w:t>
      </w:r>
      <w:r>
        <w:rPr>
          <w:lang/>
        </w:rPr>
        <w:tab/>
      </w:r>
      <w:r>
        <w:rPr>
          <w:lang/>
        </w:rPr>
        <w:fldChar w:fldCharType="begin"/>
      </w:r>
      <w:r>
        <w:rPr>
          <w:lang/>
        </w:rPr>
        <w:instrText xml:space="preserve"> PAGEREF _Toc477955716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"_Toc477955717"</w:instrText>
      </w:r>
      <w:r>
        <w:rPr>
          <w:rStyle w:val="10"/>
          <w:lang/>
        </w:rPr>
        <w:instrText xml:space="preserve"> </w:instrText>
      </w:r>
      <w:r>
        <w:rPr>
          <w:rStyle w:val="10"/>
          <w:lang/>
        </w:rPr>
        <w:fldChar w:fldCharType="separate"/>
      </w:r>
      <w:r>
        <w:rPr>
          <w:rStyle w:val="10"/>
          <w:rFonts w:ascii="Times New Roman" w:hAnsi="Times New Roman"/>
          <w:b/>
          <w:kern w:val="0"/>
          <w:lang/>
        </w:rPr>
        <w:t xml:space="preserve">1.2  </w:t>
      </w:r>
      <w:r>
        <w:rPr>
          <w:rStyle w:val="10"/>
          <w:rFonts w:hint="eastAsia" w:ascii="Times New Roman" w:hAnsi="Times New Roman"/>
          <w:b/>
          <w:kern w:val="0"/>
          <w:lang/>
        </w:rPr>
        <w:t>目录</w:t>
      </w:r>
      <w:r>
        <w:rPr>
          <w:lang/>
        </w:rPr>
        <w:tab/>
      </w:r>
      <w:r>
        <w:rPr>
          <w:lang/>
        </w:rPr>
        <w:fldChar w:fldCharType="begin"/>
      </w:r>
      <w:r>
        <w:rPr>
          <w:lang/>
        </w:rPr>
        <w:instrText xml:space="preserve"> PAGEREF _Toc477955717 \h </w:instrText>
      </w:r>
      <w:r>
        <w:rPr>
          <w:lang/>
        </w:rPr>
        <w:fldChar w:fldCharType="separate"/>
      </w:r>
      <w:r>
        <w:rPr>
          <w:lang/>
        </w:rPr>
        <w:t>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"_Toc477955718"</w:instrText>
      </w:r>
      <w:r>
        <w:rPr>
          <w:rStyle w:val="10"/>
          <w:lang/>
        </w:rPr>
        <w:instrText xml:space="preserve"> </w:instrText>
      </w:r>
      <w:r>
        <w:rPr>
          <w:rStyle w:val="10"/>
          <w:lang/>
        </w:rPr>
        <w:fldChar w:fldCharType="separate"/>
      </w:r>
      <w:r>
        <w:rPr>
          <w:rStyle w:val="10"/>
          <w:rFonts w:ascii="Times New Roman" w:hAnsi="Times New Roman"/>
          <w:b/>
          <w:kern w:val="0"/>
          <w:lang/>
        </w:rPr>
        <w:t xml:space="preserve">§2  </w:t>
      </w:r>
      <w:r>
        <w:rPr>
          <w:rStyle w:val="10"/>
          <w:rFonts w:hint="eastAsia" w:ascii="Times New Roman" w:hAnsi="Times New Roman"/>
          <w:b/>
          <w:kern w:val="0"/>
          <w:lang/>
        </w:rPr>
        <w:t>基金简介</w:t>
      </w:r>
      <w:r>
        <w:rPr>
          <w:lang/>
        </w:rPr>
        <w:tab/>
      </w:r>
      <w:r>
        <w:rPr>
          <w:lang/>
        </w:rPr>
        <w:fldChar w:fldCharType="begin"/>
      </w:r>
      <w:r>
        <w:rPr>
          <w:lang/>
        </w:rPr>
        <w:instrText xml:space="preserve"> PAGEREF _Toc477955718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"_Toc477955719"</w:instrText>
      </w:r>
      <w:r>
        <w:rPr>
          <w:rStyle w:val="10"/>
          <w:lang/>
        </w:rPr>
        <w:instrText xml:space="preserve"> </w:instrText>
      </w:r>
      <w:r>
        <w:rPr>
          <w:rStyle w:val="10"/>
          <w:lang/>
        </w:rPr>
        <w:fldChar w:fldCharType="separate"/>
      </w:r>
      <w:r>
        <w:rPr>
          <w:rStyle w:val="10"/>
          <w:rFonts w:ascii="Times New Roman" w:hAnsi="Times New Roman"/>
          <w:b/>
          <w:kern w:val="0"/>
          <w:lang/>
        </w:rPr>
        <w:t xml:space="preserve">2.1 </w:t>
      </w:r>
      <w:r>
        <w:rPr>
          <w:rStyle w:val="10"/>
          <w:rFonts w:hint="eastAsia" w:ascii="Times New Roman" w:hAnsi="Times New Roman"/>
          <w:b/>
          <w:kern w:val="0"/>
          <w:lang/>
        </w:rPr>
        <w:t>基金基本情况</w:t>
      </w:r>
      <w:r>
        <w:rPr>
          <w:lang/>
        </w:rPr>
        <w:tab/>
      </w:r>
      <w:r>
        <w:rPr>
          <w:lang/>
        </w:rPr>
        <w:fldChar w:fldCharType="begin"/>
      </w:r>
      <w:r>
        <w:rPr>
          <w:lang/>
        </w:rPr>
        <w:instrText xml:space="preserve"> PAGEREF _Toc477955719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"_Toc477955720"</w:instrText>
      </w:r>
      <w:r>
        <w:rPr>
          <w:rStyle w:val="10"/>
          <w:lang/>
        </w:rPr>
        <w:instrText xml:space="preserve"> </w:instrText>
      </w:r>
      <w:r>
        <w:rPr>
          <w:rStyle w:val="10"/>
          <w:lang/>
        </w:rPr>
        <w:fldChar w:fldCharType="separate"/>
      </w:r>
      <w:r>
        <w:rPr>
          <w:rStyle w:val="10"/>
          <w:rFonts w:ascii="Times New Roman" w:hAnsi="Times New Roman"/>
          <w:b/>
          <w:kern w:val="0"/>
          <w:lang/>
        </w:rPr>
        <w:t xml:space="preserve">2.2 </w:t>
      </w:r>
      <w:r>
        <w:rPr>
          <w:rStyle w:val="10"/>
          <w:rFonts w:hint="eastAsia" w:ascii="Times New Roman" w:hAnsi="Times New Roman"/>
          <w:b/>
          <w:kern w:val="0"/>
          <w:lang/>
        </w:rPr>
        <w:t>基金产品说明</w:t>
      </w:r>
      <w:r>
        <w:rPr>
          <w:lang/>
        </w:rPr>
        <w:tab/>
      </w:r>
      <w:r>
        <w:rPr>
          <w:lang/>
        </w:rPr>
        <w:fldChar w:fldCharType="begin"/>
      </w:r>
      <w:r>
        <w:rPr>
          <w:lang/>
        </w:rPr>
        <w:instrText xml:space="preserve"> PAGEREF _Toc477955720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"_Toc477955721"</w:instrText>
      </w:r>
      <w:r>
        <w:rPr>
          <w:rStyle w:val="10"/>
          <w:lang/>
        </w:rPr>
        <w:instrText xml:space="preserve"> </w:instrText>
      </w:r>
      <w:r>
        <w:rPr>
          <w:rStyle w:val="10"/>
          <w:lang/>
        </w:rPr>
        <w:fldChar w:fldCharType="separate"/>
      </w:r>
      <w:r>
        <w:rPr>
          <w:rStyle w:val="10"/>
          <w:rFonts w:ascii="Times New Roman" w:hAnsi="Times New Roman"/>
          <w:b/>
          <w:kern w:val="0"/>
          <w:lang/>
        </w:rPr>
        <w:t xml:space="preserve">2.3 </w:t>
      </w:r>
      <w:r>
        <w:rPr>
          <w:rStyle w:val="10"/>
          <w:rFonts w:hint="eastAsia" w:ascii="Times New Roman" w:hAnsi="Times New Roman"/>
          <w:b/>
          <w:kern w:val="0"/>
          <w:lang/>
        </w:rPr>
        <w:t>基金管理人和基金托管人</w:t>
      </w:r>
      <w:r>
        <w:rPr>
          <w:lang/>
        </w:rPr>
        <w:tab/>
      </w:r>
      <w:r>
        <w:rPr>
          <w:lang/>
        </w:rPr>
        <w:fldChar w:fldCharType="begin"/>
      </w:r>
      <w:r>
        <w:rPr>
          <w:lang/>
        </w:rPr>
        <w:instrText xml:space="preserve"> PAGEREF _Toc477955721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"_Toc477955722"</w:instrText>
      </w:r>
      <w:r>
        <w:rPr>
          <w:rStyle w:val="10"/>
          <w:lang/>
        </w:rPr>
        <w:instrText xml:space="preserve"> </w:instrText>
      </w:r>
      <w:r>
        <w:rPr>
          <w:rStyle w:val="10"/>
          <w:lang/>
        </w:rPr>
        <w:fldChar w:fldCharType="separate"/>
      </w:r>
      <w:r>
        <w:rPr>
          <w:rStyle w:val="10"/>
          <w:rFonts w:ascii="Times New Roman" w:hAnsi="Times New Roman"/>
          <w:b/>
          <w:kern w:val="0"/>
          <w:lang/>
        </w:rPr>
        <w:t xml:space="preserve">2.4 </w:t>
      </w:r>
      <w:r>
        <w:rPr>
          <w:rStyle w:val="10"/>
          <w:rFonts w:hint="eastAsia" w:ascii="Times New Roman" w:hAnsi="Times New Roman"/>
          <w:b/>
          <w:kern w:val="0"/>
          <w:lang/>
        </w:rPr>
        <w:t>信息披露方式</w:t>
      </w:r>
      <w:r>
        <w:rPr>
          <w:lang/>
        </w:rPr>
        <w:tab/>
      </w:r>
      <w:r>
        <w:rPr>
          <w:lang/>
        </w:rPr>
        <w:fldChar w:fldCharType="begin"/>
      </w:r>
      <w:r>
        <w:rPr>
          <w:lang/>
        </w:rPr>
        <w:instrText xml:space="preserve"> PAGEREF _Toc477955722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"_Toc477955723"</w:instrText>
      </w:r>
      <w:r>
        <w:rPr>
          <w:rStyle w:val="10"/>
          <w:lang/>
        </w:rPr>
        <w:instrText xml:space="preserve"> </w:instrText>
      </w:r>
      <w:r>
        <w:rPr>
          <w:rStyle w:val="10"/>
          <w:lang/>
        </w:rPr>
        <w:fldChar w:fldCharType="separate"/>
      </w:r>
      <w:r>
        <w:rPr>
          <w:rStyle w:val="10"/>
          <w:rFonts w:ascii="Times New Roman" w:hAnsi="Times New Roman"/>
          <w:b/>
          <w:kern w:val="0"/>
          <w:lang/>
        </w:rPr>
        <w:t xml:space="preserve">2.5 </w:t>
      </w:r>
      <w:r>
        <w:rPr>
          <w:rStyle w:val="10"/>
          <w:rFonts w:hint="eastAsia" w:ascii="Times New Roman" w:hAnsi="Times New Roman"/>
          <w:b/>
          <w:kern w:val="0"/>
          <w:lang/>
        </w:rPr>
        <w:t>其他相关资料</w:t>
      </w:r>
      <w:r>
        <w:rPr>
          <w:lang/>
        </w:rPr>
        <w:tab/>
      </w:r>
      <w:r>
        <w:rPr>
          <w:lang/>
        </w:rPr>
        <w:fldChar w:fldCharType="begin"/>
      </w:r>
      <w:r>
        <w:rPr>
          <w:lang/>
        </w:rPr>
        <w:instrText xml:space="preserve"> PAGEREF _Toc477955723 \h </w:instrText>
      </w:r>
      <w:r>
        <w:rPr>
          <w:lang/>
        </w:rPr>
        <w:fldChar w:fldCharType="separate"/>
      </w:r>
      <w:r>
        <w:rPr>
          <w:lang/>
        </w:rPr>
        <w:t>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"_Toc477955724"</w:instrText>
      </w:r>
      <w:r>
        <w:rPr>
          <w:rStyle w:val="10"/>
          <w:lang/>
        </w:rPr>
        <w:instrText xml:space="preserve"> </w:instrText>
      </w:r>
      <w:r>
        <w:rPr>
          <w:rStyle w:val="10"/>
          <w:lang/>
        </w:rPr>
        <w:fldChar w:fldCharType="separate"/>
      </w:r>
      <w:r>
        <w:rPr>
          <w:rStyle w:val="10"/>
          <w:rFonts w:ascii="Times New Roman" w:hAnsi="Times New Roman"/>
          <w:b/>
          <w:kern w:val="0"/>
          <w:lang/>
        </w:rPr>
        <w:t xml:space="preserve">§3  </w:t>
      </w:r>
      <w:r>
        <w:rPr>
          <w:rStyle w:val="10"/>
          <w:rFonts w:hint="eastAsia" w:ascii="Times New Roman" w:hAnsi="Times New Roman"/>
          <w:b/>
          <w:kern w:val="0"/>
          <w:lang/>
        </w:rPr>
        <w:t>主要财务指标、基金净值表现及利润分配情况</w:t>
      </w:r>
      <w:r>
        <w:rPr>
          <w:lang/>
        </w:rPr>
        <w:tab/>
      </w:r>
      <w:r>
        <w:rPr>
          <w:lang/>
        </w:rPr>
        <w:fldChar w:fldCharType="begin"/>
      </w:r>
      <w:r>
        <w:rPr>
          <w:lang/>
        </w:rPr>
        <w:instrText xml:space="preserve"> PAGEREF _Toc477955724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"_Toc477955725"</w:instrText>
      </w:r>
      <w:r>
        <w:rPr>
          <w:rStyle w:val="10"/>
          <w:lang/>
        </w:rPr>
        <w:instrText xml:space="preserve"> </w:instrText>
      </w:r>
      <w:r>
        <w:rPr>
          <w:rStyle w:val="10"/>
          <w:lang/>
        </w:rPr>
        <w:fldChar w:fldCharType="separate"/>
      </w:r>
      <w:r>
        <w:rPr>
          <w:rStyle w:val="10"/>
          <w:rFonts w:ascii="Times New Roman" w:hAnsi="Times New Roman"/>
          <w:b/>
          <w:kern w:val="0"/>
          <w:lang/>
        </w:rPr>
        <w:t xml:space="preserve">3.1 </w:t>
      </w:r>
      <w:r>
        <w:rPr>
          <w:rStyle w:val="10"/>
          <w:rFonts w:hint="eastAsia" w:ascii="Times New Roman" w:hAnsi="Times New Roman"/>
          <w:b/>
          <w:kern w:val="0"/>
          <w:lang/>
        </w:rPr>
        <w:t>主要会计数据和财务指标</w:t>
      </w:r>
      <w:r>
        <w:rPr>
          <w:lang/>
        </w:rPr>
        <w:tab/>
      </w:r>
      <w:r>
        <w:rPr>
          <w:lang/>
        </w:rPr>
        <w:fldChar w:fldCharType="begin"/>
      </w:r>
      <w:r>
        <w:rPr>
          <w:lang/>
        </w:rPr>
        <w:instrText xml:space="preserve"> PAGEREF _Toc477955725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"_Toc477955726"</w:instrText>
      </w:r>
      <w:r>
        <w:rPr>
          <w:rStyle w:val="10"/>
          <w:lang/>
        </w:rPr>
        <w:instrText xml:space="preserve"> </w:instrText>
      </w:r>
      <w:r>
        <w:rPr>
          <w:rStyle w:val="10"/>
          <w:lang/>
        </w:rPr>
        <w:fldChar w:fldCharType="separate"/>
      </w:r>
      <w:r>
        <w:rPr>
          <w:rStyle w:val="10"/>
          <w:rFonts w:ascii="Times New Roman" w:hAnsi="Times New Roman"/>
          <w:b/>
          <w:kern w:val="0"/>
          <w:lang/>
        </w:rPr>
        <w:t xml:space="preserve">3.2 </w:t>
      </w:r>
      <w:r>
        <w:rPr>
          <w:rStyle w:val="10"/>
          <w:rFonts w:hint="eastAsia" w:ascii="Times New Roman" w:hAnsi="Times New Roman"/>
          <w:b/>
          <w:kern w:val="0"/>
          <w:lang/>
        </w:rPr>
        <w:t>基金净值表现</w:t>
      </w:r>
      <w:r>
        <w:rPr>
          <w:lang/>
        </w:rPr>
        <w:tab/>
      </w:r>
      <w:r>
        <w:rPr>
          <w:lang/>
        </w:rPr>
        <w:fldChar w:fldCharType="begin"/>
      </w:r>
      <w:r>
        <w:rPr>
          <w:lang/>
        </w:rPr>
        <w:instrText xml:space="preserve"> PAGEREF _Toc477955726 \h </w:instrText>
      </w:r>
      <w:r>
        <w:rPr>
          <w:lang/>
        </w:rPr>
        <w:fldChar w:fldCharType="separate"/>
      </w:r>
      <w:r>
        <w:rPr>
          <w:lang/>
        </w:rPr>
        <w:t>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"_Toc477955727"</w:instrText>
      </w:r>
      <w:r>
        <w:rPr>
          <w:rStyle w:val="10"/>
          <w:lang/>
        </w:rPr>
        <w:instrText xml:space="preserve"> </w:instrText>
      </w:r>
      <w:r>
        <w:rPr>
          <w:rStyle w:val="10"/>
          <w:lang/>
        </w:rPr>
        <w:fldChar w:fldCharType="separate"/>
      </w:r>
      <w:r>
        <w:rPr>
          <w:rStyle w:val="10"/>
          <w:rFonts w:ascii="Times New Roman" w:hAnsi="Times New Roman"/>
          <w:b/>
          <w:kern w:val="0"/>
          <w:lang/>
        </w:rPr>
        <w:t xml:space="preserve">§4  </w:t>
      </w:r>
      <w:r>
        <w:rPr>
          <w:rStyle w:val="10"/>
          <w:rFonts w:hint="eastAsia" w:ascii="Times New Roman" w:hAnsi="Times New Roman"/>
          <w:b/>
          <w:kern w:val="0"/>
          <w:lang/>
        </w:rPr>
        <w:t>管理人报告</w:t>
      </w:r>
      <w:r>
        <w:rPr>
          <w:lang/>
        </w:rPr>
        <w:tab/>
      </w:r>
      <w:r>
        <w:rPr>
          <w:lang/>
        </w:rPr>
        <w:fldChar w:fldCharType="begin"/>
      </w:r>
      <w:r>
        <w:rPr>
          <w:lang/>
        </w:rPr>
        <w:instrText xml:space="preserve"> PAGEREF _Toc477955727 \h </w:instrText>
      </w:r>
      <w:r>
        <w:rPr>
          <w:lang/>
        </w:rPr>
        <w:fldChar w:fldCharType="separate"/>
      </w:r>
      <w:r>
        <w:rPr>
          <w:lang/>
        </w:rPr>
        <w:t>10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"_Toc477955728"</w:instrText>
      </w:r>
      <w:r>
        <w:rPr>
          <w:rStyle w:val="10"/>
          <w:lang/>
        </w:rPr>
        <w:instrText xml:space="preserve"> </w:instrText>
      </w:r>
      <w:r>
        <w:rPr>
          <w:rStyle w:val="10"/>
          <w:lang/>
        </w:rPr>
        <w:fldChar w:fldCharType="separate"/>
      </w:r>
      <w:r>
        <w:rPr>
          <w:rStyle w:val="10"/>
          <w:rFonts w:ascii="Times New Roman" w:hAnsi="Times New Roman"/>
          <w:b/>
          <w:kern w:val="0"/>
          <w:lang/>
        </w:rPr>
        <w:t xml:space="preserve">4.1 </w:t>
      </w:r>
      <w:r>
        <w:rPr>
          <w:rStyle w:val="10"/>
          <w:rFonts w:hint="eastAsia" w:ascii="Times New Roman" w:hAnsi="Times New Roman"/>
          <w:b/>
          <w:kern w:val="0"/>
          <w:lang/>
        </w:rPr>
        <w:t>基金管理人及基金经理情况</w:t>
      </w:r>
      <w:r>
        <w:rPr>
          <w:lang/>
        </w:rPr>
        <w:tab/>
      </w:r>
      <w:r>
        <w:rPr>
          <w:lang/>
        </w:rPr>
        <w:fldChar w:fldCharType="begin"/>
      </w:r>
      <w:r>
        <w:rPr>
          <w:lang/>
        </w:rPr>
        <w:instrText xml:space="preserve"> PAGEREF _Toc477955728 \h </w:instrText>
      </w:r>
      <w:r>
        <w:rPr>
          <w:lang/>
        </w:rPr>
        <w:fldChar w:fldCharType="separate"/>
      </w:r>
      <w:r>
        <w:rPr>
          <w:lang/>
        </w:rPr>
        <w:t>10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"_Toc477955729"</w:instrText>
      </w:r>
      <w:r>
        <w:rPr>
          <w:rStyle w:val="10"/>
          <w:lang/>
        </w:rPr>
        <w:instrText xml:space="preserve"> </w:instrText>
      </w:r>
      <w:r>
        <w:rPr>
          <w:rStyle w:val="10"/>
          <w:lang/>
        </w:rPr>
        <w:fldChar w:fldCharType="separate"/>
      </w:r>
      <w:r>
        <w:rPr>
          <w:rStyle w:val="10"/>
          <w:rFonts w:ascii="Times New Roman" w:hAnsi="Times New Roman"/>
          <w:b/>
          <w:kern w:val="0"/>
          <w:lang/>
        </w:rPr>
        <w:t xml:space="preserve">4.2 </w:t>
      </w:r>
      <w:r>
        <w:rPr>
          <w:rStyle w:val="10"/>
          <w:rFonts w:hint="eastAsia" w:ascii="Times New Roman" w:hAnsi="Times New Roman"/>
          <w:b/>
          <w:kern w:val="0"/>
          <w:lang/>
        </w:rPr>
        <w:t>管理人对报告期内本基金运作遵规守信情况的说明</w:t>
      </w:r>
      <w:r>
        <w:rPr>
          <w:lang/>
        </w:rPr>
        <w:tab/>
      </w:r>
      <w:r>
        <w:rPr>
          <w:lang/>
        </w:rPr>
        <w:fldChar w:fldCharType="begin"/>
      </w:r>
      <w:r>
        <w:rPr>
          <w:lang/>
        </w:rPr>
        <w:instrText xml:space="preserve"> PAGEREF _Toc477955729 \h </w:instrText>
      </w:r>
      <w:r>
        <w:rPr>
          <w:lang/>
        </w:rPr>
        <w:fldChar w:fldCharType="separate"/>
      </w:r>
      <w:r>
        <w:rPr>
          <w:lang/>
        </w:rPr>
        <w:t>12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"_Toc477955730"</w:instrText>
      </w:r>
      <w:r>
        <w:rPr>
          <w:rStyle w:val="10"/>
          <w:lang/>
        </w:rPr>
        <w:instrText xml:space="preserve"> </w:instrText>
      </w:r>
      <w:r>
        <w:rPr>
          <w:rStyle w:val="10"/>
          <w:lang/>
        </w:rPr>
        <w:fldChar w:fldCharType="separate"/>
      </w:r>
      <w:r>
        <w:rPr>
          <w:rStyle w:val="10"/>
          <w:rFonts w:ascii="Times New Roman" w:hAnsi="Times New Roman"/>
          <w:b/>
          <w:kern w:val="0"/>
          <w:lang/>
        </w:rPr>
        <w:t xml:space="preserve">4.3 </w:t>
      </w:r>
      <w:r>
        <w:rPr>
          <w:rStyle w:val="10"/>
          <w:rFonts w:hint="eastAsia" w:ascii="Times New Roman" w:hAnsi="Times New Roman"/>
          <w:b/>
          <w:kern w:val="0"/>
          <w:lang/>
        </w:rPr>
        <w:t>管理人对报告期内公平交易情况的专项说明</w:t>
      </w:r>
      <w:r>
        <w:rPr>
          <w:lang/>
        </w:rPr>
        <w:tab/>
      </w:r>
      <w:r>
        <w:rPr>
          <w:lang/>
        </w:rPr>
        <w:fldChar w:fldCharType="begin"/>
      </w:r>
      <w:r>
        <w:rPr>
          <w:lang/>
        </w:rPr>
        <w:instrText xml:space="preserve"> PAGEREF _Toc477955730 \h </w:instrText>
      </w:r>
      <w:r>
        <w:rPr>
          <w:lang/>
        </w:rPr>
        <w:fldChar w:fldCharType="separate"/>
      </w:r>
      <w:r>
        <w:rPr>
          <w:lang/>
        </w:rPr>
        <w:t>12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"_Toc477955731"</w:instrText>
      </w:r>
      <w:r>
        <w:rPr>
          <w:rStyle w:val="10"/>
          <w:lang/>
        </w:rPr>
        <w:instrText xml:space="preserve"> </w:instrText>
      </w:r>
      <w:r>
        <w:rPr>
          <w:rStyle w:val="10"/>
          <w:lang/>
        </w:rPr>
        <w:fldChar w:fldCharType="separate"/>
      </w:r>
      <w:r>
        <w:rPr>
          <w:rStyle w:val="10"/>
          <w:rFonts w:ascii="Times New Roman" w:hAnsi="Times New Roman"/>
          <w:b/>
          <w:kern w:val="0"/>
          <w:lang/>
        </w:rPr>
        <w:t xml:space="preserve">4.4 </w:t>
      </w:r>
      <w:r>
        <w:rPr>
          <w:rStyle w:val="10"/>
          <w:rFonts w:hint="eastAsia" w:ascii="Times New Roman" w:hAnsi="Times New Roman"/>
          <w:b/>
          <w:kern w:val="0"/>
          <w:lang/>
        </w:rPr>
        <w:t>管理人对报告期内基金的投资策略和业绩表现说明</w:t>
      </w:r>
      <w:r>
        <w:rPr>
          <w:lang/>
        </w:rPr>
        <w:tab/>
      </w:r>
      <w:r>
        <w:rPr>
          <w:lang/>
        </w:rPr>
        <w:fldChar w:fldCharType="begin"/>
      </w:r>
      <w:r>
        <w:rPr>
          <w:lang/>
        </w:rPr>
        <w:instrText xml:space="preserve"> PAGEREF _Toc477955731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"_Toc477955732"</w:instrText>
      </w:r>
      <w:r>
        <w:rPr>
          <w:rStyle w:val="10"/>
          <w:lang/>
        </w:rPr>
        <w:instrText xml:space="preserve"> </w:instrText>
      </w:r>
      <w:r>
        <w:rPr>
          <w:rStyle w:val="10"/>
          <w:lang/>
        </w:rPr>
        <w:fldChar w:fldCharType="separate"/>
      </w:r>
      <w:r>
        <w:rPr>
          <w:rStyle w:val="10"/>
          <w:rFonts w:ascii="Times New Roman" w:hAnsi="Times New Roman"/>
          <w:b/>
          <w:kern w:val="0"/>
          <w:lang/>
        </w:rPr>
        <w:t xml:space="preserve">4.5 </w:t>
      </w:r>
      <w:r>
        <w:rPr>
          <w:rStyle w:val="10"/>
          <w:rFonts w:hint="eastAsia" w:ascii="Times New Roman" w:hAnsi="Times New Roman"/>
          <w:b/>
          <w:kern w:val="0"/>
          <w:lang/>
        </w:rPr>
        <w:t>管理人对宏观经济、证券市场及行业走势的简要展望</w:t>
      </w:r>
      <w:r>
        <w:rPr>
          <w:lang/>
        </w:rPr>
        <w:tab/>
      </w:r>
      <w:r>
        <w:rPr>
          <w:lang/>
        </w:rPr>
        <w:fldChar w:fldCharType="begin"/>
      </w:r>
      <w:r>
        <w:rPr>
          <w:lang/>
        </w:rPr>
        <w:instrText xml:space="preserve"> PAGEREF _Toc477955732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"_Toc477955733"</w:instrText>
      </w:r>
      <w:r>
        <w:rPr>
          <w:rStyle w:val="10"/>
          <w:lang/>
        </w:rPr>
        <w:instrText xml:space="preserve"> </w:instrText>
      </w:r>
      <w:r>
        <w:rPr>
          <w:rStyle w:val="10"/>
          <w:lang/>
        </w:rPr>
        <w:fldChar w:fldCharType="separate"/>
      </w:r>
      <w:r>
        <w:rPr>
          <w:rStyle w:val="10"/>
          <w:rFonts w:ascii="Times New Roman" w:hAnsi="Times New Roman"/>
          <w:b/>
          <w:kern w:val="0"/>
          <w:lang/>
        </w:rPr>
        <w:t xml:space="preserve">4.6 </w:t>
      </w:r>
      <w:r>
        <w:rPr>
          <w:rStyle w:val="10"/>
          <w:rFonts w:hint="eastAsia" w:ascii="Times New Roman" w:hAnsi="Times New Roman"/>
          <w:b/>
          <w:kern w:val="0"/>
          <w:lang/>
        </w:rPr>
        <w:t>管理人内部有关本基金的监察稽核工作情况</w:t>
      </w:r>
      <w:r>
        <w:rPr>
          <w:lang/>
        </w:rPr>
        <w:tab/>
      </w:r>
      <w:r>
        <w:rPr>
          <w:lang/>
        </w:rPr>
        <w:fldChar w:fldCharType="begin"/>
      </w:r>
      <w:r>
        <w:rPr>
          <w:lang/>
        </w:rPr>
        <w:instrText xml:space="preserve"> PAGEREF _Toc477955733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"_Toc477955734"</w:instrText>
      </w:r>
      <w:r>
        <w:rPr>
          <w:rStyle w:val="10"/>
          <w:lang/>
        </w:rPr>
        <w:instrText xml:space="preserve"> </w:instrText>
      </w:r>
      <w:r>
        <w:rPr>
          <w:rStyle w:val="10"/>
          <w:lang/>
        </w:rPr>
        <w:fldChar w:fldCharType="separate"/>
      </w:r>
      <w:r>
        <w:rPr>
          <w:rStyle w:val="10"/>
          <w:rFonts w:ascii="Times New Roman" w:hAnsi="Times New Roman"/>
          <w:b/>
          <w:kern w:val="0"/>
          <w:lang/>
        </w:rPr>
        <w:t xml:space="preserve">4.7 </w:t>
      </w:r>
      <w:r>
        <w:rPr>
          <w:rStyle w:val="10"/>
          <w:rFonts w:hint="eastAsia" w:ascii="Times New Roman" w:hAnsi="Times New Roman"/>
          <w:b/>
          <w:kern w:val="0"/>
          <w:lang/>
        </w:rPr>
        <w:t>管理人对报告期内基金估值程序等事项的说明</w:t>
      </w:r>
      <w:r>
        <w:rPr>
          <w:lang/>
        </w:rPr>
        <w:tab/>
      </w:r>
      <w:r>
        <w:rPr>
          <w:lang/>
        </w:rPr>
        <w:fldChar w:fldCharType="begin"/>
      </w:r>
      <w:r>
        <w:rPr>
          <w:lang/>
        </w:rPr>
        <w:instrText xml:space="preserve"> PAGEREF _Toc477955734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"_Toc477955735"</w:instrText>
      </w:r>
      <w:r>
        <w:rPr>
          <w:rStyle w:val="10"/>
          <w:lang/>
        </w:rPr>
        <w:instrText xml:space="preserve"> </w:instrText>
      </w:r>
      <w:r>
        <w:rPr>
          <w:rStyle w:val="10"/>
          <w:lang/>
        </w:rPr>
        <w:fldChar w:fldCharType="separate"/>
      </w:r>
      <w:r>
        <w:rPr>
          <w:rStyle w:val="10"/>
          <w:rFonts w:ascii="Times New Roman" w:hAnsi="Times New Roman"/>
          <w:b/>
          <w:kern w:val="0"/>
          <w:lang/>
        </w:rPr>
        <w:t xml:space="preserve">4.8 </w:t>
      </w:r>
      <w:r>
        <w:rPr>
          <w:rStyle w:val="10"/>
          <w:rFonts w:hint="eastAsia" w:ascii="Times New Roman" w:hAnsi="Times New Roman"/>
          <w:b/>
          <w:kern w:val="0"/>
          <w:lang/>
        </w:rPr>
        <w:t>管理人对报告期内基金利润分配情况的说明</w:t>
      </w:r>
      <w:r>
        <w:rPr>
          <w:lang/>
        </w:rPr>
        <w:tab/>
      </w:r>
      <w:r>
        <w:rPr>
          <w:lang/>
        </w:rPr>
        <w:fldChar w:fldCharType="begin"/>
      </w:r>
      <w:r>
        <w:rPr>
          <w:lang/>
        </w:rPr>
        <w:instrText xml:space="preserve"> PAGEREF _Toc477955735 \h </w:instrText>
      </w:r>
      <w:r>
        <w:rPr>
          <w:lang/>
        </w:rPr>
        <w:fldChar w:fldCharType="separate"/>
      </w:r>
      <w:r>
        <w:rPr>
          <w:lang/>
        </w:rPr>
        <w:t>16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"_Toc477955736"</w:instrText>
      </w:r>
      <w:r>
        <w:rPr>
          <w:rStyle w:val="10"/>
          <w:lang/>
        </w:rPr>
        <w:instrText xml:space="preserve"> </w:instrText>
      </w:r>
      <w:r>
        <w:rPr>
          <w:rStyle w:val="10"/>
          <w:lang/>
        </w:rPr>
        <w:fldChar w:fldCharType="separate"/>
      </w:r>
      <w:r>
        <w:rPr>
          <w:rStyle w:val="10"/>
          <w:rFonts w:ascii="Times New Roman" w:hAnsi="Times New Roman"/>
          <w:b/>
          <w:kern w:val="0"/>
          <w:lang/>
        </w:rPr>
        <w:t xml:space="preserve">§5  </w:t>
      </w:r>
      <w:r>
        <w:rPr>
          <w:rStyle w:val="10"/>
          <w:rFonts w:hint="eastAsia" w:ascii="Times New Roman" w:hAnsi="Times New Roman"/>
          <w:b/>
          <w:kern w:val="0"/>
          <w:lang/>
        </w:rPr>
        <w:t>托管人报告</w:t>
      </w:r>
      <w:r>
        <w:rPr>
          <w:lang/>
        </w:rPr>
        <w:tab/>
      </w:r>
      <w:r>
        <w:rPr>
          <w:lang/>
        </w:rPr>
        <w:fldChar w:fldCharType="begin"/>
      </w:r>
      <w:r>
        <w:rPr>
          <w:lang/>
        </w:rPr>
        <w:instrText xml:space="preserve"> PAGEREF _Toc477955736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"_Toc477955737"</w:instrText>
      </w:r>
      <w:r>
        <w:rPr>
          <w:rStyle w:val="10"/>
          <w:lang/>
        </w:rPr>
        <w:instrText xml:space="preserve"> </w:instrText>
      </w:r>
      <w:r>
        <w:rPr>
          <w:rStyle w:val="10"/>
          <w:lang/>
        </w:rPr>
        <w:fldChar w:fldCharType="separate"/>
      </w:r>
      <w:r>
        <w:rPr>
          <w:rStyle w:val="10"/>
          <w:rFonts w:ascii="Times New Roman" w:hAnsi="Times New Roman"/>
          <w:b/>
          <w:kern w:val="0"/>
          <w:lang/>
        </w:rPr>
        <w:t xml:space="preserve">5.1 </w:t>
      </w:r>
      <w:r>
        <w:rPr>
          <w:rStyle w:val="10"/>
          <w:rFonts w:hint="eastAsia" w:ascii="Times New Roman" w:hAnsi="Times New Roman"/>
          <w:b/>
          <w:kern w:val="0"/>
          <w:lang/>
        </w:rPr>
        <w:t>报告期内本基金托管人遵规守信情况声明</w:t>
      </w:r>
      <w:r>
        <w:rPr>
          <w:lang/>
        </w:rPr>
        <w:tab/>
      </w:r>
      <w:r>
        <w:rPr>
          <w:lang/>
        </w:rPr>
        <w:fldChar w:fldCharType="begin"/>
      </w:r>
      <w:r>
        <w:rPr>
          <w:lang/>
        </w:rPr>
        <w:instrText xml:space="preserve"> PAGEREF _Toc477955737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"_Toc477955738"</w:instrText>
      </w:r>
      <w:r>
        <w:rPr>
          <w:rStyle w:val="10"/>
          <w:lang/>
        </w:rPr>
        <w:instrText xml:space="preserve"> </w:instrText>
      </w:r>
      <w:r>
        <w:rPr>
          <w:rStyle w:val="10"/>
          <w:lang/>
        </w:rPr>
        <w:fldChar w:fldCharType="separate"/>
      </w:r>
      <w:r>
        <w:rPr>
          <w:rStyle w:val="10"/>
          <w:rFonts w:ascii="Times New Roman" w:hAnsi="Times New Roman"/>
          <w:b/>
          <w:kern w:val="0"/>
          <w:lang/>
        </w:rPr>
        <w:t xml:space="preserve">5.2 </w:t>
      </w:r>
      <w:r>
        <w:rPr>
          <w:rStyle w:val="10"/>
          <w:rFonts w:hint="eastAsia" w:ascii="Times New Roman" w:hAnsi="Times New Roman"/>
          <w:b/>
          <w:kern w:val="0"/>
          <w:lang/>
        </w:rPr>
        <w:t>托管人对报告期内本基金投资运作遵规守信、净值计算、利润分配等情况的说明</w:t>
      </w:r>
      <w:r>
        <w:rPr>
          <w:lang/>
        </w:rPr>
        <w:tab/>
      </w:r>
      <w:r>
        <w:rPr>
          <w:lang/>
        </w:rPr>
        <w:fldChar w:fldCharType="begin"/>
      </w:r>
      <w:r>
        <w:rPr>
          <w:lang/>
        </w:rPr>
        <w:instrText xml:space="preserve"> PAGEREF _Toc477955738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"_Toc477955739"</w:instrText>
      </w:r>
      <w:r>
        <w:rPr>
          <w:rStyle w:val="10"/>
          <w:lang/>
        </w:rPr>
        <w:instrText xml:space="preserve"> </w:instrText>
      </w:r>
      <w:r>
        <w:rPr>
          <w:rStyle w:val="10"/>
          <w:lang/>
        </w:rPr>
        <w:fldChar w:fldCharType="separate"/>
      </w:r>
      <w:r>
        <w:rPr>
          <w:rStyle w:val="10"/>
          <w:rFonts w:ascii="Times New Roman" w:hAnsi="Times New Roman"/>
          <w:b/>
          <w:kern w:val="0"/>
          <w:lang/>
        </w:rPr>
        <w:t xml:space="preserve">5.3 </w:t>
      </w:r>
      <w:r>
        <w:rPr>
          <w:rStyle w:val="10"/>
          <w:rFonts w:hint="eastAsia" w:ascii="Times New Roman" w:hAnsi="Times New Roman"/>
          <w:b/>
          <w:kern w:val="0"/>
          <w:lang/>
        </w:rPr>
        <w:t>托管人对本年度报告中财务信息等内容的真实、准确和完整发表意见</w:t>
      </w:r>
      <w:r>
        <w:rPr>
          <w:lang/>
        </w:rPr>
        <w:tab/>
      </w:r>
      <w:r>
        <w:rPr>
          <w:lang/>
        </w:rPr>
        <w:fldChar w:fldCharType="begin"/>
      </w:r>
      <w:r>
        <w:rPr>
          <w:lang/>
        </w:rPr>
        <w:instrText xml:space="preserve"> PAGEREF _Toc477955739 \h </w:instrText>
      </w:r>
      <w:r>
        <w:rPr>
          <w:lang/>
        </w:rPr>
        <w:fldChar w:fldCharType="separate"/>
      </w:r>
      <w:r>
        <w:rPr>
          <w:lang/>
        </w:rPr>
        <w:t>16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"_Toc477955740"</w:instrText>
      </w:r>
      <w:r>
        <w:rPr>
          <w:rStyle w:val="10"/>
          <w:lang/>
        </w:rPr>
        <w:instrText xml:space="preserve"> </w:instrText>
      </w:r>
      <w:r>
        <w:rPr>
          <w:rStyle w:val="10"/>
          <w:lang/>
        </w:rPr>
        <w:fldChar w:fldCharType="separate"/>
      </w:r>
      <w:r>
        <w:rPr>
          <w:rStyle w:val="10"/>
          <w:rFonts w:ascii="Times New Roman" w:hAnsi="Times New Roman"/>
          <w:b/>
          <w:kern w:val="0"/>
          <w:lang/>
        </w:rPr>
        <w:t xml:space="preserve">§6 </w:t>
      </w:r>
      <w:r>
        <w:rPr>
          <w:rStyle w:val="10"/>
          <w:rFonts w:hint="eastAsia" w:ascii="Times New Roman" w:hAnsi="Times New Roman"/>
          <w:b/>
          <w:kern w:val="0"/>
          <w:lang/>
        </w:rPr>
        <w:t>审计报告</w:t>
      </w:r>
      <w:r>
        <w:rPr>
          <w:lang/>
        </w:rPr>
        <w:tab/>
      </w:r>
      <w:r>
        <w:rPr>
          <w:lang/>
        </w:rPr>
        <w:fldChar w:fldCharType="begin"/>
      </w:r>
      <w:r>
        <w:rPr>
          <w:lang/>
        </w:rPr>
        <w:instrText xml:space="preserve"> PAGEREF _Toc477955740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"_Toc477955741"</w:instrText>
      </w:r>
      <w:r>
        <w:rPr>
          <w:rStyle w:val="10"/>
          <w:lang/>
        </w:rPr>
        <w:instrText xml:space="preserve"> </w:instrText>
      </w:r>
      <w:r>
        <w:rPr>
          <w:rStyle w:val="10"/>
          <w:lang/>
        </w:rPr>
        <w:fldChar w:fldCharType="separate"/>
      </w:r>
      <w:r>
        <w:rPr>
          <w:rStyle w:val="10"/>
          <w:rFonts w:ascii="Times New Roman" w:hAnsi="Times New Roman"/>
          <w:b/>
          <w:kern w:val="0"/>
          <w:lang/>
        </w:rPr>
        <w:t xml:space="preserve">6.1 </w:t>
      </w:r>
      <w:r>
        <w:rPr>
          <w:rStyle w:val="10"/>
          <w:rFonts w:hint="eastAsia" w:ascii="Times New Roman" w:hAnsi="Times New Roman"/>
          <w:b/>
          <w:kern w:val="0"/>
          <w:lang/>
        </w:rPr>
        <w:t>审计报告基本信息</w:t>
      </w:r>
      <w:r>
        <w:rPr>
          <w:lang/>
        </w:rPr>
        <w:tab/>
      </w:r>
      <w:r>
        <w:rPr>
          <w:lang/>
        </w:rPr>
        <w:fldChar w:fldCharType="begin"/>
      </w:r>
      <w:r>
        <w:rPr>
          <w:lang/>
        </w:rPr>
        <w:instrText xml:space="preserve"> PAGEREF _Toc477955741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"_Toc477955742"</w:instrText>
      </w:r>
      <w:r>
        <w:rPr>
          <w:rStyle w:val="10"/>
          <w:lang/>
        </w:rPr>
        <w:instrText xml:space="preserve"> </w:instrText>
      </w:r>
      <w:r>
        <w:rPr>
          <w:rStyle w:val="10"/>
          <w:lang/>
        </w:rPr>
        <w:fldChar w:fldCharType="separate"/>
      </w:r>
      <w:r>
        <w:rPr>
          <w:rStyle w:val="10"/>
          <w:rFonts w:ascii="Times New Roman" w:hAnsi="Times New Roman"/>
          <w:b/>
          <w:kern w:val="0"/>
          <w:lang/>
        </w:rPr>
        <w:t xml:space="preserve">6.2 </w:t>
      </w:r>
      <w:r>
        <w:rPr>
          <w:rStyle w:val="10"/>
          <w:rFonts w:hint="eastAsia" w:ascii="Times New Roman" w:hAnsi="Times New Roman"/>
          <w:b/>
          <w:kern w:val="0"/>
          <w:lang/>
        </w:rPr>
        <w:t>审计报告的基本内容</w:t>
      </w:r>
      <w:r>
        <w:rPr>
          <w:lang/>
        </w:rPr>
        <w:tab/>
      </w:r>
      <w:r>
        <w:rPr>
          <w:lang/>
        </w:rPr>
        <w:fldChar w:fldCharType="begin"/>
      </w:r>
      <w:r>
        <w:rPr>
          <w:lang/>
        </w:rPr>
        <w:instrText xml:space="preserve"> PAGEREF _Toc477955742 \h </w:instrText>
      </w:r>
      <w:r>
        <w:rPr>
          <w:lang/>
        </w:rPr>
        <w:fldChar w:fldCharType="separate"/>
      </w:r>
      <w:r>
        <w:rPr>
          <w:lang/>
        </w:rPr>
        <w:t>17</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"_Toc477955743"</w:instrText>
      </w:r>
      <w:r>
        <w:rPr>
          <w:rStyle w:val="10"/>
          <w:lang/>
        </w:rPr>
        <w:instrText xml:space="preserve"> </w:instrText>
      </w:r>
      <w:r>
        <w:rPr>
          <w:rStyle w:val="10"/>
          <w:lang/>
        </w:rPr>
        <w:fldChar w:fldCharType="separate"/>
      </w:r>
      <w:r>
        <w:rPr>
          <w:rStyle w:val="10"/>
          <w:rFonts w:ascii="Times New Roman" w:hAnsi="Times New Roman"/>
          <w:b/>
          <w:kern w:val="0"/>
          <w:lang/>
        </w:rPr>
        <w:t xml:space="preserve">§7 </w:t>
      </w:r>
      <w:r>
        <w:rPr>
          <w:rStyle w:val="10"/>
          <w:rFonts w:hint="eastAsia" w:ascii="Times New Roman" w:hAnsi="Times New Roman"/>
          <w:b/>
          <w:kern w:val="0"/>
          <w:lang/>
        </w:rPr>
        <w:t>年度财务报表</w:t>
      </w:r>
      <w:r>
        <w:rPr>
          <w:lang/>
        </w:rPr>
        <w:tab/>
      </w:r>
      <w:r>
        <w:rPr>
          <w:lang/>
        </w:rPr>
        <w:fldChar w:fldCharType="begin"/>
      </w:r>
      <w:r>
        <w:rPr>
          <w:lang/>
        </w:rPr>
        <w:instrText xml:space="preserve"> PAGEREF _Toc477955743 \h </w:instrText>
      </w:r>
      <w:r>
        <w:rPr>
          <w:lang/>
        </w:rPr>
        <w:fldChar w:fldCharType="separate"/>
      </w:r>
      <w:r>
        <w:rPr>
          <w:lang/>
        </w:rPr>
        <w:t>18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"_Toc477955744"</w:instrText>
      </w:r>
      <w:r>
        <w:rPr>
          <w:rStyle w:val="10"/>
          <w:lang/>
        </w:rPr>
        <w:instrText xml:space="preserve"> </w:instrText>
      </w:r>
      <w:r>
        <w:rPr>
          <w:rStyle w:val="10"/>
          <w:lang/>
        </w:rPr>
        <w:fldChar w:fldCharType="separate"/>
      </w:r>
      <w:r>
        <w:rPr>
          <w:rStyle w:val="10"/>
          <w:rFonts w:ascii="Times New Roman" w:hAnsi="Times New Roman"/>
          <w:b/>
          <w:kern w:val="0"/>
          <w:lang/>
        </w:rPr>
        <w:t xml:space="preserve">7.1 </w:t>
      </w:r>
      <w:r>
        <w:rPr>
          <w:rStyle w:val="10"/>
          <w:rFonts w:hint="eastAsia" w:ascii="Times New Roman" w:hAnsi="Times New Roman"/>
          <w:b/>
          <w:kern w:val="0"/>
          <w:lang/>
        </w:rPr>
        <w:t>资产负债表</w:t>
      </w:r>
      <w:r>
        <w:rPr>
          <w:lang/>
        </w:rPr>
        <w:tab/>
      </w:r>
      <w:r>
        <w:rPr>
          <w:lang/>
        </w:rPr>
        <w:fldChar w:fldCharType="begin"/>
      </w:r>
      <w:r>
        <w:rPr>
          <w:lang/>
        </w:rPr>
        <w:instrText xml:space="preserve"> PAGEREF _Toc477955744 \h </w:instrText>
      </w:r>
      <w:r>
        <w:rPr>
          <w:lang/>
        </w:rPr>
        <w:fldChar w:fldCharType="separate"/>
      </w:r>
      <w:r>
        <w:rPr>
          <w:lang/>
        </w:rPr>
        <w:t>18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"_Toc477955745"</w:instrText>
      </w:r>
      <w:r>
        <w:rPr>
          <w:rStyle w:val="10"/>
          <w:lang/>
        </w:rPr>
        <w:instrText xml:space="preserve"> </w:instrText>
      </w:r>
      <w:r>
        <w:rPr>
          <w:rStyle w:val="10"/>
          <w:lang/>
        </w:rPr>
        <w:fldChar w:fldCharType="separate"/>
      </w:r>
      <w:r>
        <w:rPr>
          <w:rStyle w:val="10"/>
          <w:rFonts w:ascii="Times New Roman" w:hAnsi="Times New Roman"/>
          <w:b/>
          <w:kern w:val="0"/>
          <w:lang/>
        </w:rPr>
        <w:t xml:space="preserve">7.2 </w:t>
      </w:r>
      <w:r>
        <w:rPr>
          <w:rStyle w:val="10"/>
          <w:rFonts w:hint="eastAsia" w:ascii="Times New Roman" w:hAnsi="Times New Roman"/>
          <w:b/>
          <w:kern w:val="0"/>
          <w:lang/>
        </w:rPr>
        <w:t>利润表</w:t>
      </w:r>
      <w:r>
        <w:rPr>
          <w:lang/>
        </w:rPr>
        <w:tab/>
      </w:r>
      <w:r>
        <w:rPr>
          <w:lang/>
        </w:rPr>
        <w:fldChar w:fldCharType="begin"/>
      </w:r>
      <w:r>
        <w:rPr>
          <w:lang/>
        </w:rPr>
        <w:instrText xml:space="preserve"> PAGEREF _Toc477955745 \h </w:instrText>
      </w:r>
      <w:r>
        <w:rPr>
          <w:lang/>
        </w:rPr>
        <w:fldChar w:fldCharType="separate"/>
      </w:r>
      <w:r>
        <w:rPr>
          <w:lang/>
        </w:rPr>
        <w:t>20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"_Toc477955746"</w:instrText>
      </w:r>
      <w:r>
        <w:rPr>
          <w:rStyle w:val="10"/>
          <w:lang/>
        </w:rPr>
        <w:instrText xml:space="preserve"> </w:instrText>
      </w:r>
      <w:r>
        <w:rPr>
          <w:rStyle w:val="10"/>
          <w:lang/>
        </w:rPr>
        <w:fldChar w:fldCharType="separate"/>
      </w:r>
      <w:r>
        <w:rPr>
          <w:rStyle w:val="10"/>
          <w:rFonts w:ascii="Times New Roman" w:hAnsi="Times New Roman"/>
          <w:b/>
          <w:kern w:val="0"/>
          <w:lang/>
        </w:rPr>
        <w:t xml:space="preserve">7.3 </w:t>
      </w:r>
      <w:r>
        <w:rPr>
          <w:rStyle w:val="10"/>
          <w:rFonts w:hint="eastAsia" w:ascii="Times New Roman" w:hAnsi="Times New Roman"/>
          <w:b/>
          <w:kern w:val="0"/>
          <w:lang/>
        </w:rPr>
        <w:t>所有者权益（基金净值）变动表</w:t>
      </w:r>
      <w:r>
        <w:rPr>
          <w:lang/>
        </w:rPr>
        <w:tab/>
      </w:r>
      <w:r>
        <w:rPr>
          <w:lang/>
        </w:rPr>
        <w:fldChar w:fldCharType="begin"/>
      </w:r>
      <w:r>
        <w:rPr>
          <w:lang/>
        </w:rPr>
        <w:instrText xml:space="preserve"> PAGEREF _Toc477955746 \h </w:instrText>
      </w:r>
      <w:r>
        <w:rPr>
          <w:lang/>
        </w:rPr>
        <w:fldChar w:fldCharType="separate"/>
      </w:r>
      <w:r>
        <w:rPr>
          <w:lang/>
        </w:rPr>
        <w:t>21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"_Toc477955747"</w:instrText>
      </w:r>
      <w:r>
        <w:rPr>
          <w:rStyle w:val="10"/>
          <w:lang/>
        </w:rPr>
        <w:instrText xml:space="preserve"> </w:instrText>
      </w:r>
      <w:r>
        <w:rPr>
          <w:rStyle w:val="10"/>
          <w:lang/>
        </w:rPr>
        <w:fldChar w:fldCharType="separate"/>
      </w:r>
      <w:r>
        <w:rPr>
          <w:rStyle w:val="10"/>
          <w:rFonts w:ascii="Times New Roman" w:hAnsi="Times New Roman"/>
          <w:b/>
          <w:kern w:val="0"/>
          <w:lang/>
        </w:rPr>
        <w:t xml:space="preserve">7.4 </w:t>
      </w:r>
      <w:r>
        <w:rPr>
          <w:rStyle w:val="10"/>
          <w:rFonts w:hint="eastAsia" w:ascii="Times New Roman" w:hAnsi="Times New Roman"/>
          <w:b/>
          <w:kern w:val="0"/>
          <w:lang/>
        </w:rPr>
        <w:t>报表附注</w:t>
      </w:r>
      <w:r>
        <w:rPr>
          <w:lang/>
        </w:rPr>
        <w:tab/>
      </w:r>
      <w:r>
        <w:rPr>
          <w:lang/>
        </w:rPr>
        <w:fldChar w:fldCharType="begin"/>
      </w:r>
      <w:r>
        <w:rPr>
          <w:lang/>
        </w:rPr>
        <w:instrText xml:space="preserve"> PAGEREF _Toc477955747 \h </w:instrText>
      </w:r>
      <w:r>
        <w:rPr>
          <w:lang/>
        </w:rPr>
        <w:fldChar w:fldCharType="separate"/>
      </w:r>
      <w:r>
        <w:rPr>
          <w:lang/>
        </w:rPr>
        <w:t>22</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"_Toc477955748"</w:instrText>
      </w:r>
      <w:r>
        <w:rPr>
          <w:rStyle w:val="10"/>
          <w:lang/>
        </w:rPr>
        <w:instrText xml:space="preserve"> </w:instrText>
      </w:r>
      <w:r>
        <w:rPr>
          <w:rStyle w:val="10"/>
          <w:lang/>
        </w:rPr>
        <w:fldChar w:fldCharType="separate"/>
      </w:r>
      <w:r>
        <w:rPr>
          <w:rStyle w:val="10"/>
          <w:rFonts w:ascii="Times New Roman" w:hAnsi="Times New Roman"/>
          <w:b/>
          <w:kern w:val="0"/>
          <w:lang/>
        </w:rPr>
        <w:t xml:space="preserve">§8  </w:t>
      </w:r>
      <w:r>
        <w:rPr>
          <w:rStyle w:val="10"/>
          <w:rFonts w:hint="eastAsia" w:ascii="Times New Roman" w:hAnsi="Times New Roman"/>
          <w:b/>
          <w:kern w:val="0"/>
          <w:lang/>
        </w:rPr>
        <w:t>投资组合报告</w:t>
      </w:r>
      <w:r>
        <w:rPr>
          <w:lang/>
        </w:rPr>
        <w:tab/>
      </w:r>
      <w:r>
        <w:rPr>
          <w:lang/>
        </w:rPr>
        <w:fldChar w:fldCharType="begin"/>
      </w:r>
      <w:r>
        <w:rPr>
          <w:lang/>
        </w:rPr>
        <w:instrText xml:space="preserve"> PAGEREF _Toc477955748 \h </w:instrText>
      </w:r>
      <w:r>
        <w:rPr>
          <w:lang/>
        </w:rPr>
        <w:fldChar w:fldCharType="separate"/>
      </w:r>
      <w:r>
        <w:rPr>
          <w:lang/>
        </w:rPr>
        <w:t>46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"_Toc477955749"</w:instrText>
      </w:r>
      <w:r>
        <w:rPr>
          <w:rStyle w:val="10"/>
          <w:lang/>
        </w:rPr>
        <w:instrText xml:space="preserve"> </w:instrText>
      </w:r>
      <w:r>
        <w:rPr>
          <w:rStyle w:val="10"/>
          <w:lang/>
        </w:rPr>
        <w:fldChar w:fldCharType="separate"/>
      </w:r>
      <w:r>
        <w:rPr>
          <w:rStyle w:val="10"/>
          <w:rFonts w:ascii="Times New Roman" w:hAnsi="Times New Roman"/>
          <w:b/>
          <w:kern w:val="0"/>
          <w:lang/>
        </w:rPr>
        <w:t xml:space="preserve">8.1 </w:t>
      </w:r>
      <w:r>
        <w:rPr>
          <w:rStyle w:val="10"/>
          <w:rFonts w:hint="eastAsia" w:ascii="Times New Roman" w:hAnsi="Times New Roman"/>
          <w:b/>
          <w:kern w:val="0"/>
          <w:lang/>
        </w:rPr>
        <w:t>期末基金资产组合情况</w:t>
      </w:r>
      <w:r>
        <w:rPr>
          <w:lang/>
        </w:rPr>
        <w:tab/>
      </w:r>
      <w:r>
        <w:rPr>
          <w:lang/>
        </w:rPr>
        <w:fldChar w:fldCharType="begin"/>
      </w:r>
      <w:r>
        <w:rPr>
          <w:lang/>
        </w:rPr>
        <w:instrText xml:space="preserve"> PAGEREF _Toc477955749 \h </w:instrText>
      </w:r>
      <w:r>
        <w:rPr>
          <w:lang/>
        </w:rPr>
        <w:fldChar w:fldCharType="separate"/>
      </w:r>
      <w:r>
        <w:rPr>
          <w:lang/>
        </w:rPr>
        <w:t>46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"_Toc477955750"</w:instrText>
      </w:r>
      <w:r>
        <w:rPr>
          <w:rStyle w:val="10"/>
          <w:lang/>
        </w:rPr>
        <w:instrText xml:space="preserve"> </w:instrText>
      </w:r>
      <w:r>
        <w:rPr>
          <w:rStyle w:val="10"/>
          <w:lang/>
        </w:rPr>
        <w:fldChar w:fldCharType="separate"/>
      </w:r>
      <w:r>
        <w:rPr>
          <w:rStyle w:val="10"/>
          <w:rFonts w:ascii="Times New Roman" w:hAnsi="Times New Roman"/>
          <w:b/>
          <w:kern w:val="0"/>
          <w:lang/>
        </w:rPr>
        <w:t xml:space="preserve">8.3 </w:t>
      </w:r>
      <w:r>
        <w:rPr>
          <w:rStyle w:val="10"/>
          <w:rFonts w:hint="eastAsia" w:ascii="Times New Roman" w:hAnsi="Times New Roman"/>
          <w:b/>
          <w:kern w:val="0"/>
          <w:lang/>
        </w:rPr>
        <w:t>期末按公允价值占基金资产净值比例大小排序的所有股票投资明细</w:t>
      </w:r>
      <w:r>
        <w:rPr>
          <w:lang/>
        </w:rPr>
        <w:tab/>
      </w:r>
      <w:r>
        <w:rPr>
          <w:lang/>
        </w:rPr>
        <w:fldChar w:fldCharType="begin"/>
      </w:r>
      <w:r>
        <w:rPr>
          <w:lang/>
        </w:rPr>
        <w:instrText xml:space="preserve"> PAGEREF _Toc477955750 \h </w:instrText>
      </w:r>
      <w:r>
        <w:rPr>
          <w:lang/>
        </w:rPr>
        <w:fldChar w:fldCharType="separate"/>
      </w:r>
      <w:r>
        <w:rPr>
          <w:lang/>
        </w:rPr>
        <w:t>48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"_Toc477955751"</w:instrText>
      </w:r>
      <w:r>
        <w:rPr>
          <w:rStyle w:val="10"/>
          <w:lang/>
        </w:rPr>
        <w:instrText xml:space="preserve"> </w:instrText>
      </w:r>
      <w:r>
        <w:rPr>
          <w:rStyle w:val="10"/>
          <w:lang/>
        </w:rPr>
        <w:fldChar w:fldCharType="separate"/>
      </w:r>
      <w:r>
        <w:rPr>
          <w:rStyle w:val="10"/>
          <w:rFonts w:ascii="Times New Roman" w:hAnsi="Times New Roman"/>
          <w:b/>
          <w:kern w:val="0"/>
          <w:lang/>
        </w:rPr>
        <w:t xml:space="preserve">8.4 </w:t>
      </w:r>
      <w:r>
        <w:rPr>
          <w:rStyle w:val="10"/>
          <w:rFonts w:hint="eastAsia" w:ascii="Times New Roman" w:hAnsi="Times New Roman"/>
          <w:b/>
          <w:kern w:val="0"/>
          <w:lang/>
        </w:rPr>
        <w:t>报告期内股票投资组合的重大变动</w:t>
      </w:r>
      <w:r>
        <w:rPr>
          <w:lang/>
        </w:rPr>
        <w:tab/>
      </w:r>
      <w:r>
        <w:rPr>
          <w:lang/>
        </w:rPr>
        <w:fldChar w:fldCharType="begin"/>
      </w:r>
      <w:r>
        <w:rPr>
          <w:lang/>
        </w:rPr>
        <w:instrText xml:space="preserve"> PAGEREF _Toc477955751 \h </w:instrText>
      </w:r>
      <w:r>
        <w:rPr>
          <w:lang/>
        </w:rPr>
        <w:fldChar w:fldCharType="separate"/>
      </w:r>
      <w:r>
        <w:rPr>
          <w:lang/>
        </w:rPr>
        <w:t>58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"_Toc477955752"</w:instrText>
      </w:r>
      <w:r>
        <w:rPr>
          <w:rStyle w:val="10"/>
          <w:lang/>
        </w:rPr>
        <w:instrText xml:space="preserve"> </w:instrText>
      </w:r>
      <w:r>
        <w:rPr>
          <w:rStyle w:val="10"/>
          <w:lang/>
        </w:rPr>
        <w:fldChar w:fldCharType="separate"/>
      </w:r>
      <w:r>
        <w:rPr>
          <w:rStyle w:val="10"/>
          <w:rFonts w:ascii="Times New Roman" w:hAnsi="Times New Roman"/>
          <w:b/>
          <w:kern w:val="0"/>
          <w:lang/>
        </w:rPr>
        <w:t xml:space="preserve">8.5 </w:t>
      </w:r>
      <w:r>
        <w:rPr>
          <w:rStyle w:val="10"/>
          <w:rFonts w:hint="eastAsia" w:ascii="Times New Roman" w:hAnsi="Times New Roman"/>
          <w:b/>
          <w:kern w:val="0"/>
          <w:lang/>
        </w:rPr>
        <w:t>期末按债券品种分类的债券投资组合</w:t>
      </w:r>
      <w:r>
        <w:rPr>
          <w:lang/>
        </w:rPr>
        <w:tab/>
      </w:r>
      <w:r>
        <w:rPr>
          <w:lang/>
        </w:rPr>
        <w:fldChar w:fldCharType="begin"/>
      </w:r>
      <w:r>
        <w:rPr>
          <w:lang/>
        </w:rPr>
        <w:instrText xml:space="preserve"> PAGEREF _Toc477955752 \h </w:instrText>
      </w:r>
      <w:r>
        <w:rPr>
          <w:lang/>
        </w:rPr>
        <w:fldChar w:fldCharType="separate"/>
      </w:r>
      <w:r>
        <w:rPr>
          <w:lang/>
        </w:rPr>
        <w:t>60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"_Toc477955753"</w:instrText>
      </w:r>
      <w:r>
        <w:rPr>
          <w:rStyle w:val="10"/>
          <w:lang/>
        </w:rPr>
        <w:instrText xml:space="preserve"> </w:instrText>
      </w:r>
      <w:r>
        <w:rPr>
          <w:rStyle w:val="10"/>
          <w:lang/>
        </w:rPr>
        <w:fldChar w:fldCharType="separate"/>
      </w:r>
      <w:r>
        <w:rPr>
          <w:rStyle w:val="10"/>
          <w:rFonts w:ascii="Times New Roman" w:hAnsi="Times New Roman"/>
          <w:b/>
          <w:kern w:val="0"/>
          <w:lang/>
        </w:rPr>
        <w:t xml:space="preserve">8.6 </w:t>
      </w:r>
      <w:r>
        <w:rPr>
          <w:rStyle w:val="10"/>
          <w:rFonts w:hint="eastAsia" w:ascii="Times New Roman" w:hAnsi="Times New Roman"/>
          <w:b/>
          <w:kern w:val="0"/>
          <w:lang/>
        </w:rPr>
        <w:t>期末按公允价值占基金资产净值比例大小排序的前五名债券投资明细</w:t>
      </w:r>
      <w:r>
        <w:rPr>
          <w:lang/>
        </w:rPr>
        <w:tab/>
      </w:r>
      <w:r>
        <w:rPr>
          <w:lang/>
        </w:rPr>
        <w:fldChar w:fldCharType="begin"/>
      </w:r>
      <w:r>
        <w:rPr>
          <w:lang/>
        </w:rPr>
        <w:instrText xml:space="preserve"> PAGEREF _Toc477955753 \h </w:instrText>
      </w:r>
      <w:r>
        <w:rPr>
          <w:lang/>
        </w:rPr>
        <w:fldChar w:fldCharType="separate"/>
      </w:r>
      <w:r>
        <w:rPr>
          <w:lang/>
        </w:rPr>
        <w:t>60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"_Toc477955754"</w:instrText>
      </w:r>
      <w:r>
        <w:rPr>
          <w:rStyle w:val="10"/>
          <w:lang/>
        </w:rPr>
        <w:instrText xml:space="preserve"> </w:instrText>
      </w:r>
      <w:r>
        <w:rPr>
          <w:rStyle w:val="10"/>
          <w:lang/>
        </w:rPr>
        <w:fldChar w:fldCharType="separate"/>
      </w:r>
      <w:r>
        <w:rPr>
          <w:rStyle w:val="10"/>
          <w:rFonts w:ascii="Times New Roman" w:hAnsi="Times New Roman"/>
          <w:b/>
          <w:kern w:val="0"/>
          <w:lang/>
        </w:rPr>
        <w:t xml:space="preserve">8.7 </w:t>
      </w:r>
      <w:r>
        <w:rPr>
          <w:rStyle w:val="10"/>
          <w:rFonts w:hint="eastAsia" w:ascii="Times New Roman" w:hAnsi="Times New Roman"/>
          <w:b/>
          <w:kern w:val="0"/>
          <w:lang/>
        </w:rPr>
        <w:t>期末按公允价值占基金资产净值比例大小排序的所有资产支持证券投资明细</w:t>
      </w:r>
      <w:r>
        <w:rPr>
          <w:lang/>
        </w:rPr>
        <w:tab/>
      </w:r>
      <w:r>
        <w:rPr>
          <w:lang/>
        </w:rPr>
        <w:fldChar w:fldCharType="begin"/>
      </w:r>
      <w:r>
        <w:rPr>
          <w:lang/>
        </w:rPr>
        <w:instrText xml:space="preserve"> PAGEREF _Toc477955754 \h </w:instrText>
      </w:r>
      <w:r>
        <w:rPr>
          <w:lang/>
        </w:rPr>
        <w:fldChar w:fldCharType="separate"/>
      </w:r>
      <w:r>
        <w:rPr>
          <w:lang/>
        </w:rPr>
        <w:t>61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"_Toc477955755"</w:instrText>
      </w:r>
      <w:r>
        <w:rPr>
          <w:rStyle w:val="10"/>
          <w:lang/>
        </w:rPr>
        <w:instrText xml:space="preserve"> </w:instrText>
      </w:r>
      <w:r>
        <w:rPr>
          <w:rStyle w:val="10"/>
          <w:lang/>
        </w:rPr>
        <w:fldChar w:fldCharType="separate"/>
      </w:r>
      <w:r>
        <w:rPr>
          <w:rStyle w:val="10"/>
          <w:rFonts w:ascii="Times New Roman" w:hAnsi="Times New Roman"/>
          <w:b/>
          <w:kern w:val="0"/>
          <w:lang/>
        </w:rPr>
        <w:t xml:space="preserve">8.8 </w:t>
      </w:r>
      <w:r>
        <w:rPr>
          <w:rStyle w:val="10"/>
          <w:rFonts w:hint="eastAsia" w:ascii="Times New Roman" w:hAnsi="Times New Roman"/>
          <w:b/>
          <w:kern w:val="0"/>
          <w:lang/>
        </w:rPr>
        <w:t>报告期末按公允价值占基金资产净值比例大小排序的前五名贵金属投资明细</w:t>
      </w:r>
      <w:r>
        <w:rPr>
          <w:lang/>
        </w:rPr>
        <w:tab/>
      </w:r>
      <w:r>
        <w:rPr>
          <w:lang/>
        </w:rPr>
        <w:fldChar w:fldCharType="begin"/>
      </w:r>
      <w:r>
        <w:rPr>
          <w:lang/>
        </w:rPr>
        <w:instrText xml:space="preserve"> PAGEREF _Toc477955755 \h </w:instrText>
      </w:r>
      <w:r>
        <w:rPr>
          <w:lang/>
        </w:rPr>
        <w:fldChar w:fldCharType="separate"/>
      </w:r>
      <w:r>
        <w:rPr>
          <w:lang/>
        </w:rPr>
        <w:t>61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"_Toc477955756"</w:instrText>
      </w:r>
      <w:r>
        <w:rPr>
          <w:rStyle w:val="10"/>
          <w:lang/>
        </w:rPr>
        <w:instrText xml:space="preserve"> </w:instrText>
      </w:r>
      <w:r>
        <w:rPr>
          <w:rStyle w:val="10"/>
          <w:lang/>
        </w:rPr>
        <w:fldChar w:fldCharType="separate"/>
      </w:r>
      <w:r>
        <w:rPr>
          <w:rStyle w:val="10"/>
          <w:rFonts w:ascii="Times New Roman" w:hAnsi="Times New Roman"/>
          <w:b/>
          <w:kern w:val="0"/>
          <w:lang/>
        </w:rPr>
        <w:t xml:space="preserve">8.9 </w:t>
      </w:r>
      <w:r>
        <w:rPr>
          <w:rStyle w:val="10"/>
          <w:rFonts w:hint="eastAsia" w:ascii="Times New Roman" w:hAnsi="Times New Roman"/>
          <w:b/>
          <w:kern w:val="0"/>
          <w:lang/>
        </w:rPr>
        <w:t>期末按公允价值占基金资产净值比例大小排序的前五名权证投资明细</w:t>
      </w:r>
      <w:r>
        <w:rPr>
          <w:lang/>
        </w:rPr>
        <w:tab/>
      </w:r>
      <w:r>
        <w:rPr>
          <w:lang/>
        </w:rPr>
        <w:fldChar w:fldCharType="begin"/>
      </w:r>
      <w:r>
        <w:rPr>
          <w:lang/>
        </w:rPr>
        <w:instrText xml:space="preserve"> PAGEREF _Toc477955756 \h </w:instrText>
      </w:r>
      <w:r>
        <w:rPr>
          <w:lang/>
        </w:rPr>
        <w:fldChar w:fldCharType="separate"/>
      </w:r>
      <w:r>
        <w:rPr>
          <w:lang/>
        </w:rPr>
        <w:t>61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"_Toc477955757"</w:instrText>
      </w:r>
      <w:r>
        <w:rPr>
          <w:rStyle w:val="10"/>
          <w:lang/>
        </w:rPr>
        <w:instrText xml:space="preserve"> </w:instrText>
      </w:r>
      <w:r>
        <w:rPr>
          <w:rStyle w:val="10"/>
          <w:lang/>
        </w:rPr>
        <w:fldChar w:fldCharType="separate"/>
      </w:r>
      <w:r>
        <w:rPr>
          <w:rStyle w:val="10"/>
          <w:rFonts w:ascii="Times New Roman" w:hAnsi="Times New Roman"/>
          <w:b/>
          <w:kern w:val="0"/>
          <w:lang/>
        </w:rPr>
        <w:t xml:space="preserve">8.10 </w:t>
      </w:r>
      <w:r>
        <w:rPr>
          <w:rStyle w:val="10"/>
          <w:rFonts w:hint="eastAsia" w:ascii="Times New Roman" w:hAnsi="Times New Roman"/>
          <w:b/>
          <w:kern w:val="0"/>
          <w:lang/>
        </w:rPr>
        <w:t>报告期末本基金投资的股指期货交易情况说明</w:t>
      </w:r>
      <w:r>
        <w:rPr>
          <w:lang/>
        </w:rPr>
        <w:tab/>
      </w:r>
      <w:r>
        <w:rPr>
          <w:lang/>
        </w:rPr>
        <w:fldChar w:fldCharType="begin"/>
      </w:r>
      <w:r>
        <w:rPr>
          <w:lang/>
        </w:rPr>
        <w:instrText xml:space="preserve"> PAGEREF _Toc477955757 \h </w:instrText>
      </w:r>
      <w:r>
        <w:rPr>
          <w:lang/>
        </w:rPr>
        <w:fldChar w:fldCharType="separate"/>
      </w:r>
      <w:r>
        <w:rPr>
          <w:lang/>
        </w:rPr>
        <w:t>61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"_Toc477955758"</w:instrText>
      </w:r>
      <w:r>
        <w:rPr>
          <w:rStyle w:val="10"/>
          <w:lang/>
        </w:rPr>
        <w:instrText xml:space="preserve"> </w:instrText>
      </w:r>
      <w:r>
        <w:rPr>
          <w:rStyle w:val="10"/>
          <w:lang/>
        </w:rPr>
        <w:fldChar w:fldCharType="separate"/>
      </w:r>
      <w:r>
        <w:rPr>
          <w:rStyle w:val="10"/>
          <w:rFonts w:ascii="Times New Roman" w:hAnsi="Times New Roman"/>
          <w:b/>
          <w:kern w:val="0"/>
          <w:lang/>
        </w:rPr>
        <w:t xml:space="preserve">8.11 </w:t>
      </w:r>
      <w:r>
        <w:rPr>
          <w:rStyle w:val="10"/>
          <w:rFonts w:hint="eastAsia" w:ascii="Times New Roman" w:hAnsi="Times New Roman"/>
          <w:b/>
          <w:kern w:val="0"/>
          <w:lang/>
        </w:rPr>
        <w:t>报告期末本基金投资的国债期货交易情况说明</w:t>
      </w:r>
      <w:r>
        <w:rPr>
          <w:lang/>
        </w:rPr>
        <w:tab/>
      </w:r>
      <w:r>
        <w:rPr>
          <w:lang/>
        </w:rPr>
        <w:fldChar w:fldCharType="begin"/>
      </w:r>
      <w:r>
        <w:rPr>
          <w:lang/>
        </w:rPr>
        <w:instrText xml:space="preserve"> PAGEREF _Toc477955758 \h </w:instrText>
      </w:r>
      <w:r>
        <w:rPr>
          <w:lang/>
        </w:rPr>
        <w:fldChar w:fldCharType="separate"/>
      </w:r>
      <w:r>
        <w:rPr>
          <w:lang/>
        </w:rPr>
        <w:t>61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"_Toc477955759"</w:instrText>
      </w:r>
      <w:r>
        <w:rPr>
          <w:rStyle w:val="10"/>
          <w:lang/>
        </w:rPr>
        <w:instrText xml:space="preserve"> </w:instrText>
      </w:r>
      <w:r>
        <w:rPr>
          <w:rStyle w:val="10"/>
          <w:lang/>
        </w:rPr>
        <w:fldChar w:fldCharType="separate"/>
      </w:r>
      <w:r>
        <w:rPr>
          <w:rStyle w:val="10"/>
          <w:rFonts w:ascii="Times New Roman" w:hAnsi="Times New Roman"/>
          <w:b/>
          <w:kern w:val="0"/>
          <w:lang/>
        </w:rPr>
        <w:t xml:space="preserve">8.12 </w:t>
      </w:r>
      <w:r>
        <w:rPr>
          <w:rStyle w:val="10"/>
          <w:rFonts w:hint="eastAsia" w:ascii="Times New Roman" w:hAnsi="Times New Roman"/>
          <w:b/>
          <w:kern w:val="0"/>
          <w:lang/>
        </w:rPr>
        <w:t>投资组合报告附注</w:t>
      </w:r>
      <w:r>
        <w:rPr>
          <w:lang/>
        </w:rPr>
        <w:tab/>
      </w:r>
      <w:r>
        <w:rPr>
          <w:lang/>
        </w:rPr>
        <w:fldChar w:fldCharType="begin"/>
      </w:r>
      <w:r>
        <w:rPr>
          <w:lang/>
        </w:rPr>
        <w:instrText xml:space="preserve"> PAGEREF _Toc477955759 \h </w:instrText>
      </w:r>
      <w:r>
        <w:rPr>
          <w:lang/>
        </w:rPr>
        <w:fldChar w:fldCharType="separate"/>
      </w:r>
      <w:r>
        <w:rPr>
          <w:lang/>
        </w:rPr>
        <w:t>61</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"_Toc477955760"</w:instrText>
      </w:r>
      <w:r>
        <w:rPr>
          <w:rStyle w:val="10"/>
          <w:lang/>
        </w:rPr>
        <w:instrText xml:space="preserve"> </w:instrText>
      </w:r>
      <w:r>
        <w:rPr>
          <w:rStyle w:val="10"/>
          <w:lang/>
        </w:rPr>
        <w:fldChar w:fldCharType="separate"/>
      </w:r>
      <w:r>
        <w:rPr>
          <w:rStyle w:val="10"/>
          <w:rFonts w:ascii="Times New Roman" w:hAnsi="Times New Roman"/>
          <w:b/>
          <w:kern w:val="0"/>
          <w:lang/>
        </w:rPr>
        <w:t xml:space="preserve">§9 </w:t>
      </w:r>
      <w:r>
        <w:rPr>
          <w:rStyle w:val="10"/>
          <w:rFonts w:hint="eastAsia" w:ascii="Times New Roman" w:hAnsi="Times New Roman"/>
          <w:b/>
          <w:kern w:val="0"/>
          <w:lang/>
        </w:rPr>
        <w:t>基金份额持有人信息</w:t>
      </w:r>
      <w:r>
        <w:rPr>
          <w:lang/>
        </w:rPr>
        <w:tab/>
      </w:r>
      <w:r>
        <w:rPr>
          <w:lang/>
        </w:rPr>
        <w:fldChar w:fldCharType="begin"/>
      </w:r>
      <w:r>
        <w:rPr>
          <w:lang/>
        </w:rPr>
        <w:instrText xml:space="preserve"> PAGEREF _Toc477955760 \h </w:instrText>
      </w:r>
      <w:r>
        <w:rPr>
          <w:lang/>
        </w:rPr>
        <w:fldChar w:fldCharType="separate"/>
      </w:r>
      <w:r>
        <w:rPr>
          <w:lang/>
        </w:rPr>
        <w:t>62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"_Toc477955761"</w:instrText>
      </w:r>
      <w:r>
        <w:rPr>
          <w:rStyle w:val="10"/>
          <w:lang/>
        </w:rPr>
        <w:instrText xml:space="preserve"> </w:instrText>
      </w:r>
      <w:r>
        <w:rPr>
          <w:rStyle w:val="10"/>
          <w:lang/>
        </w:rPr>
        <w:fldChar w:fldCharType="separate"/>
      </w:r>
      <w:r>
        <w:rPr>
          <w:rStyle w:val="10"/>
          <w:rFonts w:ascii="Times New Roman" w:hAnsi="Times New Roman"/>
          <w:b/>
          <w:kern w:val="0"/>
          <w:lang/>
        </w:rPr>
        <w:t xml:space="preserve">9.1 </w:t>
      </w:r>
      <w:r>
        <w:rPr>
          <w:rStyle w:val="10"/>
          <w:rFonts w:hint="eastAsia" w:ascii="Times New Roman" w:hAnsi="Times New Roman"/>
          <w:b/>
          <w:kern w:val="0"/>
          <w:lang/>
        </w:rPr>
        <w:t>期末基金份额持有人户数及持有人结构</w:t>
      </w:r>
      <w:r>
        <w:rPr>
          <w:lang/>
        </w:rPr>
        <w:tab/>
      </w:r>
      <w:r>
        <w:rPr>
          <w:lang/>
        </w:rPr>
        <w:fldChar w:fldCharType="begin"/>
      </w:r>
      <w:r>
        <w:rPr>
          <w:lang/>
        </w:rPr>
        <w:instrText xml:space="preserve"> PAGEREF _Toc477955761 \h </w:instrText>
      </w:r>
      <w:r>
        <w:rPr>
          <w:lang/>
        </w:rPr>
        <w:fldChar w:fldCharType="separate"/>
      </w:r>
      <w:r>
        <w:rPr>
          <w:lang/>
        </w:rPr>
        <w:t>62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"_Toc477955762"</w:instrText>
      </w:r>
      <w:r>
        <w:rPr>
          <w:rStyle w:val="10"/>
          <w:lang/>
        </w:rPr>
        <w:instrText xml:space="preserve"> </w:instrText>
      </w:r>
      <w:r>
        <w:rPr>
          <w:rStyle w:val="10"/>
          <w:lang/>
        </w:rPr>
        <w:fldChar w:fldCharType="separate"/>
      </w:r>
      <w:r>
        <w:rPr>
          <w:rStyle w:val="10"/>
          <w:rFonts w:ascii="Times New Roman" w:hAnsi="Times New Roman"/>
          <w:b/>
          <w:kern w:val="0"/>
          <w:lang/>
        </w:rPr>
        <w:t xml:space="preserve">9.2 </w:t>
      </w:r>
      <w:r>
        <w:rPr>
          <w:rStyle w:val="10"/>
          <w:rFonts w:hint="eastAsia" w:ascii="Times New Roman" w:hAnsi="Times New Roman"/>
          <w:b/>
          <w:kern w:val="0"/>
          <w:lang/>
        </w:rPr>
        <w:t>期末基金管理人的从业人员持有本基金的情况</w:t>
      </w:r>
      <w:r>
        <w:rPr>
          <w:lang/>
        </w:rPr>
        <w:tab/>
      </w:r>
      <w:r>
        <w:rPr>
          <w:lang/>
        </w:rPr>
        <w:fldChar w:fldCharType="begin"/>
      </w:r>
      <w:r>
        <w:rPr>
          <w:lang/>
        </w:rPr>
        <w:instrText xml:space="preserve"> PAGEREF _Toc477955762 \h </w:instrText>
      </w:r>
      <w:r>
        <w:rPr>
          <w:lang/>
        </w:rPr>
        <w:fldChar w:fldCharType="separate"/>
      </w:r>
      <w:r>
        <w:rPr>
          <w:lang/>
        </w:rPr>
        <w:t>63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"_Toc477955763"</w:instrText>
      </w:r>
      <w:r>
        <w:rPr>
          <w:rStyle w:val="10"/>
          <w:lang/>
        </w:rPr>
        <w:instrText xml:space="preserve"> </w:instrText>
      </w:r>
      <w:r>
        <w:rPr>
          <w:rStyle w:val="10"/>
          <w:lang/>
        </w:rPr>
        <w:fldChar w:fldCharType="separate"/>
      </w:r>
      <w:r>
        <w:rPr>
          <w:rStyle w:val="10"/>
          <w:rFonts w:ascii="Times New Roman" w:hAnsi="Times New Roman"/>
          <w:b/>
          <w:kern w:val="0"/>
          <w:lang/>
        </w:rPr>
        <w:t xml:space="preserve">9.3 </w:t>
      </w:r>
      <w:r>
        <w:rPr>
          <w:rStyle w:val="10"/>
          <w:rFonts w:hint="eastAsia" w:ascii="Times New Roman" w:hAnsi="Times New Roman"/>
          <w:b/>
          <w:kern w:val="0"/>
          <w:lang/>
        </w:rPr>
        <w:t>期末基金管理人的从业人员持有本开放式基金份额总量区间情况</w:t>
      </w:r>
      <w:r>
        <w:rPr>
          <w:lang/>
        </w:rPr>
        <w:tab/>
      </w:r>
      <w:r>
        <w:rPr>
          <w:lang/>
        </w:rPr>
        <w:fldChar w:fldCharType="begin"/>
      </w:r>
      <w:r>
        <w:rPr>
          <w:lang/>
        </w:rPr>
        <w:instrText xml:space="preserve"> PAGEREF _Toc477955763 \h </w:instrText>
      </w:r>
      <w:r>
        <w:rPr>
          <w:lang/>
        </w:rPr>
        <w:fldChar w:fldCharType="separate"/>
      </w:r>
      <w:r>
        <w:rPr>
          <w:lang/>
        </w:rPr>
        <w:t>63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"_Toc477955764"</w:instrText>
      </w:r>
      <w:r>
        <w:rPr>
          <w:rStyle w:val="10"/>
          <w:lang/>
        </w:rPr>
        <w:instrText xml:space="preserve"> </w:instrText>
      </w:r>
      <w:r>
        <w:rPr>
          <w:rStyle w:val="10"/>
          <w:lang/>
        </w:rPr>
        <w:fldChar w:fldCharType="separate"/>
      </w:r>
      <w:r>
        <w:rPr>
          <w:rStyle w:val="10"/>
          <w:rFonts w:ascii="Times New Roman" w:hAnsi="Times New Roman"/>
          <w:b/>
          <w:kern w:val="0"/>
          <w:lang/>
        </w:rPr>
        <w:t xml:space="preserve">§10 </w:t>
      </w:r>
      <w:r>
        <w:rPr>
          <w:rStyle w:val="10"/>
          <w:rFonts w:hint="eastAsia" w:ascii="Times New Roman" w:hAnsi="Times New Roman"/>
          <w:b/>
          <w:kern w:val="0"/>
          <w:lang/>
        </w:rPr>
        <w:t>开放式基金份额变动</w:t>
      </w:r>
      <w:r>
        <w:rPr>
          <w:lang/>
        </w:rPr>
        <w:tab/>
      </w:r>
      <w:r>
        <w:rPr>
          <w:lang/>
        </w:rPr>
        <w:fldChar w:fldCharType="begin"/>
      </w:r>
      <w:r>
        <w:rPr>
          <w:lang/>
        </w:rPr>
        <w:instrText xml:space="preserve"> PAGEREF _Toc477955764 \h </w:instrText>
      </w:r>
      <w:r>
        <w:rPr>
          <w:lang/>
        </w:rPr>
        <w:fldChar w:fldCharType="separate"/>
      </w:r>
      <w:r>
        <w:rPr>
          <w:lang/>
        </w:rPr>
        <w:t>64</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"_Toc477955765"</w:instrText>
      </w:r>
      <w:r>
        <w:rPr>
          <w:rStyle w:val="10"/>
          <w:lang/>
        </w:rPr>
        <w:instrText xml:space="preserve"> </w:instrText>
      </w:r>
      <w:r>
        <w:rPr>
          <w:rStyle w:val="10"/>
          <w:lang/>
        </w:rPr>
        <w:fldChar w:fldCharType="separate"/>
      </w:r>
      <w:r>
        <w:rPr>
          <w:rStyle w:val="10"/>
          <w:rFonts w:ascii="Times New Roman" w:hAnsi="Times New Roman"/>
          <w:b/>
          <w:kern w:val="0"/>
          <w:lang/>
        </w:rPr>
        <w:t xml:space="preserve">§11 </w:t>
      </w:r>
      <w:r>
        <w:rPr>
          <w:rStyle w:val="10"/>
          <w:rFonts w:hint="eastAsia" w:ascii="Times New Roman" w:hAnsi="Times New Roman"/>
          <w:b/>
          <w:kern w:val="0"/>
          <w:lang/>
        </w:rPr>
        <w:t>重大事件揭示</w:t>
      </w:r>
      <w:r>
        <w:rPr>
          <w:lang/>
        </w:rPr>
        <w:tab/>
      </w:r>
      <w:r>
        <w:rPr>
          <w:lang/>
        </w:rPr>
        <w:fldChar w:fldCharType="begin"/>
      </w:r>
      <w:r>
        <w:rPr>
          <w:lang/>
        </w:rPr>
        <w:instrText xml:space="preserve"> PAGEREF _Toc477955765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"_Toc477955766"</w:instrText>
      </w:r>
      <w:r>
        <w:rPr>
          <w:rStyle w:val="10"/>
          <w:lang/>
        </w:rPr>
        <w:instrText xml:space="preserve"> </w:instrText>
      </w:r>
      <w:r>
        <w:rPr>
          <w:rStyle w:val="10"/>
          <w:lang/>
        </w:rPr>
        <w:fldChar w:fldCharType="separate"/>
      </w:r>
      <w:r>
        <w:rPr>
          <w:rStyle w:val="10"/>
          <w:rFonts w:ascii="Times New Roman" w:hAnsi="Times New Roman"/>
          <w:b/>
          <w:kern w:val="0"/>
          <w:lang/>
        </w:rPr>
        <w:t xml:space="preserve">11.1 </w:t>
      </w:r>
      <w:r>
        <w:rPr>
          <w:rStyle w:val="10"/>
          <w:rFonts w:hint="eastAsia" w:ascii="Times New Roman" w:hAnsi="Times New Roman"/>
          <w:b/>
          <w:kern w:val="0"/>
          <w:lang/>
        </w:rPr>
        <w:t>基金份额持有人大会决议</w:t>
      </w:r>
      <w:r>
        <w:rPr>
          <w:lang/>
        </w:rPr>
        <w:tab/>
      </w:r>
      <w:r>
        <w:rPr>
          <w:lang/>
        </w:rPr>
        <w:fldChar w:fldCharType="begin"/>
      </w:r>
      <w:r>
        <w:rPr>
          <w:lang/>
        </w:rPr>
        <w:instrText xml:space="preserve"> PAGEREF _Toc477955766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"_Toc477955767"</w:instrText>
      </w:r>
      <w:r>
        <w:rPr>
          <w:rStyle w:val="10"/>
          <w:lang/>
        </w:rPr>
        <w:instrText xml:space="preserve"> </w:instrText>
      </w:r>
      <w:r>
        <w:rPr>
          <w:rStyle w:val="10"/>
          <w:lang/>
        </w:rPr>
        <w:fldChar w:fldCharType="separate"/>
      </w:r>
      <w:r>
        <w:rPr>
          <w:rStyle w:val="10"/>
          <w:rFonts w:ascii="Times New Roman" w:hAnsi="Times New Roman"/>
          <w:b/>
          <w:kern w:val="0"/>
          <w:lang/>
        </w:rPr>
        <w:t xml:space="preserve">11.2 </w:t>
      </w:r>
      <w:r>
        <w:rPr>
          <w:rStyle w:val="10"/>
          <w:rFonts w:hint="eastAsia" w:ascii="Times New Roman" w:hAnsi="Times New Roman"/>
          <w:b/>
          <w:kern w:val="0"/>
          <w:lang/>
        </w:rPr>
        <w:t>基金管理人、基金托管人的专门基金托管部门的重大人事变动</w:t>
      </w:r>
      <w:r>
        <w:rPr>
          <w:lang/>
        </w:rPr>
        <w:tab/>
      </w:r>
      <w:r>
        <w:rPr>
          <w:lang/>
        </w:rPr>
        <w:fldChar w:fldCharType="begin"/>
      </w:r>
      <w:r>
        <w:rPr>
          <w:lang/>
        </w:rPr>
        <w:instrText xml:space="preserve"> PAGEREF _Toc477955767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"_Toc477955768"</w:instrText>
      </w:r>
      <w:r>
        <w:rPr>
          <w:rStyle w:val="10"/>
          <w:lang/>
        </w:rPr>
        <w:instrText xml:space="preserve"> </w:instrText>
      </w:r>
      <w:r>
        <w:rPr>
          <w:rStyle w:val="10"/>
          <w:lang/>
        </w:rPr>
        <w:fldChar w:fldCharType="separate"/>
      </w:r>
      <w:r>
        <w:rPr>
          <w:rStyle w:val="10"/>
          <w:rFonts w:ascii="Times New Roman" w:hAnsi="Times New Roman"/>
          <w:b/>
          <w:kern w:val="0"/>
          <w:lang/>
        </w:rPr>
        <w:t xml:space="preserve">11.3 </w:t>
      </w:r>
      <w:r>
        <w:rPr>
          <w:rStyle w:val="10"/>
          <w:rFonts w:hint="eastAsia" w:ascii="Times New Roman" w:hAnsi="Times New Roman"/>
          <w:b/>
          <w:kern w:val="0"/>
          <w:lang/>
        </w:rPr>
        <w:t>涉及基金管理人、基金财产、基金托管业务的诉讼</w:t>
      </w:r>
      <w:r>
        <w:rPr>
          <w:lang/>
        </w:rPr>
        <w:tab/>
      </w:r>
      <w:r>
        <w:rPr>
          <w:lang/>
        </w:rPr>
        <w:fldChar w:fldCharType="begin"/>
      </w:r>
      <w:r>
        <w:rPr>
          <w:lang/>
        </w:rPr>
        <w:instrText xml:space="preserve"> PAGEREF _Toc477955768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"_Toc477955769"</w:instrText>
      </w:r>
      <w:r>
        <w:rPr>
          <w:rStyle w:val="10"/>
          <w:lang/>
        </w:rPr>
        <w:instrText xml:space="preserve"> </w:instrText>
      </w:r>
      <w:r>
        <w:rPr>
          <w:rStyle w:val="10"/>
          <w:lang/>
        </w:rPr>
        <w:fldChar w:fldCharType="separate"/>
      </w:r>
      <w:r>
        <w:rPr>
          <w:rStyle w:val="10"/>
          <w:rFonts w:ascii="Times New Roman" w:hAnsi="Times New Roman"/>
          <w:b/>
          <w:kern w:val="0"/>
          <w:lang/>
        </w:rPr>
        <w:t xml:space="preserve">11.4 </w:t>
      </w:r>
      <w:r>
        <w:rPr>
          <w:rStyle w:val="10"/>
          <w:rFonts w:hint="eastAsia" w:ascii="Times New Roman" w:hAnsi="Times New Roman"/>
          <w:b/>
          <w:kern w:val="0"/>
          <w:lang/>
        </w:rPr>
        <w:t>基金投资策略的改变</w:t>
      </w:r>
      <w:r>
        <w:rPr>
          <w:lang/>
        </w:rPr>
        <w:tab/>
      </w:r>
      <w:r>
        <w:rPr>
          <w:lang/>
        </w:rPr>
        <w:fldChar w:fldCharType="begin"/>
      </w:r>
      <w:r>
        <w:rPr>
          <w:lang/>
        </w:rPr>
        <w:instrText xml:space="preserve"> PAGEREF _Toc477955769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"_Toc477955770"</w:instrText>
      </w:r>
      <w:r>
        <w:rPr>
          <w:rStyle w:val="10"/>
          <w:lang/>
        </w:rPr>
        <w:instrText xml:space="preserve"> </w:instrText>
      </w:r>
      <w:r>
        <w:rPr>
          <w:rStyle w:val="10"/>
          <w:lang/>
        </w:rPr>
        <w:fldChar w:fldCharType="separate"/>
      </w:r>
      <w:r>
        <w:rPr>
          <w:rStyle w:val="10"/>
          <w:rFonts w:ascii="Times New Roman" w:hAnsi="Times New Roman"/>
          <w:b/>
          <w:kern w:val="0"/>
          <w:lang/>
        </w:rPr>
        <w:t xml:space="preserve">11.5 </w:t>
      </w:r>
      <w:r>
        <w:rPr>
          <w:rStyle w:val="10"/>
          <w:rFonts w:hint="eastAsia" w:ascii="Times New Roman" w:hAnsi="Times New Roman"/>
          <w:b/>
          <w:kern w:val="0"/>
          <w:lang/>
        </w:rPr>
        <w:t>为基金进行审计的会计师事务所情况</w:t>
      </w:r>
      <w:r>
        <w:rPr>
          <w:lang/>
        </w:rPr>
        <w:tab/>
      </w:r>
      <w:r>
        <w:rPr>
          <w:lang/>
        </w:rPr>
        <w:fldChar w:fldCharType="begin"/>
      </w:r>
      <w:r>
        <w:rPr>
          <w:lang/>
        </w:rPr>
        <w:instrText xml:space="preserve"> PAGEREF _Toc477955770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"_Toc477955771"</w:instrText>
      </w:r>
      <w:r>
        <w:rPr>
          <w:rStyle w:val="10"/>
          <w:lang/>
        </w:rPr>
        <w:instrText xml:space="preserve"> </w:instrText>
      </w:r>
      <w:r>
        <w:rPr>
          <w:rStyle w:val="10"/>
          <w:lang/>
        </w:rPr>
        <w:fldChar w:fldCharType="separate"/>
      </w:r>
      <w:r>
        <w:rPr>
          <w:rStyle w:val="10"/>
          <w:rFonts w:ascii="Times New Roman" w:hAnsi="Times New Roman"/>
          <w:b/>
          <w:kern w:val="0"/>
          <w:lang/>
        </w:rPr>
        <w:t xml:space="preserve">11.6 </w:t>
      </w:r>
      <w:r>
        <w:rPr>
          <w:rStyle w:val="10"/>
          <w:rFonts w:hint="eastAsia" w:ascii="Times New Roman" w:hAnsi="Times New Roman"/>
          <w:b/>
          <w:kern w:val="0"/>
          <w:lang/>
        </w:rPr>
        <w:t>管理人、托管人及其高级管理人员受稽查或处罚等情况</w:t>
      </w:r>
      <w:r>
        <w:rPr>
          <w:lang/>
        </w:rPr>
        <w:tab/>
      </w:r>
      <w:r>
        <w:rPr>
          <w:lang/>
        </w:rPr>
        <w:fldChar w:fldCharType="begin"/>
      </w:r>
      <w:r>
        <w:rPr>
          <w:lang/>
        </w:rPr>
        <w:instrText xml:space="preserve"> PAGEREF _Toc477955771 \h </w:instrText>
      </w:r>
      <w:r>
        <w:rPr>
          <w:lang/>
        </w:rPr>
        <w:fldChar w:fldCharType="separate"/>
      </w:r>
      <w:r>
        <w:rPr>
          <w:lang/>
        </w:rPr>
        <w:t>64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"_Toc477955772"</w:instrText>
      </w:r>
      <w:r>
        <w:rPr>
          <w:rStyle w:val="10"/>
          <w:lang/>
        </w:rPr>
        <w:instrText xml:space="preserve"> </w:instrText>
      </w:r>
      <w:r>
        <w:rPr>
          <w:rStyle w:val="10"/>
          <w:lang/>
        </w:rPr>
        <w:fldChar w:fldCharType="separate"/>
      </w:r>
      <w:r>
        <w:rPr>
          <w:rStyle w:val="10"/>
          <w:rFonts w:ascii="Times New Roman" w:hAnsi="Times New Roman"/>
          <w:b/>
          <w:kern w:val="0"/>
          <w:lang/>
        </w:rPr>
        <w:t xml:space="preserve">11.7 </w:t>
      </w:r>
      <w:r>
        <w:rPr>
          <w:rStyle w:val="10"/>
          <w:rFonts w:hint="eastAsia" w:ascii="Times New Roman" w:hAnsi="Times New Roman"/>
          <w:b/>
          <w:kern w:val="0"/>
          <w:lang/>
        </w:rPr>
        <w:t>基金租用证券公司交易单元的有关情况</w:t>
      </w:r>
      <w:r>
        <w:rPr>
          <w:lang/>
        </w:rPr>
        <w:tab/>
      </w:r>
      <w:r>
        <w:rPr>
          <w:lang/>
        </w:rPr>
        <w:fldChar w:fldCharType="begin"/>
      </w:r>
      <w:r>
        <w:rPr>
          <w:lang/>
        </w:rPr>
        <w:instrText xml:space="preserve"> PAGEREF _Toc477955772 \h </w:instrText>
      </w:r>
      <w:r>
        <w:rPr>
          <w:lang/>
        </w:rPr>
        <w:fldChar w:fldCharType="separate"/>
      </w:r>
      <w:r>
        <w:rPr>
          <w:lang/>
        </w:rPr>
        <w:t>65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"_Toc477955773"</w:instrText>
      </w:r>
      <w:r>
        <w:rPr>
          <w:rStyle w:val="10"/>
          <w:lang/>
        </w:rPr>
        <w:instrText xml:space="preserve"> </w:instrText>
      </w:r>
      <w:r>
        <w:rPr>
          <w:rStyle w:val="10"/>
          <w:lang/>
        </w:rPr>
        <w:fldChar w:fldCharType="separate"/>
      </w:r>
      <w:r>
        <w:rPr>
          <w:rStyle w:val="10"/>
          <w:rFonts w:ascii="Times New Roman" w:hAnsi="Times New Roman"/>
          <w:b/>
          <w:kern w:val="0"/>
          <w:lang/>
        </w:rPr>
        <w:t xml:space="preserve">11.8 </w:t>
      </w:r>
      <w:r>
        <w:rPr>
          <w:rStyle w:val="10"/>
          <w:rFonts w:hint="eastAsia" w:ascii="Times New Roman" w:hAnsi="Times New Roman"/>
          <w:b/>
          <w:kern w:val="0"/>
          <w:lang/>
        </w:rPr>
        <w:t>其他重大事件</w:t>
      </w:r>
      <w:r>
        <w:rPr>
          <w:lang/>
        </w:rPr>
        <w:tab/>
      </w:r>
      <w:r>
        <w:rPr>
          <w:lang/>
        </w:rPr>
        <w:fldChar w:fldCharType="begin"/>
      </w:r>
      <w:r>
        <w:rPr>
          <w:lang/>
        </w:rPr>
        <w:instrText xml:space="preserve"> PAGEREF _Toc477955773 \h </w:instrText>
      </w:r>
      <w:r>
        <w:rPr>
          <w:lang/>
        </w:rPr>
        <w:fldChar w:fldCharType="separate"/>
      </w:r>
      <w:r>
        <w:rPr>
          <w:lang/>
        </w:rPr>
        <w:t>65</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"_Toc477955774"</w:instrText>
      </w:r>
      <w:r>
        <w:rPr>
          <w:rStyle w:val="10"/>
          <w:lang/>
        </w:rPr>
        <w:instrText xml:space="preserve"> </w:instrText>
      </w:r>
      <w:r>
        <w:rPr>
          <w:rStyle w:val="10"/>
          <w:lang/>
        </w:rPr>
        <w:fldChar w:fldCharType="separate"/>
      </w:r>
      <w:r>
        <w:rPr>
          <w:rStyle w:val="10"/>
          <w:rFonts w:ascii="Times New Roman" w:hAnsi="Times New Roman"/>
          <w:b/>
          <w:kern w:val="0"/>
          <w:lang/>
        </w:rPr>
        <w:t xml:space="preserve">§12 </w:t>
      </w:r>
      <w:r>
        <w:rPr>
          <w:rStyle w:val="10"/>
          <w:rFonts w:hint="eastAsia" w:ascii="Times New Roman" w:hAnsi="Times New Roman"/>
          <w:b/>
          <w:kern w:val="0"/>
          <w:lang/>
        </w:rPr>
        <w:t>影响投资者决策的其他重要信息</w:t>
      </w:r>
      <w:r>
        <w:rPr>
          <w:lang/>
        </w:rPr>
        <w:tab/>
      </w:r>
      <w:r>
        <w:rPr>
          <w:lang/>
        </w:rPr>
        <w:fldChar w:fldCharType="begin"/>
      </w:r>
      <w:r>
        <w:rPr>
          <w:lang/>
        </w:rPr>
        <w:instrText xml:space="preserve"> PAGEREF _Toc477955774 \h </w:instrText>
      </w:r>
      <w:r>
        <w:rPr>
          <w:lang/>
        </w:rPr>
        <w:fldChar w:fldCharType="separate"/>
      </w:r>
      <w:r>
        <w:rPr>
          <w:lang/>
        </w:rPr>
        <w:t>66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"_Toc477955775"</w:instrText>
      </w:r>
      <w:r>
        <w:rPr>
          <w:rStyle w:val="10"/>
          <w:lang/>
        </w:rPr>
        <w:instrText xml:space="preserve"> </w:instrText>
      </w:r>
      <w:r>
        <w:rPr>
          <w:rStyle w:val="10"/>
          <w:lang/>
        </w:rPr>
        <w:fldChar w:fldCharType="separate"/>
      </w:r>
      <w:r>
        <w:rPr>
          <w:rStyle w:val="10"/>
          <w:rFonts w:ascii="Times New Roman" w:hAnsi="Times New Roman"/>
          <w:b/>
          <w:kern w:val="0"/>
          <w:lang/>
        </w:rPr>
        <w:t xml:space="preserve">§13 </w:t>
      </w:r>
      <w:r>
        <w:rPr>
          <w:rStyle w:val="10"/>
          <w:rFonts w:hint="eastAsia" w:ascii="Times New Roman" w:hAnsi="Times New Roman"/>
          <w:b/>
          <w:kern w:val="0"/>
          <w:lang/>
        </w:rPr>
        <w:t>备查文件目录</w:t>
      </w:r>
      <w:r>
        <w:rPr>
          <w:lang/>
        </w:rPr>
        <w:tab/>
      </w:r>
      <w:r>
        <w:rPr>
          <w:lang/>
        </w:rPr>
        <w:fldChar w:fldCharType="begin"/>
      </w:r>
      <w:r>
        <w:rPr>
          <w:lang/>
        </w:rPr>
        <w:instrText xml:space="preserve"> PAGEREF _Toc477955775 \h </w:instrText>
      </w:r>
      <w:r>
        <w:rPr>
          <w:lang/>
        </w:rPr>
        <w:fldChar w:fldCharType="separate"/>
      </w:r>
      <w:r>
        <w:rPr>
          <w:lang/>
        </w:rPr>
        <w:t>66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"_Toc477955776"</w:instrText>
      </w:r>
      <w:r>
        <w:rPr>
          <w:rStyle w:val="10"/>
          <w:lang/>
        </w:rPr>
        <w:instrText xml:space="preserve"> </w:instrText>
      </w:r>
      <w:r>
        <w:rPr>
          <w:rStyle w:val="10"/>
          <w:lang/>
        </w:rPr>
        <w:fldChar w:fldCharType="separate"/>
      </w:r>
      <w:r>
        <w:rPr>
          <w:rStyle w:val="10"/>
          <w:rFonts w:ascii="Times New Roman" w:hAnsi="Times New Roman"/>
          <w:b/>
          <w:kern w:val="0"/>
          <w:lang/>
        </w:rPr>
        <w:t xml:space="preserve">13.1 </w:t>
      </w:r>
      <w:r>
        <w:rPr>
          <w:rStyle w:val="10"/>
          <w:rFonts w:hint="eastAsia" w:ascii="Times New Roman" w:hAnsi="Times New Roman"/>
          <w:b/>
          <w:kern w:val="0"/>
          <w:lang/>
        </w:rPr>
        <w:t>备查文件目录</w:t>
      </w:r>
      <w:r>
        <w:rPr>
          <w:lang/>
        </w:rPr>
        <w:tab/>
      </w:r>
      <w:r>
        <w:rPr>
          <w:lang/>
        </w:rPr>
        <w:fldChar w:fldCharType="begin"/>
      </w:r>
      <w:r>
        <w:rPr>
          <w:lang/>
        </w:rPr>
        <w:instrText xml:space="preserve"> PAGEREF _Toc477955776 \h </w:instrText>
      </w:r>
      <w:r>
        <w:rPr>
          <w:lang/>
        </w:rPr>
        <w:fldChar w:fldCharType="separate"/>
      </w:r>
      <w:r>
        <w:rPr>
          <w:lang/>
        </w:rPr>
        <w:t>66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"_Toc477955777"</w:instrText>
      </w:r>
      <w:r>
        <w:rPr>
          <w:rStyle w:val="10"/>
          <w:lang/>
        </w:rPr>
        <w:instrText xml:space="preserve"> </w:instrText>
      </w:r>
      <w:r>
        <w:rPr>
          <w:rStyle w:val="10"/>
          <w:lang/>
        </w:rPr>
        <w:fldChar w:fldCharType="separate"/>
      </w:r>
      <w:r>
        <w:rPr>
          <w:rStyle w:val="10"/>
          <w:rFonts w:ascii="Times New Roman" w:hAnsi="Times New Roman"/>
          <w:b/>
          <w:kern w:val="0"/>
          <w:lang/>
        </w:rPr>
        <w:t xml:space="preserve">13.2 </w:t>
      </w:r>
      <w:r>
        <w:rPr>
          <w:rStyle w:val="10"/>
          <w:rFonts w:hint="eastAsia" w:ascii="Times New Roman" w:hAnsi="Times New Roman"/>
          <w:b/>
          <w:kern w:val="0"/>
          <w:lang/>
        </w:rPr>
        <w:t>存放地点</w:t>
      </w:r>
      <w:r>
        <w:rPr>
          <w:lang/>
        </w:rPr>
        <w:tab/>
      </w:r>
      <w:r>
        <w:rPr>
          <w:lang/>
        </w:rPr>
        <w:fldChar w:fldCharType="begin"/>
      </w:r>
      <w:r>
        <w:rPr>
          <w:lang/>
        </w:rPr>
        <w:instrText xml:space="preserve"> PAGEREF _Toc477955777 \h </w:instrText>
      </w:r>
      <w:r>
        <w:rPr>
          <w:lang/>
        </w:rPr>
        <w:fldChar w:fldCharType="separate"/>
      </w:r>
      <w:r>
        <w:rPr>
          <w:lang/>
        </w:rPr>
        <w:t>67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"_Toc477955778"</w:instrText>
      </w:r>
      <w:r>
        <w:rPr>
          <w:rStyle w:val="10"/>
          <w:lang/>
        </w:rPr>
        <w:instrText xml:space="preserve"> </w:instrText>
      </w:r>
      <w:r>
        <w:rPr>
          <w:rStyle w:val="10"/>
          <w:lang/>
        </w:rPr>
        <w:fldChar w:fldCharType="separate"/>
      </w:r>
      <w:r>
        <w:rPr>
          <w:rStyle w:val="10"/>
          <w:rFonts w:ascii="Times New Roman" w:hAnsi="Times New Roman"/>
          <w:b/>
          <w:kern w:val="0"/>
          <w:lang/>
        </w:rPr>
        <w:t xml:space="preserve">13.3 </w:t>
      </w:r>
      <w:r>
        <w:rPr>
          <w:rStyle w:val="10"/>
          <w:rFonts w:hint="eastAsia" w:ascii="Times New Roman" w:hAnsi="Times New Roman"/>
          <w:b/>
          <w:kern w:val="0"/>
          <w:lang/>
        </w:rPr>
        <w:t>查阅方式</w:t>
      </w:r>
      <w:r>
        <w:rPr>
          <w:lang/>
        </w:rPr>
        <w:tab/>
      </w:r>
      <w:r>
        <w:rPr>
          <w:lang/>
        </w:rPr>
        <w:fldChar w:fldCharType="begin"/>
      </w:r>
      <w:r>
        <w:rPr>
          <w:lang/>
        </w:rPr>
        <w:instrText xml:space="preserve"> PAGEREF _Toc477955778 \h </w:instrText>
      </w:r>
      <w:r>
        <w:rPr>
          <w:lang/>
        </w:rPr>
        <w:fldChar w:fldCharType="separate"/>
      </w:r>
      <w:r>
        <w:rPr>
          <w:lang/>
        </w:rPr>
        <w:t>67</w:t>
      </w:r>
      <w:r>
        <w:rPr>
          <w:lang/>
        </w:rPr>
        <w:fldChar w:fldCharType="end"/>
      </w:r>
      <w:r>
        <w:rPr>
          <w:rStyle w:val="10"/>
          <w:lang/>
        </w:rPr>
        <w:fldChar w:fldCharType="end"/>
      </w:r>
    </w:p>
    <w:p>
      <w:pPr>
        <w:autoSpaceDE w:val="0"/>
        <w:autoSpaceDN w:val="0"/>
        <w:adjustRightInd w:val="0"/>
        <w:spacing w:before="30"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fldChar w:fldCharType="end"/>
      </w:r>
    </w:p>
    <w:p>
      <w:pPr>
        <w:autoSpaceDE w:val="0"/>
        <w:autoSpaceDN w:val="0"/>
        <w:adjustRightInd w:val="0"/>
        <w:spacing w:line="288" w:lineRule="auto"/>
        <w:jc w:val="left"/>
        <w:rPr>
          <w:rFonts w:ascii="Times New Roman" w:hAnsi="Times New Roman"/>
          <w:kern w:val="0"/>
          <w:sz w:val="24"/>
          <w:szCs w:val="24"/>
        </w:rPr>
        <w:sectPr>
          <w:pgSz w:w="11926" w:h="16867"/>
          <w:pgMar w:top="1420" w:right="1420" w:bottom="852" w:left="1420" w:header="851" w:footer="992" w:gutter="0"/>
          <w:cols w:space="720" w:num="1"/>
        </w:sect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3" w:name="_Toc477955718"/>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2  </w:t>
      </w:r>
      <w:r>
        <w:rPr>
          <w:rFonts w:hint="eastAsia" w:ascii="Times New Roman" w:hAnsi="Times New Roman"/>
          <w:b/>
          <w:color w:val="000000"/>
          <w:kern w:val="0"/>
          <w:sz w:val="24"/>
          <w:szCs w:val="24"/>
        </w:rPr>
        <w:t>基金简介</w:t>
      </w:r>
      <w:bookmarkEnd w:id="3"/>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 w:name="_Toc477955719"/>
      <w:r>
        <w:rPr>
          <w:rFonts w:ascii="Times New Roman" w:hAnsi="Times New Roman"/>
          <w:b/>
          <w:color w:val="000000"/>
          <w:kern w:val="0"/>
          <w:sz w:val="24"/>
          <w:szCs w:val="24"/>
        </w:rPr>
        <w:t xml:space="preserve">2.1 </w:t>
      </w:r>
      <w:r>
        <w:rPr>
          <w:rFonts w:hint="eastAsia" w:ascii="Times New Roman" w:hAnsi="Times New Roman"/>
          <w:b/>
          <w:color w:val="000000"/>
          <w:kern w:val="0"/>
          <w:sz w:val="24"/>
          <w:szCs w:val="24"/>
        </w:rPr>
        <w:t>基金基本情况</w:t>
      </w:r>
      <w:bookmarkEnd w:id="4"/>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基金名称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基金简称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基金主代码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003190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基金运作方式</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契约型开放式</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招商银行股份有限公司</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报告期末基金份额总额</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497,661,150.16</w:t>
            </w:r>
            <w:r>
              <w:rPr>
                <w:rFonts w:hint="eastAsia" w:ascii="Times New Roman" w:hAnsi="Times New Roman"/>
                <w:color w:val="000000"/>
                <w:kern w:val="0"/>
                <w:sz w:val="24"/>
                <w:szCs w:val="24"/>
              </w:rPr>
              <w:t>份</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基金合同存续期</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不定期</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下属分级基金的基金简称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下属分级基金的交易代码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003190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003191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报告期末下属分级基金的份额总额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497,496,325.83</w:t>
            </w:r>
            <w:r>
              <w:rPr>
                <w:rFonts w:hint="eastAsia" w:ascii="Times New Roman" w:hAnsi="Times New Roman"/>
                <w:color w:val="000000"/>
                <w:kern w:val="0"/>
                <w:sz w:val="24"/>
                <w:szCs w:val="24"/>
              </w:rPr>
              <w:t>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164,824.33</w:t>
            </w:r>
            <w:r>
              <w:rPr>
                <w:rFonts w:hint="eastAsia" w:ascii="Times New Roman" w:hAnsi="Times New Roman"/>
                <w:color w:val="000000"/>
                <w:kern w:val="0"/>
                <w:sz w:val="24"/>
                <w:szCs w:val="24"/>
              </w:rPr>
              <w:t>份</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 w:name="_Toc477955720"/>
      <w:r>
        <w:rPr>
          <w:rFonts w:ascii="Times New Roman" w:hAnsi="Times New Roman"/>
          <w:b/>
          <w:color w:val="000000"/>
          <w:kern w:val="0"/>
          <w:sz w:val="24"/>
          <w:szCs w:val="24"/>
        </w:rPr>
        <w:t xml:space="preserve">2.2 </w:t>
      </w:r>
      <w:r>
        <w:rPr>
          <w:rFonts w:hint="eastAsia" w:ascii="Times New Roman" w:hAnsi="Times New Roman"/>
          <w:b/>
          <w:color w:val="000000"/>
          <w:kern w:val="0"/>
          <w:sz w:val="24"/>
          <w:szCs w:val="24"/>
        </w:rPr>
        <w:t>基金产品说明</w:t>
      </w:r>
      <w:bookmarkEnd w:id="5"/>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投资目标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追求基金资产的稳健增值。</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投资策略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、资产配置策略</w:t>
            </w:r>
            <w:r>
              <w:rPr>
                <w:rFonts w:ascii="Times New Roman" w:hAnsi="Times New Roman"/>
                <w:color w:val="000000"/>
                <w:kern w:val="0"/>
                <w:sz w:val="24"/>
                <w:szCs w:val="24"/>
              </w:rPr>
              <w:t xml:space="preserve"> </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本基金在资产配置过程中采取</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分析框架，基金管理人基于定量与定性相结合的分析方法，综合宏观数据、经济政策、货币政策、市场估值等因素，形成各资产类别预期收益与预期风险的判断，并进而确定股票、债券、货币市场工具等资产类别的配置比例。</w:t>
            </w:r>
            <w:r>
              <w:rPr>
                <w:rFonts w:ascii="Times New Roman" w:hAnsi="Times New Roman"/>
                <w:color w:val="000000"/>
                <w:kern w:val="0"/>
                <w:sz w:val="24"/>
                <w:szCs w:val="24"/>
              </w:rPr>
              <w:t xml:space="preserve"> </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、股票投资策略</w:t>
            </w:r>
            <w:r>
              <w:rPr>
                <w:rFonts w:ascii="Times New Roman" w:hAnsi="Times New Roman"/>
                <w:color w:val="000000"/>
                <w:kern w:val="0"/>
                <w:sz w:val="24"/>
                <w:szCs w:val="24"/>
              </w:rPr>
              <w:t xml:space="preserve"> </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本基金将采取</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的行业策略与</w:t>
            </w:r>
            <w:r>
              <w:rPr>
                <w:rFonts w:ascii="Times New Roman" w:hAnsi="Times New Roman"/>
                <w:color w:val="000000"/>
                <w:kern w:val="0"/>
                <w:sz w:val="24"/>
                <w:szCs w:val="24"/>
              </w:rPr>
              <w:t>"</w:t>
            </w:r>
            <w:r>
              <w:rPr>
                <w:rFonts w:hint="eastAsia" w:ascii="Times New Roman" w:hAnsi="Times New Roman"/>
                <w:color w:val="000000"/>
                <w:kern w:val="0"/>
                <w:sz w:val="24"/>
                <w:szCs w:val="24"/>
              </w:rPr>
              <w:t>自下而上</w:t>
            </w:r>
            <w:r>
              <w:rPr>
                <w:rFonts w:ascii="Times New Roman" w:hAnsi="Times New Roman"/>
                <w:color w:val="000000"/>
                <w:kern w:val="0"/>
                <w:sz w:val="24"/>
                <w:szCs w:val="24"/>
              </w:rPr>
              <w:t>"</w:t>
            </w:r>
            <w:r>
              <w:rPr>
                <w:rFonts w:hint="eastAsia" w:ascii="Times New Roman" w:hAnsi="Times New Roman"/>
                <w:color w:val="000000"/>
                <w:kern w:val="0"/>
                <w:sz w:val="24"/>
                <w:szCs w:val="24"/>
              </w:rPr>
              <w:t>的公司研究相结合的方式，构建股票组合。</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业绩比较基准</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沪深</w:t>
            </w:r>
            <w:r>
              <w:rPr>
                <w:rFonts w:ascii="Times New Roman" w:hAnsi="Times New Roman"/>
                <w:color w:val="000000"/>
                <w:kern w:val="0"/>
                <w:sz w:val="24"/>
                <w:szCs w:val="24"/>
              </w:rPr>
              <w:t>300</w:t>
            </w:r>
            <w:r>
              <w:rPr>
                <w:rFonts w:hint="eastAsia" w:ascii="Times New Roman" w:hAnsi="Times New Roman"/>
                <w:color w:val="000000"/>
                <w:kern w:val="0"/>
                <w:sz w:val="24"/>
                <w:szCs w:val="24"/>
              </w:rPr>
              <w:t>指数收益率×</w:t>
            </w:r>
            <w:r>
              <w:rPr>
                <w:rFonts w:ascii="Times New Roman" w:hAnsi="Times New Roman"/>
                <w:color w:val="000000"/>
                <w:kern w:val="0"/>
                <w:sz w:val="24"/>
                <w:szCs w:val="24"/>
              </w:rPr>
              <w:t xml:space="preserve">30% + </w:t>
            </w:r>
            <w:r>
              <w:rPr>
                <w:rFonts w:hint="eastAsia" w:ascii="Times New Roman" w:hAnsi="Times New Roman"/>
                <w:color w:val="000000"/>
                <w:kern w:val="0"/>
                <w:sz w:val="24"/>
                <w:szCs w:val="24"/>
              </w:rPr>
              <w:t>一年期人民币定期存款利率（税后）×</w:t>
            </w:r>
            <w:r>
              <w:rPr>
                <w:rFonts w:ascii="Times New Roman" w:hAnsi="Times New Roman"/>
                <w:color w:val="000000"/>
                <w:kern w:val="0"/>
                <w:sz w:val="24"/>
                <w:szCs w:val="24"/>
              </w:rPr>
              <w:t>70%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风险收益特征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本基金为混合型基金，理论上其预期风险与预期收益水平低于股票型基金，高于债券型基金和货币市场基金。</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下属分级基金的风险收益特征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本基金为混合型基金，理论上其预期风险与预期收益水平低于股票型基金，高于债券型基金和货币市场基金。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本基金为混合型基金，理论上其预期风险与预期收益水平低于股票型基金，高于债券型基金和货币市场基金。</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 w:name="_Toc477955721"/>
      <w:r>
        <w:rPr>
          <w:rFonts w:ascii="Times New Roman" w:hAnsi="Times New Roman"/>
          <w:b/>
          <w:color w:val="000000"/>
          <w:kern w:val="0"/>
          <w:sz w:val="24"/>
          <w:szCs w:val="24"/>
        </w:rPr>
        <w:t xml:space="preserve">2.3 </w:t>
      </w:r>
      <w:r>
        <w:rPr>
          <w:rFonts w:hint="eastAsia" w:ascii="Times New Roman" w:hAnsi="Times New Roman"/>
          <w:b/>
          <w:color w:val="000000"/>
          <w:kern w:val="0"/>
          <w:sz w:val="24"/>
          <w:szCs w:val="24"/>
        </w:rPr>
        <w:t>基金管理人和基金托管人</w:t>
      </w:r>
      <w:bookmarkEnd w:id="6"/>
    </w:p>
    <w:tbl>
      <w:tblPr>
        <w:tblStyle w:val="8"/>
        <w:tblW w:w="0" w:type="auto"/>
        <w:tblInd w:w="108" w:type="dxa"/>
        <w:tblLayout w:type="fixed"/>
        <w:tblCellMar>
          <w:top w:w="0" w:type="dxa"/>
          <w:left w:w="108" w:type="dxa"/>
          <w:bottom w:w="0" w:type="dxa"/>
          <w:right w:w="108" w:type="dxa"/>
        </w:tblCellMar>
      </w:tblPr>
      <w:tblGrid>
        <w:gridCol w:w="1746"/>
        <w:gridCol w:w="1445"/>
        <w:gridCol w:w="2889"/>
        <w:gridCol w:w="2890"/>
      </w:tblGrid>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招商银行股份有限公司</w:t>
            </w:r>
          </w:p>
        </w:tc>
      </w:tr>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信息披露负责人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姓名</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梁绍锋</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张燕</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联系电话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0755-23838908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0755-83199084</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电子邮箱</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liangshaofeng@cjhxfund.com</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yan_zhang@cmbchina.com</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客户服务电话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400-868-0666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95555</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传真</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0755-25832571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0755-83195201</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深圳市前海深港合作区前湾一路</w:t>
            </w: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号</w:t>
            </w:r>
            <w:r>
              <w:rPr>
                <w:rFonts w:ascii="Times New Roman" w:hAnsi="Times New Roman"/>
                <w:color w:val="000000"/>
                <w:kern w:val="0"/>
                <w:sz w:val="24"/>
                <w:szCs w:val="24"/>
              </w:rPr>
              <w:t>A</w:t>
            </w:r>
            <w:r>
              <w:rPr>
                <w:rFonts w:hint="eastAsia" w:ascii="Times New Roman" w:hAnsi="Times New Roman"/>
                <w:color w:val="000000"/>
                <w:kern w:val="0"/>
                <w:sz w:val="24"/>
                <w:szCs w:val="24"/>
              </w:rPr>
              <w:t>栋</w:t>
            </w:r>
            <w:r>
              <w:rPr>
                <w:rFonts w:ascii="Times New Roman" w:hAnsi="Times New Roman"/>
                <w:color w:val="000000"/>
                <w:kern w:val="0"/>
                <w:sz w:val="24"/>
                <w:szCs w:val="24"/>
              </w:rPr>
              <w:t xml:space="preserve">201 </w:t>
            </w:r>
            <w:r>
              <w:rPr>
                <w:rFonts w:hint="eastAsia" w:ascii="Times New Roman" w:hAnsi="Times New Roman"/>
                <w:color w:val="000000"/>
                <w:kern w:val="0"/>
                <w:sz w:val="24"/>
                <w:szCs w:val="24"/>
              </w:rPr>
              <w:t>室</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深圳市深南大道</w:t>
            </w:r>
            <w:r>
              <w:rPr>
                <w:rFonts w:ascii="Times New Roman" w:hAnsi="Times New Roman"/>
                <w:color w:val="000000"/>
                <w:kern w:val="0"/>
                <w:sz w:val="24"/>
                <w:szCs w:val="24"/>
              </w:rPr>
              <w:t>7088</w:t>
            </w:r>
            <w:r>
              <w:rPr>
                <w:rFonts w:hint="eastAsia" w:ascii="Times New Roman" w:hAnsi="Times New Roman"/>
                <w:color w:val="000000"/>
                <w:kern w:val="0"/>
                <w:sz w:val="24"/>
                <w:szCs w:val="24"/>
              </w:rPr>
              <w:t>号招商银行大厦</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办公地址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深圳市福田中心区福华一路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层</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深圳市深南大道</w:t>
            </w:r>
            <w:r>
              <w:rPr>
                <w:rFonts w:ascii="Times New Roman" w:hAnsi="Times New Roman"/>
                <w:color w:val="000000"/>
                <w:kern w:val="0"/>
                <w:sz w:val="24"/>
                <w:szCs w:val="24"/>
              </w:rPr>
              <w:t>7088</w:t>
            </w:r>
            <w:r>
              <w:rPr>
                <w:rFonts w:hint="eastAsia" w:ascii="Times New Roman" w:hAnsi="Times New Roman"/>
                <w:color w:val="000000"/>
                <w:kern w:val="0"/>
                <w:sz w:val="24"/>
                <w:szCs w:val="24"/>
              </w:rPr>
              <w:t>号招商银行大厦</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邮政编码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518000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518040</w:t>
            </w:r>
          </w:p>
        </w:tc>
      </w:tr>
      <w:tr>
        <w:tblPrEx>
          <w:tblCellMar>
            <w:top w:w="0" w:type="dxa"/>
            <w:left w:w="108" w:type="dxa"/>
            <w:bottom w:w="0" w:type="dxa"/>
            <w:right w:w="108" w:type="dxa"/>
          </w:tblCellMar>
        </w:tblPrEx>
        <w:trPr>
          <w:wBefore w:w="0" w:type="auto"/>
        </w:trPr>
        <w:tc>
          <w:tcPr>
            <w:tcW w:w="319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法定代表人</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刘学民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李建红</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7" w:name="_Toc477955722"/>
      <w:r>
        <w:rPr>
          <w:rFonts w:ascii="Times New Roman" w:hAnsi="Times New Roman"/>
          <w:b/>
          <w:color w:val="000000"/>
          <w:kern w:val="0"/>
          <w:sz w:val="24"/>
          <w:szCs w:val="24"/>
        </w:rPr>
        <w:t xml:space="preserve">2.4 </w:t>
      </w:r>
      <w:r>
        <w:rPr>
          <w:rFonts w:hint="eastAsia" w:ascii="Times New Roman" w:hAnsi="Times New Roman"/>
          <w:b/>
          <w:color w:val="000000"/>
          <w:kern w:val="0"/>
          <w:sz w:val="24"/>
          <w:szCs w:val="24"/>
        </w:rPr>
        <w:t>信息披露方式</w:t>
      </w:r>
      <w:bookmarkEnd w:id="7"/>
    </w:p>
    <w:tbl>
      <w:tblPr>
        <w:tblStyle w:val="8"/>
        <w:tblW w:w="0" w:type="auto"/>
        <w:tblInd w:w="108" w:type="dxa"/>
        <w:tblLayout w:type="fixed"/>
        <w:tblCellMar>
          <w:top w:w="0" w:type="dxa"/>
          <w:left w:w="108" w:type="dxa"/>
          <w:bottom w:w="0" w:type="dxa"/>
          <w:right w:w="108" w:type="dxa"/>
        </w:tblCellMar>
      </w:tblPr>
      <w:tblGrid>
        <w:gridCol w:w="3191"/>
        <w:gridCol w:w="5779"/>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本基金选定的信息披露报纸名称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中国证券报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登载基金年度报告正文的管理人互联网网址</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www.cjhxfund.com</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基金年度报告备置地点</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8" w:name="_Toc477955723"/>
      <w:r>
        <w:rPr>
          <w:rFonts w:ascii="Times New Roman" w:hAnsi="Times New Roman"/>
          <w:b/>
          <w:color w:val="000000"/>
          <w:kern w:val="0"/>
          <w:sz w:val="24"/>
          <w:szCs w:val="24"/>
        </w:rPr>
        <w:t xml:space="preserve">2.5 </w:t>
      </w:r>
      <w:r>
        <w:rPr>
          <w:rFonts w:hint="eastAsia" w:ascii="Times New Roman" w:hAnsi="Times New Roman"/>
          <w:b/>
          <w:color w:val="000000"/>
          <w:kern w:val="0"/>
          <w:sz w:val="24"/>
          <w:szCs w:val="24"/>
        </w:rPr>
        <w:t>其他相关资料</w:t>
      </w:r>
      <w:bookmarkEnd w:id="8"/>
    </w:p>
    <w:tbl>
      <w:tblPr>
        <w:tblStyle w:val="8"/>
        <w:tblW w:w="0" w:type="auto"/>
        <w:tblInd w:w="108" w:type="dxa"/>
        <w:tblLayout w:type="fixed"/>
        <w:tblCellMar>
          <w:top w:w="0" w:type="dxa"/>
          <w:left w:w="108" w:type="dxa"/>
          <w:bottom w:w="0" w:type="dxa"/>
          <w:right w:w="108" w:type="dxa"/>
        </w:tblCellMar>
      </w:tblPr>
      <w:tblGrid>
        <w:gridCol w:w="1746"/>
        <w:gridCol w:w="3612"/>
        <w:gridCol w:w="3612"/>
      </w:tblGrid>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办公地址</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注册登记机构</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9" w:name="_Toc477955724"/>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3  </w:t>
      </w:r>
      <w:r>
        <w:rPr>
          <w:rFonts w:hint="eastAsia" w:ascii="Times New Roman" w:hAnsi="Times New Roman"/>
          <w:b/>
          <w:color w:val="000000"/>
          <w:kern w:val="0"/>
          <w:sz w:val="24"/>
          <w:szCs w:val="24"/>
        </w:rPr>
        <w:t>主要财务指标、基金净值表现及利润分配情况</w:t>
      </w:r>
      <w:bookmarkEnd w:id="9"/>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0" w:name="_Toc477955725"/>
      <w:r>
        <w:rPr>
          <w:rFonts w:ascii="Times New Roman" w:hAnsi="Times New Roman"/>
          <w:b/>
          <w:color w:val="000000"/>
          <w:kern w:val="0"/>
          <w:sz w:val="24"/>
          <w:szCs w:val="24"/>
        </w:rPr>
        <w:t xml:space="preserve">3.1 </w:t>
      </w:r>
      <w:r>
        <w:rPr>
          <w:rFonts w:hint="eastAsia" w:ascii="Times New Roman" w:hAnsi="Times New Roman"/>
          <w:b/>
          <w:color w:val="000000"/>
          <w:kern w:val="0"/>
          <w:sz w:val="24"/>
          <w:szCs w:val="24"/>
        </w:rPr>
        <w:t>主要会计数据和财务指标</w:t>
      </w:r>
      <w:bookmarkEnd w:id="10"/>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p>
      <w:pPr>
        <w:autoSpaceDE w:val="0"/>
        <w:autoSpaceDN w:val="0"/>
        <w:adjustRightInd w:val="0"/>
        <w:spacing w:line="288" w:lineRule="auto"/>
        <w:jc w:val="left"/>
        <w:rPr>
          <w:rFonts w:ascii="Times New Roman" w:hAnsi="Times New Roman"/>
          <w:color w:val="000000"/>
          <w:kern w:val="0"/>
          <w:sz w:val="12"/>
          <w:szCs w:val="24"/>
        </w:rPr>
      </w:pPr>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3.1.1 </w:t>
            </w:r>
            <w:r>
              <w:rPr>
                <w:rFonts w:hint="eastAsia" w:ascii="Times New Roman" w:hAnsi="Times New Roman"/>
                <w:b/>
                <w:color w:val="000000"/>
                <w:kern w:val="0"/>
                <w:sz w:val="24"/>
                <w:szCs w:val="24"/>
              </w:rPr>
              <w:t>期间数据和指标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本期已实现收益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14,083,869.70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6,280.88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1,042,510.61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196.12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0.0022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0.0006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本期加权平均净值利润率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3.1.2 </w:t>
            </w:r>
            <w:r>
              <w:rPr>
                <w:rFonts w:hint="eastAsia" w:ascii="Times New Roman" w:hAnsi="Times New Roman"/>
                <w:b/>
                <w:color w:val="000000"/>
                <w:kern w:val="0"/>
                <w:sz w:val="24"/>
                <w:szCs w:val="24"/>
              </w:rPr>
              <w:t>期末数据和指标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1,841,339.02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-511.21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-0.0031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期末基金资产净值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499,337,664.85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164,313.12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期末基金份额净值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0.997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3.1.3 </w:t>
            </w:r>
            <w:r>
              <w:rPr>
                <w:rFonts w:hint="eastAsia" w:ascii="Times New Roman" w:hAnsi="Times New Roman"/>
                <w:b/>
                <w:color w:val="000000"/>
                <w:kern w:val="0"/>
                <w:sz w:val="24"/>
                <w:szCs w:val="24"/>
              </w:rPr>
              <w:t>累计期末指标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基金份额累计净值增长率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上述基金业绩指标不包括持有人认购或交易基金的各项费用</w:t>
      </w:r>
      <w:r>
        <w:rPr>
          <w:rFonts w:ascii="Times New Roman" w:hAnsi="Times New Roman"/>
          <w:color w:val="000000"/>
          <w:kern w:val="0"/>
          <w:szCs w:val="24"/>
        </w:rPr>
        <w:t>,</w:t>
      </w:r>
      <w:r>
        <w:rPr>
          <w:rFonts w:hint="eastAsia" w:ascii="Times New Roman" w:hAnsi="Times New Roman"/>
          <w:color w:val="000000"/>
          <w:kern w:val="0"/>
          <w:szCs w:val="24"/>
        </w:rPr>
        <w:t>计入费用后实际收益水平要低于所列数字。</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本期已实现收益指基金本期利息收入、投资收益、其他收入</w:t>
      </w:r>
      <w:r>
        <w:rPr>
          <w:rFonts w:ascii="Times New Roman" w:hAnsi="Times New Roman"/>
          <w:color w:val="000000"/>
          <w:kern w:val="0"/>
          <w:szCs w:val="24"/>
        </w:rPr>
        <w:t>(</w:t>
      </w:r>
      <w:r>
        <w:rPr>
          <w:rFonts w:hint="eastAsia" w:ascii="Times New Roman" w:hAnsi="Times New Roman"/>
          <w:color w:val="000000"/>
          <w:kern w:val="0"/>
          <w:szCs w:val="24"/>
        </w:rPr>
        <w:t>不含公允价值变动收益</w:t>
      </w:r>
      <w:r>
        <w:rPr>
          <w:rFonts w:ascii="Times New Roman" w:hAnsi="Times New Roman"/>
          <w:color w:val="000000"/>
          <w:kern w:val="0"/>
          <w:szCs w:val="24"/>
        </w:rPr>
        <w:t>)</w:t>
      </w:r>
      <w:r>
        <w:rPr>
          <w:rFonts w:hint="eastAsia" w:ascii="Times New Roman" w:hAnsi="Times New Roman"/>
          <w:color w:val="000000"/>
          <w:kern w:val="0"/>
          <w:szCs w:val="24"/>
        </w:rPr>
        <w:t>扣除相关费用后的余额</w:t>
      </w:r>
      <w:r>
        <w:rPr>
          <w:rFonts w:ascii="Times New Roman" w:hAnsi="Times New Roman"/>
          <w:color w:val="000000"/>
          <w:kern w:val="0"/>
          <w:szCs w:val="24"/>
        </w:rPr>
        <w:t>,</w:t>
      </w:r>
      <w:r>
        <w:rPr>
          <w:rFonts w:hint="eastAsia" w:ascii="Times New Roman" w:hAnsi="Times New Roman"/>
          <w:color w:val="000000"/>
          <w:kern w:val="0"/>
          <w:szCs w:val="24"/>
        </w:rPr>
        <w:t>本期利润为本期已实现收益加上本期公允价值变动收益。</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3.</w:t>
      </w:r>
      <w:r>
        <w:rPr>
          <w:rFonts w:hint="eastAsia" w:ascii="Times New Roman" w:hAnsi="Times New Roman"/>
          <w:color w:val="000000"/>
          <w:kern w:val="0"/>
          <w:szCs w:val="24"/>
        </w:rPr>
        <w:t>期末可供分配利润是采用期末资产负债表中未分配利润与未分配利润中已实现部分的孰低数。</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4.</w:t>
      </w:r>
      <w:r>
        <w:rPr>
          <w:rFonts w:hint="eastAsia" w:ascii="Times New Roman" w:hAnsi="Times New Roman"/>
          <w:color w:val="000000"/>
          <w:kern w:val="0"/>
          <w:szCs w:val="24"/>
        </w:rPr>
        <w:t>本基金合同生效日为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22</w:t>
      </w:r>
      <w:r>
        <w:rPr>
          <w:rFonts w:hint="eastAsia" w:ascii="Times New Roman" w:hAnsi="Times New Roman"/>
          <w:color w:val="000000"/>
          <w:kern w:val="0"/>
          <w:szCs w:val="24"/>
        </w:rPr>
        <w:t>日，截至报告期末，本基金成立不满一年。合同生效当期的相关数据和指标按实际存续期计算。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1" w:name="_Toc477955726"/>
      <w:r>
        <w:rPr>
          <w:rFonts w:ascii="Times New Roman" w:hAnsi="Times New Roman"/>
          <w:b/>
          <w:color w:val="000000"/>
          <w:kern w:val="0"/>
          <w:sz w:val="24"/>
          <w:szCs w:val="24"/>
        </w:rPr>
        <w:t xml:space="preserve">3.2 </w:t>
      </w:r>
      <w:r>
        <w:rPr>
          <w:rFonts w:hint="eastAsia" w:ascii="Times New Roman" w:hAnsi="Times New Roman"/>
          <w:b/>
          <w:color w:val="000000"/>
          <w:kern w:val="0"/>
          <w:sz w:val="24"/>
          <w:szCs w:val="24"/>
        </w:rPr>
        <w:t>基金净值表现</w:t>
      </w:r>
      <w:bookmarkEnd w:id="11"/>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3.2.1 </w:t>
      </w:r>
      <w:r>
        <w:rPr>
          <w:rFonts w:hint="eastAsia" w:ascii="Times New Roman" w:hAnsi="Times New Roman"/>
          <w:b/>
          <w:color w:val="000000"/>
          <w:kern w:val="0"/>
          <w:sz w:val="24"/>
          <w:szCs w:val="24"/>
        </w:rPr>
        <w:t>基金份额净值增长率及其与同期业绩比较基准收益率的比较</w:t>
      </w:r>
    </w:p>
    <w:tbl>
      <w:tblPr>
        <w:tblStyle w:val="8"/>
        <w:tblW w:w="0" w:type="auto"/>
        <w:tblInd w:w="108" w:type="dxa"/>
        <w:tblLayout w:type="fixed"/>
        <w:tblCellMar>
          <w:top w:w="0" w:type="dxa"/>
          <w:left w:w="108" w:type="dxa"/>
          <w:bottom w:w="0" w:type="dxa"/>
          <w:right w:w="108" w:type="dxa"/>
        </w:tblCellMar>
      </w:tblPr>
      <w:tblGrid>
        <w:gridCol w:w="2468"/>
        <w:gridCol w:w="1084"/>
        <w:gridCol w:w="1083"/>
        <w:gridCol w:w="1084"/>
        <w:gridCol w:w="1084"/>
        <w:gridCol w:w="1083"/>
        <w:gridCol w:w="1084"/>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阶段</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A)</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份额净值增长率标准差②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①</w:t>
            </w:r>
            <w:r>
              <w:rPr>
                <w:rFonts w:ascii="Times New Roman" w:hAnsi="Times New Roman"/>
                <w:color w:val="000000"/>
                <w:kern w:val="0"/>
                <w:sz w:val="24"/>
                <w:szCs w:val="24"/>
              </w:rPr>
              <w:t>-</w:t>
            </w:r>
            <w:r>
              <w:rPr>
                <w:rFonts w:hint="eastAsia" w:ascii="Times New Roman" w:hAnsi="Times New Roman"/>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②</w:t>
            </w:r>
            <w:r>
              <w:rPr>
                <w:rFonts w:ascii="Times New Roman" w:hAnsi="Times New Roman"/>
                <w:color w:val="000000"/>
                <w:kern w:val="0"/>
                <w:sz w:val="24"/>
                <w:szCs w:val="24"/>
              </w:rPr>
              <w:t>-</w:t>
            </w:r>
            <w:r>
              <w:rPr>
                <w:rFonts w:hint="eastAsia" w:ascii="Times New Roman" w:hAnsi="Times New Roman"/>
                <w:color w:val="000000"/>
                <w:kern w:val="0"/>
                <w:sz w:val="24"/>
                <w:szCs w:val="24"/>
              </w:rPr>
              <w:t>④</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自基金合同生效日起至今（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-0.06%</w:t>
            </w:r>
          </w:p>
        </w:tc>
      </w:tr>
    </w:tbl>
    <w:p>
      <w:pPr>
        <w:autoSpaceDE w:val="0"/>
        <w:autoSpaceDN w:val="0"/>
        <w:adjustRightInd w:val="0"/>
        <w:spacing w:line="288" w:lineRule="auto"/>
        <w:jc w:val="left"/>
        <w:rPr>
          <w:rFonts w:ascii="Times New Roman" w:hAnsi="Times New Roman"/>
          <w:color w:val="000000"/>
          <w:kern w:val="0"/>
          <w:sz w:val="23"/>
          <w:szCs w:val="24"/>
        </w:rPr>
      </w:pPr>
    </w:p>
    <w:tbl>
      <w:tblPr>
        <w:tblStyle w:val="8"/>
        <w:tblW w:w="0" w:type="auto"/>
        <w:tblInd w:w="108" w:type="dxa"/>
        <w:tblLayout w:type="fixed"/>
        <w:tblCellMar>
          <w:top w:w="0" w:type="dxa"/>
          <w:left w:w="108" w:type="dxa"/>
          <w:bottom w:w="0" w:type="dxa"/>
          <w:right w:w="108" w:type="dxa"/>
        </w:tblCellMar>
      </w:tblPr>
      <w:tblGrid>
        <w:gridCol w:w="2468"/>
        <w:gridCol w:w="1084"/>
        <w:gridCol w:w="1083"/>
        <w:gridCol w:w="1084"/>
        <w:gridCol w:w="1084"/>
        <w:gridCol w:w="1083"/>
        <w:gridCol w:w="1084"/>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阶段</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C)</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份额净值增长率标准差②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①</w:t>
            </w:r>
            <w:r>
              <w:rPr>
                <w:rFonts w:ascii="Times New Roman" w:hAnsi="Times New Roman"/>
                <w:color w:val="000000"/>
                <w:kern w:val="0"/>
                <w:sz w:val="24"/>
                <w:szCs w:val="24"/>
              </w:rPr>
              <w:t>-</w:t>
            </w:r>
            <w:r>
              <w:rPr>
                <w:rFonts w:hint="eastAsia" w:ascii="Times New Roman" w:hAnsi="Times New Roman"/>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②</w:t>
            </w:r>
            <w:r>
              <w:rPr>
                <w:rFonts w:ascii="Times New Roman" w:hAnsi="Times New Roman"/>
                <w:color w:val="000000"/>
                <w:kern w:val="0"/>
                <w:sz w:val="24"/>
                <w:szCs w:val="24"/>
              </w:rPr>
              <w:t>-</w:t>
            </w:r>
            <w:r>
              <w:rPr>
                <w:rFonts w:hint="eastAsia" w:ascii="Times New Roman" w:hAnsi="Times New Roman"/>
                <w:color w:val="000000"/>
                <w:kern w:val="0"/>
                <w:sz w:val="24"/>
                <w:szCs w:val="24"/>
              </w:rPr>
              <w:t>④</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自基金合同生效日起至今（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3.2.2 </w:t>
      </w:r>
      <w:r>
        <w:rPr>
          <w:rFonts w:hint="eastAsia" w:ascii="Times New Roman" w:hAnsi="Times New Roman"/>
          <w:b/>
          <w:color w:val="000000"/>
          <w:kern w:val="0"/>
          <w:sz w:val="24"/>
          <w:szCs w:val="24"/>
        </w:rPr>
        <w:t>自基金合同生效以来基金份额累计净值增长率变动及其与同期业绩比较基准收益率变动的比较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6" o:spt="75" type="#_x0000_t75" style="height:211.7pt;width:441pt;" filled="f" stroked="f" coordsize="21600,21600">
            <v:path/>
            <v:fill on="f" focussize="0,0"/>
            <v:stroke on="f"/>
            <v:imagedata r:id="rId6" o:title=""/>
            <o:lock v:ext="edit" aspectratio="t"/>
            <w10:wrap type="none"/>
            <w10:anchorlock/>
          </v:shape>
        </w:pic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7" o:spt="75" type="#_x0000_t75" style="height:211.7pt;width:441pt;" filled="f" stroked="f" coordsize="21600,21600">
            <v:path/>
            <v:fill on="f" focussize="0,0"/>
            <v:stroke on="f"/>
            <v:imagedata r:id="rId7" o:title=""/>
            <o:lock v:ext="edit" aspectratio="t"/>
            <w10:wrap type="none"/>
            <w10:anchorlock/>
          </v:shape>
        </w:pic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3.2.3 </w:t>
      </w:r>
      <w:r>
        <w:rPr>
          <w:rFonts w:hint="eastAsia" w:ascii="Times New Roman" w:hAnsi="Times New Roman"/>
          <w:b/>
          <w:color w:val="000000"/>
          <w:kern w:val="0"/>
          <w:sz w:val="24"/>
          <w:szCs w:val="24"/>
        </w:rPr>
        <w:t>自基金合同生效以来基金每年净值增长率及其与同期业绩比较基准收益率的比较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8" o:spt="75" type="#_x0000_t75" style="height:211.7pt;width:441pt;" filled="f" stroked="f" coordsize="21600,21600">
            <v:path/>
            <v:fill on="f" focussize="0,0"/>
            <v:stroke on="f"/>
            <v:imagedata r:id="rId8" o:title=""/>
            <o:lock v:ext="edit" aspectratio="t"/>
            <w10:wrap type="none"/>
            <w10:anchorlock/>
          </v:shape>
        </w:pic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9" o:spt="75" type="#_x0000_t75" style="height:211.7pt;width:441pt;" filled="f" stroked="f" coordsize="21600,21600">
            <v:path/>
            <v:fill on="f" focussize="0,0"/>
            <v:stroke on="f"/>
            <v:imagedata r:id="rId9" o:title=""/>
            <o:lock v:ext="edit" aspectratio="t"/>
            <w10:wrap type="none"/>
            <w10:anchorlock/>
          </v:shape>
        </w:pic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3.3 </w:t>
      </w:r>
      <w:r>
        <w:rPr>
          <w:rFonts w:hint="eastAsia" w:ascii="Times New Roman" w:hAnsi="Times New Roman"/>
          <w:b/>
          <w:color w:val="000000"/>
          <w:kern w:val="0"/>
          <w:sz w:val="24"/>
          <w:szCs w:val="24"/>
        </w:rPr>
        <w:t>过去三年基金的利润分配情况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本基金自基金合同生效日（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日）至本报告期末未发生利润分配。</w:t>
      </w:r>
      <w:r>
        <w:rPr>
          <w:rFonts w:ascii="Times New Roman" w:hAnsi="Times New Roman"/>
          <w:color w:val="000000"/>
          <w:kern w:val="0"/>
          <w:sz w:val="24"/>
          <w:szCs w:val="24"/>
        </w:rPr>
        <w:t xml:space="preserve"> </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12" w:name="_Toc47795572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4  </w:t>
      </w:r>
      <w:r>
        <w:rPr>
          <w:rFonts w:hint="eastAsia" w:ascii="Times New Roman" w:hAnsi="Times New Roman"/>
          <w:b/>
          <w:color w:val="000000"/>
          <w:kern w:val="0"/>
          <w:sz w:val="24"/>
          <w:szCs w:val="24"/>
        </w:rPr>
        <w:t>管理人报告</w:t>
      </w:r>
      <w:bookmarkEnd w:id="12"/>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3" w:name="_Toc477955728"/>
      <w:r>
        <w:rPr>
          <w:rFonts w:ascii="Times New Roman" w:hAnsi="Times New Roman"/>
          <w:b/>
          <w:color w:val="000000"/>
          <w:kern w:val="0"/>
          <w:sz w:val="24"/>
          <w:szCs w:val="24"/>
        </w:rPr>
        <w:t xml:space="preserve">4.1 </w:t>
      </w:r>
      <w:r>
        <w:rPr>
          <w:rFonts w:hint="eastAsia" w:ascii="Times New Roman" w:hAnsi="Times New Roman"/>
          <w:b/>
          <w:color w:val="000000"/>
          <w:kern w:val="0"/>
          <w:sz w:val="24"/>
          <w:szCs w:val="24"/>
        </w:rPr>
        <w:t>基金管理人及基金经理情况</w:t>
      </w:r>
      <w:bookmarkEnd w:id="13"/>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4.1.1 </w:t>
      </w:r>
      <w:r>
        <w:rPr>
          <w:rFonts w:hint="eastAsia" w:ascii="Times New Roman" w:hAnsi="Times New Roman"/>
          <w:b/>
          <w:color w:val="000000"/>
          <w:kern w:val="0"/>
          <w:sz w:val="24"/>
          <w:szCs w:val="24"/>
        </w:rPr>
        <w:t>基金管理人及其管理基金的经验</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创金合信基金管理有限公司于</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3</w:t>
      </w:r>
      <w:r>
        <w:rPr>
          <w:rFonts w:hint="eastAsia" w:ascii="Times New Roman" w:hAnsi="Times New Roman"/>
          <w:color w:val="000000"/>
          <w:kern w:val="0"/>
          <w:sz w:val="24"/>
          <w:szCs w:val="24"/>
        </w:rPr>
        <w:t>日获得中国证监会批复，</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9</w:t>
      </w:r>
      <w:r>
        <w:rPr>
          <w:rFonts w:hint="eastAsia" w:ascii="Times New Roman" w:hAnsi="Times New Roman"/>
          <w:color w:val="000000"/>
          <w:kern w:val="0"/>
          <w:sz w:val="24"/>
          <w:szCs w:val="24"/>
        </w:rPr>
        <w:t>日正式注册设立，注册地为深圳市。公司由第一创业证券股份有限公司、深圳市金合信投资合伙企业（有限合伙）共同出资设立。公司注册资本</w:t>
      </w:r>
      <w:r>
        <w:rPr>
          <w:rFonts w:ascii="Times New Roman" w:hAnsi="Times New Roman"/>
          <w:color w:val="000000"/>
          <w:kern w:val="0"/>
          <w:sz w:val="24"/>
          <w:szCs w:val="24"/>
        </w:rPr>
        <w:t>1.7</w:t>
      </w:r>
      <w:r>
        <w:rPr>
          <w:rFonts w:hint="eastAsia" w:ascii="Times New Roman" w:hAnsi="Times New Roman"/>
          <w:color w:val="000000"/>
          <w:kern w:val="0"/>
          <w:sz w:val="24"/>
          <w:szCs w:val="24"/>
        </w:rPr>
        <w:t>亿元人民币，股东出资情况为：第一创业证券股份有限公司出资</w:t>
      </w:r>
      <w:r>
        <w:rPr>
          <w:rFonts w:ascii="Times New Roman" w:hAnsi="Times New Roman"/>
          <w:color w:val="000000"/>
          <w:kern w:val="0"/>
          <w:sz w:val="24"/>
          <w:szCs w:val="24"/>
        </w:rPr>
        <w:t>11,900</w:t>
      </w:r>
      <w:r>
        <w:rPr>
          <w:rFonts w:hint="eastAsia" w:ascii="Times New Roman" w:hAnsi="Times New Roman"/>
          <w:color w:val="000000"/>
          <w:kern w:val="0"/>
          <w:sz w:val="24"/>
          <w:szCs w:val="24"/>
        </w:rPr>
        <w:t>万元，占公司注册资本的</w:t>
      </w:r>
      <w:r>
        <w:rPr>
          <w:rFonts w:ascii="Times New Roman" w:hAnsi="Times New Roman"/>
          <w:color w:val="000000"/>
          <w:kern w:val="0"/>
          <w:sz w:val="24"/>
          <w:szCs w:val="24"/>
        </w:rPr>
        <w:t>70%</w:t>
      </w:r>
      <w:r>
        <w:rPr>
          <w:rFonts w:hint="eastAsia" w:ascii="Times New Roman" w:hAnsi="Times New Roman"/>
          <w:color w:val="000000"/>
          <w:kern w:val="0"/>
          <w:sz w:val="24"/>
          <w:szCs w:val="24"/>
        </w:rPr>
        <w:t>；深圳市金合信投资合伙企业（有限合伙）出资</w:t>
      </w:r>
      <w:r>
        <w:rPr>
          <w:rFonts w:ascii="Times New Roman" w:hAnsi="Times New Roman"/>
          <w:color w:val="000000"/>
          <w:kern w:val="0"/>
          <w:sz w:val="24"/>
          <w:szCs w:val="24"/>
        </w:rPr>
        <w:t>5,100</w:t>
      </w:r>
      <w:r>
        <w:rPr>
          <w:rFonts w:hint="eastAsia" w:ascii="Times New Roman" w:hAnsi="Times New Roman"/>
          <w:color w:val="000000"/>
          <w:kern w:val="0"/>
          <w:sz w:val="24"/>
          <w:szCs w:val="24"/>
        </w:rPr>
        <w:t>万元，占公司注册资本的</w:t>
      </w:r>
      <w:r>
        <w:rPr>
          <w:rFonts w:ascii="Times New Roman" w:hAnsi="Times New Roman"/>
          <w:color w:val="000000"/>
          <w:kern w:val="0"/>
          <w:sz w:val="24"/>
          <w:szCs w:val="24"/>
        </w:rPr>
        <w:t>30%</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公司始终坚持</w:t>
      </w:r>
      <w:r>
        <w:rPr>
          <w:rFonts w:ascii="Times New Roman" w:hAnsi="Times New Roman"/>
          <w:color w:val="000000"/>
          <w:kern w:val="0"/>
          <w:sz w:val="24"/>
          <w:szCs w:val="24"/>
        </w:rPr>
        <w:t>"</w:t>
      </w:r>
      <w:r>
        <w:rPr>
          <w:rFonts w:hint="eastAsia" w:ascii="Times New Roman" w:hAnsi="Times New Roman"/>
          <w:color w:val="000000"/>
          <w:kern w:val="0"/>
          <w:sz w:val="24"/>
          <w:szCs w:val="24"/>
        </w:rPr>
        <w:t>客户利益至上</w:t>
      </w:r>
      <w:r>
        <w:rPr>
          <w:rFonts w:ascii="Times New Roman" w:hAnsi="Times New Roman"/>
          <w:color w:val="000000"/>
          <w:kern w:val="0"/>
          <w:sz w:val="24"/>
          <w:szCs w:val="24"/>
        </w:rPr>
        <w:t>"</w:t>
      </w:r>
      <w:r>
        <w:rPr>
          <w:rFonts w:hint="eastAsia" w:ascii="Times New Roman" w:hAnsi="Times New Roman"/>
          <w:color w:val="000000"/>
          <w:kern w:val="0"/>
          <w:sz w:val="24"/>
          <w:szCs w:val="24"/>
        </w:rPr>
        <w:t>，致力于为客户实现长期稳定的投资回报，做客户投资理财的亲密伙伴。</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报告期内，本公司共发行</w:t>
      </w:r>
      <w:r>
        <w:rPr>
          <w:rFonts w:ascii="Times New Roman" w:hAnsi="Times New Roman"/>
          <w:color w:val="000000"/>
          <w:kern w:val="0"/>
          <w:sz w:val="24"/>
          <w:szCs w:val="24"/>
        </w:rPr>
        <w:t>17</w:t>
      </w:r>
      <w:r>
        <w:rPr>
          <w:rFonts w:hint="eastAsia" w:ascii="Times New Roman" w:hAnsi="Times New Roman"/>
          <w:color w:val="000000"/>
          <w:kern w:val="0"/>
          <w:sz w:val="24"/>
          <w:szCs w:val="24"/>
        </w:rPr>
        <w:t>只公募基金。截至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日，本公司共管理</w:t>
      </w:r>
      <w:r>
        <w:rPr>
          <w:rFonts w:ascii="Times New Roman" w:hAnsi="Times New Roman"/>
          <w:color w:val="000000"/>
          <w:kern w:val="0"/>
          <w:sz w:val="24"/>
          <w:szCs w:val="24"/>
        </w:rPr>
        <w:t>24</w:t>
      </w:r>
      <w:r>
        <w:rPr>
          <w:rFonts w:hint="eastAsia" w:ascii="Times New Roman" w:hAnsi="Times New Roman"/>
          <w:color w:val="000000"/>
          <w:kern w:val="0"/>
          <w:sz w:val="24"/>
          <w:szCs w:val="24"/>
        </w:rPr>
        <w:t>只公募基金，其中混合型产品</w:t>
      </w:r>
      <w:r>
        <w:rPr>
          <w:rFonts w:ascii="Times New Roman" w:hAnsi="Times New Roman"/>
          <w:color w:val="000000"/>
          <w:kern w:val="0"/>
          <w:sz w:val="24"/>
          <w:szCs w:val="24"/>
        </w:rPr>
        <w:t>9</w:t>
      </w:r>
      <w:r>
        <w:rPr>
          <w:rFonts w:hint="eastAsia" w:ascii="Times New Roman" w:hAnsi="Times New Roman"/>
          <w:color w:val="000000"/>
          <w:kern w:val="0"/>
          <w:sz w:val="24"/>
          <w:szCs w:val="24"/>
        </w:rPr>
        <w:t>只、指数型产品</w:t>
      </w:r>
      <w:r>
        <w:rPr>
          <w:rFonts w:ascii="Times New Roman" w:hAnsi="Times New Roman"/>
          <w:color w:val="000000"/>
          <w:kern w:val="0"/>
          <w:sz w:val="24"/>
          <w:szCs w:val="24"/>
        </w:rPr>
        <w:t>3</w:t>
      </w:r>
      <w:r>
        <w:rPr>
          <w:rFonts w:hint="eastAsia" w:ascii="Times New Roman" w:hAnsi="Times New Roman"/>
          <w:color w:val="000000"/>
          <w:kern w:val="0"/>
          <w:sz w:val="24"/>
          <w:szCs w:val="24"/>
        </w:rPr>
        <w:t>只、债券型产品</w:t>
      </w:r>
      <w:r>
        <w:rPr>
          <w:rFonts w:ascii="Times New Roman" w:hAnsi="Times New Roman"/>
          <w:color w:val="000000"/>
          <w:kern w:val="0"/>
          <w:sz w:val="24"/>
          <w:szCs w:val="24"/>
        </w:rPr>
        <w:t>8</w:t>
      </w:r>
      <w:r>
        <w:rPr>
          <w:rFonts w:hint="eastAsia" w:ascii="Times New Roman" w:hAnsi="Times New Roman"/>
          <w:color w:val="000000"/>
          <w:kern w:val="0"/>
          <w:sz w:val="24"/>
          <w:szCs w:val="24"/>
        </w:rPr>
        <w:t>只、股票型产品</w:t>
      </w:r>
      <w:r>
        <w:rPr>
          <w:rFonts w:ascii="Times New Roman" w:hAnsi="Times New Roman"/>
          <w:color w:val="000000"/>
          <w:kern w:val="0"/>
          <w:sz w:val="24"/>
          <w:szCs w:val="24"/>
        </w:rPr>
        <w:t>3</w:t>
      </w:r>
      <w:r>
        <w:rPr>
          <w:rFonts w:hint="eastAsia" w:ascii="Times New Roman" w:hAnsi="Times New Roman"/>
          <w:color w:val="000000"/>
          <w:kern w:val="0"/>
          <w:sz w:val="24"/>
          <w:szCs w:val="24"/>
        </w:rPr>
        <w:t>只、货币型产品</w:t>
      </w:r>
      <w:r>
        <w:rPr>
          <w:rFonts w:ascii="Times New Roman" w:hAnsi="Times New Roman"/>
          <w:color w:val="000000"/>
          <w:kern w:val="0"/>
          <w:sz w:val="24"/>
          <w:szCs w:val="24"/>
        </w:rPr>
        <w:t>1</w:t>
      </w:r>
      <w:r>
        <w:rPr>
          <w:rFonts w:hint="eastAsia" w:ascii="Times New Roman" w:hAnsi="Times New Roman"/>
          <w:color w:val="000000"/>
          <w:kern w:val="0"/>
          <w:sz w:val="24"/>
          <w:szCs w:val="24"/>
        </w:rPr>
        <w:t>只；管理的公募基金规模约</w:t>
      </w:r>
      <w:r>
        <w:rPr>
          <w:rFonts w:ascii="Times New Roman" w:hAnsi="Times New Roman"/>
          <w:color w:val="000000"/>
          <w:kern w:val="0"/>
          <w:sz w:val="24"/>
          <w:szCs w:val="24"/>
        </w:rPr>
        <w:t>142.74</w:t>
      </w:r>
      <w:r>
        <w:rPr>
          <w:rFonts w:hint="eastAsia" w:ascii="Times New Roman" w:hAnsi="Times New Roman"/>
          <w:color w:val="000000"/>
          <w:kern w:val="0"/>
          <w:sz w:val="24"/>
          <w:szCs w:val="24"/>
        </w:rPr>
        <w:t>亿元。</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4.1.2 </w:t>
      </w:r>
      <w:r>
        <w:rPr>
          <w:rFonts w:hint="eastAsia" w:ascii="Times New Roman" w:hAnsi="Times New Roman"/>
          <w:b/>
          <w:color w:val="000000"/>
          <w:kern w:val="0"/>
          <w:sz w:val="24"/>
          <w:szCs w:val="24"/>
        </w:rPr>
        <w:t>基金经理（或基金经理小组）及基金经理助理简介</w:t>
      </w:r>
    </w:p>
    <w:tbl>
      <w:tblPr>
        <w:tblStyle w:val="8"/>
        <w:tblW w:w="0" w:type="auto"/>
        <w:tblInd w:w="108" w:type="dxa"/>
        <w:tblLayout w:type="fixed"/>
        <w:tblCellMar>
          <w:top w:w="0" w:type="dxa"/>
          <w:left w:w="108" w:type="dxa"/>
          <w:bottom w:w="0" w:type="dxa"/>
          <w:right w:w="108" w:type="dxa"/>
        </w:tblCellMar>
      </w:tblPr>
      <w:tblGrid>
        <w:gridCol w:w="1023"/>
        <w:gridCol w:w="1084"/>
        <w:gridCol w:w="1445"/>
        <w:gridCol w:w="1445"/>
        <w:gridCol w:w="1083"/>
        <w:gridCol w:w="2890"/>
      </w:tblGrid>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姓名</w:t>
            </w:r>
          </w:p>
        </w:tc>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职务</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说明</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任职日期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离任日期</w:t>
            </w: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李晗</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李晗先生，中国国籍，中南财经政法大学硕士，金融风险管理师（</w:t>
            </w:r>
            <w:r>
              <w:rPr>
                <w:rFonts w:ascii="Times New Roman" w:hAnsi="Times New Roman"/>
                <w:color w:val="000000"/>
                <w:kern w:val="0"/>
                <w:sz w:val="24"/>
                <w:szCs w:val="24"/>
              </w:rPr>
              <w:t>FRM</w:t>
            </w:r>
            <w:r>
              <w:rPr>
                <w:rFonts w:hint="eastAsia" w:ascii="Times New Roman" w:hAnsi="Times New Roman"/>
                <w:color w:val="000000"/>
                <w:kern w:val="0"/>
                <w:sz w:val="24"/>
                <w:szCs w:val="24"/>
              </w:rPr>
              <w:t>），权益投资基金经理。</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投资中注重基本面研究，寻找行业和企业发展的拐点，擅长挖掘估值合理的持续成长股，与优质企业共同成长中获取丰厚回报。</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曾任职于海航集团从事并购整合业务。此后任职于鹏华基金，从事专户业务、企业年金业务的研究工作。</w:t>
            </w:r>
            <w:r>
              <w:rPr>
                <w:rFonts w:ascii="Times New Roman" w:hAnsi="Times New Roman"/>
                <w:color w:val="000000"/>
                <w:kern w:val="0"/>
                <w:sz w:val="24"/>
                <w:szCs w:val="24"/>
              </w:rPr>
              <w:t xml:space="preserve"> 2009</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月加盟第一创业证券资产管理部，曾担任多个集合理财产品投资主办，投资经验丰富。</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月加入创金合信基金管理有限公司，现任基金经理。</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庞世恩</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05</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庞世恩先生，中国国籍，中国人民大学理学硕士。</w:t>
            </w:r>
            <w:r>
              <w:rPr>
                <w:rFonts w:ascii="Times New Roman" w:hAnsi="Times New Roman"/>
                <w:color w:val="000000"/>
                <w:kern w:val="0"/>
                <w:sz w:val="24"/>
                <w:szCs w:val="24"/>
              </w:rPr>
              <w:t>2011</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月加入泰康资产管理有限责任公司，历任金融工程助理研究员、金融工程研究经理、金融工程研究高级经理、金融工程研究总监、执行投资经理。</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9</w:t>
            </w:r>
            <w:r>
              <w:rPr>
                <w:rFonts w:hint="eastAsia" w:ascii="Times New Roman" w:hAnsi="Times New Roman"/>
                <w:color w:val="000000"/>
                <w:kern w:val="0"/>
                <w:sz w:val="24"/>
                <w:szCs w:val="24"/>
              </w:rPr>
              <w:t>月加入创金合信基金管理有限公司，现任基金经理。</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蒋小玲</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09</w:t>
            </w:r>
            <w:r>
              <w:rPr>
                <w:rFonts w:hint="eastAsia" w:ascii="Times New Roman" w:hAnsi="Times New Roman"/>
                <w:color w:val="000000"/>
                <w:kern w:val="0"/>
                <w:sz w:val="24"/>
                <w:szCs w:val="24"/>
              </w:rPr>
              <w:t>月</w:t>
            </w:r>
            <w:r>
              <w:rPr>
                <w:rFonts w:ascii="Times New Roman" w:hAnsi="Times New Roman"/>
                <w:color w:val="000000"/>
                <w:kern w:val="0"/>
                <w:sz w:val="24"/>
                <w:szCs w:val="24"/>
              </w:rPr>
              <w:t>05</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蒋小玲女士，中国国籍，</w:t>
            </w:r>
            <w:r>
              <w:rPr>
                <w:rFonts w:ascii="Times New Roman" w:hAnsi="Times New Roman"/>
                <w:color w:val="000000"/>
                <w:kern w:val="0"/>
                <w:sz w:val="24"/>
                <w:szCs w:val="24"/>
              </w:rPr>
              <w:t>2002</w:t>
            </w:r>
            <w:r>
              <w:rPr>
                <w:rFonts w:hint="eastAsia" w:ascii="Times New Roman" w:hAnsi="Times New Roman"/>
                <w:color w:val="000000"/>
                <w:kern w:val="0"/>
                <w:sz w:val="24"/>
                <w:szCs w:val="24"/>
              </w:rPr>
              <w:t>年</w:t>
            </w:r>
            <w:r>
              <w:rPr>
                <w:rFonts w:ascii="Times New Roman" w:hAnsi="Times New Roman"/>
                <w:color w:val="000000"/>
                <w:kern w:val="0"/>
                <w:sz w:val="24"/>
                <w:szCs w:val="24"/>
              </w:rPr>
              <w:t>9</w:t>
            </w:r>
            <w:r>
              <w:rPr>
                <w:rFonts w:hint="eastAsia" w:ascii="Times New Roman" w:hAnsi="Times New Roman"/>
                <w:color w:val="000000"/>
                <w:kern w:val="0"/>
                <w:sz w:val="24"/>
                <w:szCs w:val="24"/>
              </w:rPr>
              <w:t>月</w:t>
            </w:r>
            <w:r>
              <w:rPr>
                <w:rFonts w:ascii="Times New Roman" w:hAnsi="Times New Roman"/>
                <w:color w:val="000000"/>
                <w:kern w:val="0"/>
                <w:sz w:val="24"/>
                <w:szCs w:val="24"/>
              </w:rPr>
              <w:t>-2009</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月任职于武进农村商业银行，</w:t>
            </w:r>
            <w:r>
              <w:rPr>
                <w:rFonts w:ascii="Times New Roman" w:hAnsi="Times New Roman"/>
                <w:color w:val="000000"/>
                <w:kern w:val="0"/>
                <w:sz w:val="24"/>
                <w:szCs w:val="24"/>
              </w:rPr>
              <w:t>2010</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月任职于江苏江南农村商业银行股份有限公司，历任金融市场部同业经理、交易员、投资经理等职务。</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月加入创金合信基金管理有限公司，现任基金经理。</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、本基金首任基金经理的任职日期为本基金合同生效日，离任日期、后任基金经理的任职日期指公司作出决定的公告（生效）日期；</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、证券从业年限计算的起止时间按照从事证券行业开始时间计算。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4" w:name="_Toc477955729"/>
      <w:r>
        <w:rPr>
          <w:rFonts w:ascii="Times New Roman" w:hAnsi="Times New Roman"/>
          <w:b/>
          <w:color w:val="000000"/>
          <w:kern w:val="0"/>
          <w:sz w:val="24"/>
          <w:szCs w:val="24"/>
        </w:rPr>
        <w:t xml:space="preserve">4.2 </w:t>
      </w:r>
      <w:r>
        <w:rPr>
          <w:rFonts w:hint="eastAsia" w:ascii="Times New Roman" w:hAnsi="Times New Roman"/>
          <w:b/>
          <w:color w:val="000000"/>
          <w:kern w:val="0"/>
          <w:sz w:val="24"/>
          <w:szCs w:val="24"/>
        </w:rPr>
        <w:t>管理人对报告期内本基金运作遵规守信情况的说明</w:t>
      </w:r>
      <w:bookmarkEnd w:id="14"/>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鑫回报灵活配置混合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5" w:name="_Toc477955730"/>
      <w:r>
        <w:rPr>
          <w:rFonts w:ascii="Times New Roman" w:hAnsi="Times New Roman"/>
          <w:b/>
          <w:color w:val="000000"/>
          <w:kern w:val="0"/>
          <w:sz w:val="24"/>
          <w:szCs w:val="24"/>
        </w:rPr>
        <w:t xml:space="preserve">4.3 </w:t>
      </w:r>
      <w:r>
        <w:rPr>
          <w:rFonts w:hint="eastAsia" w:ascii="Times New Roman" w:hAnsi="Times New Roman"/>
          <w:b/>
          <w:color w:val="000000"/>
          <w:kern w:val="0"/>
          <w:sz w:val="24"/>
          <w:szCs w:val="24"/>
        </w:rPr>
        <w:t>管理人对报告期内公平交易情况的专项说明</w:t>
      </w:r>
      <w:bookmarkEnd w:id="15"/>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4.3.1 </w:t>
      </w:r>
      <w:r>
        <w:rPr>
          <w:rFonts w:hint="eastAsia" w:ascii="Times New Roman" w:hAnsi="Times New Roman"/>
          <w:b/>
          <w:color w:val="000000"/>
          <w:kern w:val="0"/>
          <w:sz w:val="24"/>
          <w:szCs w:val="24"/>
        </w:rPr>
        <w:t>公平交易制度和控制方法</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为了进一步规范和完善本基金管理人（以下简称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本公司</w:t>
      </w:r>
      <w:r>
        <w:rPr>
          <w:rFonts w:ascii="Times New Roman" w:hAnsi="Times New Roman"/>
          <w:color w:val="000000"/>
          <w:kern w:val="0"/>
          <w:sz w:val="24"/>
          <w:szCs w:val="24"/>
        </w:rPr>
        <w:t>"</w:t>
      </w:r>
      <w:r>
        <w:rPr>
          <w:rFonts w:hint="eastAsia" w:ascii="Times New Roman" w:hAnsi="Times New Roman"/>
          <w:color w:val="000000"/>
          <w:kern w:val="0"/>
          <w:sz w:val="24"/>
          <w:szCs w:val="24"/>
        </w:rPr>
        <w:t>）投资和交易管理，严格遵守法律法规关于公平交易的相关规定，根据《中华人民共和国证券投资基金法》、《证券投资基金管理公司管理办法》、《证券投资基金管理公司公平交易制度指导意见（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、授权、研究分析与投资决策的内部控制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、交易执行的内部控制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、交易指令分配的控制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所有投资对象的投资指令必须经由交易室总监或其授权人审核后分配至交易员执行。</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、公平交易监控</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ascii="Times New Roman" w:hAnsi="Times New Roman"/>
          <w:color w:val="000000"/>
          <w:kern w:val="0"/>
          <w:sz w:val="24"/>
          <w:szCs w:val="24"/>
        </w:rPr>
        <w:t>1</w:t>
      </w:r>
      <w:r>
        <w:rPr>
          <w:rFonts w:hint="eastAsia" w:ascii="Times New Roman" w:hAnsi="Times New Roman"/>
          <w:color w:val="000000"/>
          <w:kern w:val="0"/>
          <w:sz w:val="24"/>
          <w:szCs w:val="24"/>
        </w:rPr>
        <w:t>日内、</w:t>
      </w:r>
      <w:r>
        <w:rPr>
          <w:rFonts w:ascii="Times New Roman" w:hAnsi="Times New Roman"/>
          <w:color w:val="000000"/>
          <w:kern w:val="0"/>
          <w:sz w:val="24"/>
          <w:szCs w:val="24"/>
        </w:rPr>
        <w:t>3</w:t>
      </w:r>
      <w:r>
        <w:rPr>
          <w:rFonts w:hint="eastAsia" w:ascii="Times New Roman" w:hAnsi="Times New Roman"/>
          <w:color w:val="000000"/>
          <w:kern w:val="0"/>
          <w:sz w:val="24"/>
          <w:szCs w:val="24"/>
        </w:rPr>
        <w:t>日、</w:t>
      </w:r>
      <w:r>
        <w:rPr>
          <w:rFonts w:ascii="Times New Roman" w:hAnsi="Times New Roman"/>
          <w:color w:val="000000"/>
          <w:kern w:val="0"/>
          <w:sz w:val="24"/>
          <w:szCs w:val="24"/>
        </w:rPr>
        <w:t>5</w:t>
      </w:r>
      <w:r>
        <w:rPr>
          <w:rFonts w:hint="eastAsia" w:ascii="Times New Roman" w:hAnsi="Times New Roman"/>
          <w:color w:val="000000"/>
          <w:kern w:val="0"/>
          <w:sz w:val="24"/>
          <w:szCs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4.3.2 </w:t>
      </w:r>
      <w:r>
        <w:rPr>
          <w:rFonts w:hint="eastAsia" w:ascii="Times New Roman" w:hAnsi="Times New Roman"/>
          <w:b/>
          <w:color w:val="000000"/>
          <w:kern w:val="0"/>
          <w:sz w:val="24"/>
          <w:szCs w:val="24"/>
        </w:rPr>
        <w:t>公平交易制度的执行情况</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本基金管理人严格执行《证券投资基金管理公司公平交易制度指导意见（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年修订）》及《创金合信基金管理有限公司公平交易制度》对本年度同向交易价差、反向交易进行了专项分析，未发现异常交易情况。</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4.3.3 </w:t>
      </w:r>
      <w:r>
        <w:rPr>
          <w:rFonts w:hint="eastAsia" w:ascii="Times New Roman" w:hAnsi="Times New Roman"/>
          <w:b/>
          <w:color w:val="000000"/>
          <w:kern w:val="0"/>
          <w:sz w:val="24"/>
          <w:szCs w:val="24"/>
        </w:rPr>
        <w:t>异常交易行为的专项说明</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本报告期内，公司旗下所有投资组合参与的交易所公开竞价交易中，同日反向交易成交较少的单边交易量超过该证券当日成交量的</w:t>
      </w:r>
      <w:r>
        <w:rPr>
          <w:rFonts w:ascii="Times New Roman" w:hAnsi="Times New Roman"/>
          <w:color w:val="000000"/>
          <w:kern w:val="0"/>
          <w:sz w:val="24"/>
          <w:szCs w:val="24"/>
        </w:rPr>
        <w:t>5%</w:t>
      </w:r>
      <w:r>
        <w:rPr>
          <w:rFonts w:hint="eastAsia" w:ascii="Times New Roman" w:hAnsi="Times New Roman"/>
          <w:color w:val="000000"/>
          <w:kern w:val="0"/>
          <w:sz w:val="24"/>
          <w:szCs w:val="24"/>
        </w:rPr>
        <w:t>的交易共</w:t>
      </w:r>
      <w:r>
        <w:rPr>
          <w:rFonts w:ascii="Times New Roman" w:hAnsi="Times New Roman"/>
          <w:color w:val="000000"/>
          <w:kern w:val="0"/>
          <w:sz w:val="24"/>
          <w:szCs w:val="24"/>
        </w:rPr>
        <w:t>3</w:t>
      </w:r>
      <w:r>
        <w:rPr>
          <w:rFonts w:hint="eastAsia" w:ascii="Times New Roman" w:hAnsi="Times New Roman"/>
          <w:color w:val="000000"/>
          <w:kern w:val="0"/>
          <w:sz w:val="24"/>
          <w:szCs w:val="24"/>
        </w:rPr>
        <w:t>次，为基金在调仓时点因选股模型和其他基金选股模型产生分歧而发生的反向交易，未对当天的股票价格产生冲击。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本报告期内，未发现本基金有可能导致不公平交易和利益输送的异常交易。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6" w:name="_Toc477955731"/>
      <w:r>
        <w:rPr>
          <w:rFonts w:ascii="Times New Roman" w:hAnsi="Times New Roman"/>
          <w:b/>
          <w:color w:val="000000"/>
          <w:kern w:val="0"/>
          <w:sz w:val="24"/>
          <w:szCs w:val="24"/>
        </w:rPr>
        <w:t xml:space="preserve">4.4 </w:t>
      </w:r>
      <w:r>
        <w:rPr>
          <w:rFonts w:hint="eastAsia" w:ascii="Times New Roman" w:hAnsi="Times New Roman"/>
          <w:b/>
          <w:color w:val="000000"/>
          <w:kern w:val="0"/>
          <w:sz w:val="24"/>
          <w:szCs w:val="24"/>
        </w:rPr>
        <w:t>管理人对报告期内基金的投资策略和业绩表现说明</w:t>
      </w:r>
      <w:bookmarkEnd w:id="16"/>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4.4.1 </w:t>
      </w:r>
      <w:r>
        <w:rPr>
          <w:rFonts w:hint="eastAsia" w:ascii="Times New Roman" w:hAnsi="Times New Roman"/>
          <w:b/>
          <w:color w:val="000000"/>
          <w:kern w:val="0"/>
          <w:sz w:val="24"/>
          <w:szCs w:val="24"/>
        </w:rPr>
        <w:t>报告期内基金投资策略和运作分析</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在债券市场方面，</w:t>
      </w:r>
      <w:r>
        <w:rPr>
          <w:rFonts w:ascii="Times New Roman" w:hAnsi="Times New Roman"/>
          <w:color w:val="000000"/>
          <w:kern w:val="0"/>
          <w:sz w:val="24"/>
          <w:szCs w:val="24"/>
        </w:rPr>
        <w:t>2016</w:t>
      </w:r>
      <w:r>
        <w:rPr>
          <w:rFonts w:hint="eastAsia" w:ascii="Times New Roman" w:hAnsi="Times New Roman"/>
          <w:color w:val="000000"/>
          <w:kern w:val="0"/>
          <w:sz w:val="24"/>
          <w:szCs w:val="24"/>
        </w:rPr>
        <w:t>年成为</w:t>
      </w:r>
      <w:r>
        <w:rPr>
          <w:rFonts w:ascii="Times New Roman" w:hAnsi="Times New Roman"/>
          <w:color w:val="000000"/>
          <w:kern w:val="0"/>
          <w:sz w:val="24"/>
          <w:szCs w:val="24"/>
        </w:rPr>
        <w:t>2014</w:t>
      </w:r>
      <w:r>
        <w:rPr>
          <w:rFonts w:hint="eastAsia" w:ascii="Times New Roman" w:hAnsi="Times New Roman"/>
          <w:color w:val="000000"/>
          <w:kern w:val="0"/>
          <w:sz w:val="24"/>
          <w:szCs w:val="24"/>
        </w:rPr>
        <w:t>年以来债牛的末期，并在年底开始扭转走熊。主要变化因素在于：第一，</w:t>
      </w:r>
      <w:r>
        <w:rPr>
          <w:rFonts w:ascii="Times New Roman" w:hAnsi="Times New Roman"/>
          <w:color w:val="000000"/>
          <w:kern w:val="0"/>
          <w:sz w:val="24"/>
          <w:szCs w:val="24"/>
        </w:rPr>
        <w:t>2016</w:t>
      </w:r>
      <w:r>
        <w:rPr>
          <w:rFonts w:hint="eastAsia" w:ascii="Times New Roman" w:hAnsi="Times New Roman"/>
          <w:color w:val="000000"/>
          <w:kern w:val="0"/>
          <w:sz w:val="24"/>
          <w:szCs w:val="24"/>
        </w:rPr>
        <w:t>年经济整体走平，步入</w:t>
      </w:r>
      <w:r>
        <w:rPr>
          <w:rFonts w:ascii="Times New Roman" w:hAnsi="Times New Roman"/>
          <w:color w:val="000000"/>
          <w:kern w:val="0"/>
          <w:sz w:val="24"/>
          <w:szCs w:val="24"/>
        </w:rPr>
        <w:t>L</w:t>
      </w:r>
      <w:r>
        <w:rPr>
          <w:rFonts w:hint="eastAsia" w:ascii="Times New Roman" w:hAnsi="Times New Roman"/>
          <w:color w:val="000000"/>
          <w:kern w:val="0"/>
          <w:sz w:val="24"/>
          <w:szCs w:val="24"/>
        </w:rPr>
        <w:t>型的底部阶段，而同时大宗商品价格暴涨、以房价为首的资产价格暴涨；第二，</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9</w:t>
      </w:r>
      <w:r>
        <w:rPr>
          <w:rFonts w:hint="eastAsia" w:ascii="Times New Roman" w:hAnsi="Times New Roman"/>
          <w:color w:val="000000"/>
          <w:kern w:val="0"/>
          <w:sz w:val="24"/>
          <w:szCs w:val="24"/>
        </w:rPr>
        <w:t>日《人民日报》刊登了《开局首季问大势》的权威人士讲话，正式确认了宏观政策从稳增长向防风险、抑泡沫重心转换；第三，在经济走稳、通胀预期抬升的基础上，为防风险、抑泡沫，货币政策最终在下半年开始通过公开市场释放长期限资金，抬升利率水平，并实施将理财纳入</w:t>
      </w:r>
      <w:r>
        <w:rPr>
          <w:rFonts w:ascii="Times New Roman" w:hAnsi="Times New Roman"/>
          <w:color w:val="000000"/>
          <w:kern w:val="0"/>
          <w:sz w:val="24"/>
          <w:szCs w:val="24"/>
        </w:rPr>
        <w:t>MPA</w:t>
      </w:r>
      <w:r>
        <w:rPr>
          <w:rFonts w:hint="eastAsia" w:ascii="Times New Roman" w:hAnsi="Times New Roman"/>
          <w:color w:val="000000"/>
          <w:kern w:val="0"/>
          <w:sz w:val="24"/>
          <w:szCs w:val="24"/>
        </w:rPr>
        <w:t>考核等宏观审慎措施。在上述因素变化下，同时叠加了流动性危机，年底债市收益率大幅上行，幅度普遍在</w:t>
      </w:r>
      <w:r>
        <w:rPr>
          <w:rFonts w:ascii="Times New Roman" w:hAnsi="Times New Roman"/>
          <w:color w:val="000000"/>
          <w:kern w:val="0"/>
          <w:sz w:val="24"/>
          <w:szCs w:val="24"/>
        </w:rPr>
        <w:t>100-150bp</w:t>
      </w:r>
      <w:r>
        <w:rPr>
          <w:rFonts w:hint="eastAsia" w:ascii="Times New Roman" w:hAnsi="Times New Roman"/>
          <w:color w:val="000000"/>
          <w:kern w:val="0"/>
          <w:sz w:val="24"/>
          <w:szCs w:val="24"/>
        </w:rPr>
        <w:t>。在债券市场极度紧张时期，央行及时释放流动性，守住系统性风险不发生的底线。</w:t>
      </w:r>
      <w:r>
        <w:rPr>
          <w:rFonts w:ascii="Times New Roman" w:hAnsi="Times New Roman"/>
          <w:color w:val="000000"/>
          <w:kern w:val="0"/>
          <w:sz w:val="24"/>
          <w:szCs w:val="24"/>
        </w:rPr>
        <w:t>2016</w:t>
      </w:r>
      <w:r>
        <w:rPr>
          <w:rFonts w:hint="eastAsia" w:ascii="Times New Roman" w:hAnsi="Times New Roman"/>
          <w:color w:val="000000"/>
          <w:kern w:val="0"/>
          <w:sz w:val="24"/>
          <w:szCs w:val="24"/>
        </w:rPr>
        <w:t>年本基金采取稳健投资策略，在防范风险的同时为投资者赚取更好的收益。</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在权益投资方面，回顾</w:t>
      </w:r>
      <w:r>
        <w:rPr>
          <w:rFonts w:ascii="Times New Roman" w:hAnsi="Times New Roman"/>
          <w:color w:val="000000"/>
          <w:kern w:val="0"/>
          <w:sz w:val="24"/>
          <w:szCs w:val="24"/>
        </w:rPr>
        <w:t>2016</w:t>
      </w:r>
      <w:r>
        <w:rPr>
          <w:rFonts w:hint="eastAsia" w:ascii="Times New Roman" w:hAnsi="Times New Roman"/>
          <w:color w:val="000000"/>
          <w:kern w:val="0"/>
          <w:sz w:val="24"/>
          <w:szCs w:val="24"/>
        </w:rPr>
        <w:t>年，我们严格依据量化模型进行投资，并严格进行风险管理。一方面，量化选股模型提供了持续稳健的</w:t>
      </w:r>
      <w:r>
        <w:rPr>
          <w:rFonts w:ascii="Times New Roman" w:hAnsi="Times New Roman"/>
          <w:color w:val="000000"/>
          <w:kern w:val="0"/>
          <w:sz w:val="24"/>
          <w:szCs w:val="24"/>
        </w:rPr>
        <w:t>Alpha</w:t>
      </w:r>
      <w:r>
        <w:rPr>
          <w:rFonts w:hint="eastAsia" w:ascii="Times New Roman" w:hAnsi="Times New Roman"/>
          <w:color w:val="000000"/>
          <w:kern w:val="0"/>
          <w:sz w:val="24"/>
          <w:szCs w:val="24"/>
        </w:rPr>
        <w:t>；另一方面，仓位管理上，我们严格按照量化择时模型进行操作。</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4.4.2 </w:t>
      </w:r>
      <w:r>
        <w:rPr>
          <w:rFonts w:hint="eastAsia" w:ascii="Times New Roman" w:hAnsi="Times New Roman"/>
          <w:b/>
          <w:color w:val="000000"/>
          <w:kern w:val="0"/>
          <w:sz w:val="24"/>
          <w:szCs w:val="24"/>
        </w:rPr>
        <w:t>报告期内基金的业绩表现</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年，自基金合同生效日起至报告期末，本基金</w:t>
      </w:r>
      <w:r>
        <w:rPr>
          <w:rFonts w:ascii="Times New Roman" w:hAnsi="Times New Roman"/>
          <w:color w:val="000000"/>
          <w:kern w:val="0"/>
          <w:sz w:val="24"/>
          <w:szCs w:val="24"/>
        </w:rPr>
        <w:t>A</w:t>
      </w:r>
      <w:r>
        <w:rPr>
          <w:rFonts w:hint="eastAsia" w:ascii="Times New Roman" w:hAnsi="Times New Roman"/>
          <w:color w:val="000000"/>
          <w:kern w:val="0"/>
          <w:sz w:val="24"/>
          <w:szCs w:val="24"/>
        </w:rPr>
        <w:t>类净值增长率为</w:t>
      </w:r>
      <w:r>
        <w:rPr>
          <w:rFonts w:ascii="Times New Roman" w:hAnsi="Times New Roman"/>
          <w:color w:val="000000"/>
          <w:kern w:val="0"/>
          <w:sz w:val="24"/>
          <w:szCs w:val="24"/>
        </w:rPr>
        <w:t>0.40%</w:t>
      </w:r>
      <w:r>
        <w:rPr>
          <w:rFonts w:hint="eastAsia" w:ascii="Times New Roman" w:hAnsi="Times New Roman"/>
          <w:color w:val="000000"/>
          <w:kern w:val="0"/>
          <w:sz w:val="24"/>
          <w:szCs w:val="24"/>
        </w:rPr>
        <w:t>，</w:t>
      </w:r>
      <w:r>
        <w:rPr>
          <w:rFonts w:ascii="Times New Roman" w:hAnsi="Times New Roman"/>
          <w:color w:val="000000"/>
          <w:kern w:val="0"/>
          <w:sz w:val="24"/>
          <w:szCs w:val="24"/>
        </w:rPr>
        <w:t>C</w:t>
      </w:r>
      <w:r>
        <w:rPr>
          <w:rFonts w:hint="eastAsia" w:ascii="Times New Roman" w:hAnsi="Times New Roman"/>
          <w:color w:val="000000"/>
          <w:kern w:val="0"/>
          <w:sz w:val="24"/>
          <w:szCs w:val="24"/>
        </w:rPr>
        <w:t>类净值增长率为</w:t>
      </w:r>
      <w:r>
        <w:rPr>
          <w:rFonts w:ascii="Times New Roman" w:hAnsi="Times New Roman"/>
          <w:color w:val="000000"/>
          <w:kern w:val="0"/>
          <w:sz w:val="24"/>
          <w:szCs w:val="24"/>
        </w:rPr>
        <w:t>-0.30%</w:t>
      </w:r>
      <w:r>
        <w:rPr>
          <w:rFonts w:hint="eastAsia" w:ascii="Times New Roman" w:hAnsi="Times New Roman"/>
          <w:color w:val="000000"/>
          <w:kern w:val="0"/>
          <w:sz w:val="24"/>
          <w:szCs w:val="24"/>
        </w:rPr>
        <w:t>，同期业绩比较基准增长率为</w:t>
      </w:r>
      <w:r>
        <w:rPr>
          <w:rFonts w:ascii="Times New Roman" w:hAnsi="Times New Roman"/>
          <w:color w:val="000000"/>
          <w:kern w:val="0"/>
          <w:sz w:val="24"/>
          <w:szCs w:val="24"/>
        </w:rPr>
        <w:t>-0.07%</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7" w:name="_Toc477955732"/>
      <w:r>
        <w:rPr>
          <w:rFonts w:ascii="Times New Roman" w:hAnsi="Times New Roman"/>
          <w:b/>
          <w:color w:val="000000"/>
          <w:kern w:val="0"/>
          <w:sz w:val="24"/>
          <w:szCs w:val="24"/>
        </w:rPr>
        <w:t xml:space="preserve">4.5 </w:t>
      </w:r>
      <w:r>
        <w:rPr>
          <w:rFonts w:hint="eastAsia" w:ascii="Times New Roman" w:hAnsi="Times New Roman"/>
          <w:b/>
          <w:color w:val="000000"/>
          <w:kern w:val="0"/>
          <w:sz w:val="24"/>
          <w:szCs w:val="24"/>
        </w:rPr>
        <w:t>管理人对宏观经济、证券市场及行业走势的简要展望</w:t>
      </w:r>
      <w:bookmarkEnd w:id="17"/>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从目前来看，货币政策可能进一步收紧，但大幅收紧的可能性需要密切关注经济。主要原因在于：第一，防风险、抑泡沫仍是当前货币政策的目标重点，也因此存在进一步收紧的可能；第二，从目前来看，房地产价格的泡沫程度得到初步控制，一二线热点城市房价环比涨幅持续回落，而债市、汇市、股市等领域的泡沫程度不显著，同时表外理财扩张也受到宏观审慎评估体系（简称</w:t>
      </w:r>
      <w:r>
        <w:rPr>
          <w:rFonts w:ascii="Times New Roman" w:hAnsi="Times New Roman"/>
          <w:color w:val="000000"/>
          <w:kern w:val="0"/>
          <w:sz w:val="24"/>
          <w:szCs w:val="24"/>
        </w:rPr>
        <w:t>MPA</w:t>
      </w:r>
      <w:r>
        <w:rPr>
          <w:rFonts w:hint="eastAsia" w:ascii="Times New Roman" w:hAnsi="Times New Roman"/>
          <w:color w:val="000000"/>
          <w:kern w:val="0"/>
          <w:sz w:val="24"/>
          <w:szCs w:val="24"/>
        </w:rPr>
        <w:t>）约束，因此央行就风险泡沫大幅收紧的必要性还不是很大；第三，年初信贷放量的持续性将是需要密切关注的。如果是实体经济需求强劲所致，那么通胀压力将会较大，货币政策的收紧力度有可能会超出预期。在货币政策收缩的过程中，债券市场难以出现趋势性机会，而在政策步入紧缩后期和经济下行压力重现之前，长债的交易机会也不会明显。经过去年底及今年初的大幅调整，债市总体收益率水平已处于较高的位置，尤其是高评级的配置价值仍是可以的，再度急剧上升的风险不显著。</w:t>
      </w:r>
    </w:p>
    <w:p>
      <w:pPr>
        <w:autoSpaceDE w:val="0"/>
        <w:autoSpaceDN w:val="0"/>
        <w:adjustRightInd w:val="0"/>
        <w:spacing w:line="288" w:lineRule="auto"/>
        <w:jc w:val="left"/>
        <w:rPr>
          <w:rFonts w:ascii="Times New Roman" w:hAnsi="Times New Roman"/>
          <w:color w:val="000000"/>
          <w:kern w:val="0"/>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8" w:name="_Toc477955733"/>
      <w:r>
        <w:rPr>
          <w:rFonts w:ascii="Times New Roman" w:hAnsi="Times New Roman"/>
          <w:b/>
          <w:color w:val="000000"/>
          <w:kern w:val="0"/>
          <w:sz w:val="24"/>
          <w:szCs w:val="24"/>
        </w:rPr>
        <w:t xml:space="preserve">4.6 </w:t>
      </w:r>
      <w:r>
        <w:rPr>
          <w:rFonts w:hint="eastAsia" w:ascii="Times New Roman" w:hAnsi="Times New Roman"/>
          <w:b/>
          <w:color w:val="000000"/>
          <w:kern w:val="0"/>
          <w:sz w:val="24"/>
          <w:szCs w:val="24"/>
        </w:rPr>
        <w:t>管理人内部有关本基金的监察稽核工作情况</w:t>
      </w:r>
      <w:bookmarkEnd w:id="18"/>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本报告期内，本基金管理人的主要内部监察稽核工作如下：</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1</w:t>
      </w:r>
      <w:r>
        <w:rPr>
          <w:rFonts w:hint="eastAsia" w:ascii="Times New Roman" w:hAnsi="Times New Roman"/>
          <w:color w:val="000000"/>
          <w:kern w:val="0"/>
          <w:sz w:val="24"/>
          <w:szCs w:val="24"/>
        </w:rPr>
        <w:t>）开展全面自查工作，排查各项业务活动中存在的问题或潜在的风险隐患，制定整改计划，并督促按计划完成整改；</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2</w:t>
      </w:r>
      <w:r>
        <w:rPr>
          <w:rFonts w:hint="eastAsia" w:ascii="Times New Roman" w:hAnsi="Times New Roman"/>
          <w:color w:val="000000"/>
          <w:kern w:val="0"/>
          <w:sz w:val="24"/>
          <w:szCs w:val="24"/>
        </w:rPr>
        <w:t>）开展公司专项稽核工作，了解合规风险现状、发现薄弱环节，并持续督导改进；</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3</w:t>
      </w:r>
      <w:r>
        <w:rPr>
          <w:rFonts w:hint="eastAsia" w:ascii="Times New Roman" w:hAnsi="Times New Roman"/>
          <w:color w:val="000000"/>
          <w:kern w:val="0"/>
          <w:sz w:val="24"/>
          <w:szCs w:val="24"/>
        </w:rPr>
        <w:t>）强化合规法务工作。严格审核公司业务、产品及其合同等法律文件，解读最新的法律法规，发布合规提示或警示，举办合规培训；</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4</w:t>
      </w:r>
      <w:r>
        <w:rPr>
          <w:rFonts w:hint="eastAsia" w:ascii="Times New Roman" w:hAnsi="Times New Roman"/>
          <w:color w:val="000000"/>
          <w:kern w:val="0"/>
          <w:sz w:val="24"/>
          <w:szCs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5</w:t>
      </w:r>
      <w:r>
        <w:rPr>
          <w:rFonts w:hint="eastAsia" w:ascii="Times New Roman" w:hAnsi="Times New Roman"/>
          <w:color w:val="000000"/>
          <w:kern w:val="0"/>
          <w:sz w:val="24"/>
          <w:szCs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6</w:t>
      </w:r>
      <w:r>
        <w:rPr>
          <w:rFonts w:hint="eastAsia" w:ascii="Times New Roman" w:hAnsi="Times New Roman"/>
          <w:color w:val="000000"/>
          <w:kern w:val="0"/>
          <w:sz w:val="24"/>
          <w:szCs w:val="24"/>
        </w:rPr>
        <w:t>）加强关联交易管理。修订《关联交易管理制度》，履行关联交易决策审批程序；</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7</w:t>
      </w:r>
      <w:r>
        <w:rPr>
          <w:rFonts w:hint="eastAsia" w:ascii="Times New Roman" w:hAnsi="Times New Roman"/>
          <w:color w:val="000000"/>
          <w:kern w:val="0"/>
          <w:sz w:val="24"/>
          <w:szCs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8</w:t>
      </w:r>
      <w:r>
        <w:rPr>
          <w:rFonts w:hint="eastAsia" w:ascii="Times New Roman" w:hAnsi="Times New Roman"/>
          <w:color w:val="000000"/>
          <w:kern w:val="0"/>
          <w:sz w:val="24"/>
          <w:szCs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9</w:t>
      </w:r>
      <w:r>
        <w:rPr>
          <w:rFonts w:hint="eastAsia" w:ascii="Times New Roman" w:hAnsi="Times New Roman"/>
          <w:color w:val="000000"/>
          <w:kern w:val="0"/>
          <w:sz w:val="24"/>
          <w:szCs w:val="24"/>
        </w:rPr>
        <w:t>）建立员工投资行为管理机制，规范员工的证券投资行为。</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9" w:name="_Toc477955734"/>
      <w:r>
        <w:rPr>
          <w:rFonts w:ascii="Times New Roman" w:hAnsi="Times New Roman"/>
          <w:b/>
          <w:color w:val="000000"/>
          <w:kern w:val="0"/>
          <w:sz w:val="24"/>
          <w:szCs w:val="24"/>
        </w:rPr>
        <w:t xml:space="preserve">4.7 </w:t>
      </w:r>
      <w:r>
        <w:rPr>
          <w:rFonts w:hint="eastAsia" w:ascii="Times New Roman" w:hAnsi="Times New Roman"/>
          <w:b/>
          <w:color w:val="000000"/>
          <w:kern w:val="0"/>
          <w:sz w:val="24"/>
          <w:szCs w:val="24"/>
        </w:rPr>
        <w:t>管理人对报告期内基金估值程序等事项的说明</w:t>
      </w:r>
      <w:bookmarkEnd w:id="19"/>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定价服务机构按照商业合同约定提供定价服务。</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0" w:name="_Toc477955735"/>
      <w:r>
        <w:rPr>
          <w:rFonts w:ascii="Times New Roman" w:hAnsi="Times New Roman"/>
          <w:b/>
          <w:color w:val="000000"/>
          <w:kern w:val="0"/>
          <w:sz w:val="24"/>
          <w:szCs w:val="24"/>
        </w:rPr>
        <w:t xml:space="preserve">4.8 </w:t>
      </w:r>
      <w:r>
        <w:rPr>
          <w:rFonts w:hint="eastAsia" w:ascii="Times New Roman" w:hAnsi="Times New Roman"/>
          <w:b/>
          <w:color w:val="000000"/>
          <w:kern w:val="0"/>
          <w:sz w:val="24"/>
          <w:szCs w:val="24"/>
        </w:rPr>
        <w:t>管理人对报告期内基金利润分配情况的说明</w:t>
      </w:r>
      <w:bookmarkEnd w:id="20"/>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本报告期内，本基金未进行利润分配，符合合同约定。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4.9 </w:t>
      </w:r>
      <w:r>
        <w:rPr>
          <w:rFonts w:hint="eastAsia" w:ascii="Times New Roman" w:hAnsi="Times New Roman"/>
          <w:b/>
          <w:color w:val="000000"/>
          <w:kern w:val="0"/>
          <w:sz w:val="24"/>
          <w:szCs w:val="24"/>
        </w:rPr>
        <w:t>报告期内管理人对本基金持有人数或基金资产净值预警情形的说明</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本基金本报告期未出现连续二十个工作日基金份额持有人数量不满二百人或者基金资产净值低于五千万元的情形。</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1" w:name="_Toc477955736"/>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5  </w:t>
      </w:r>
      <w:r>
        <w:rPr>
          <w:rFonts w:hint="eastAsia" w:ascii="Times New Roman" w:hAnsi="Times New Roman"/>
          <w:b/>
          <w:color w:val="000000"/>
          <w:kern w:val="0"/>
          <w:sz w:val="24"/>
          <w:szCs w:val="24"/>
        </w:rPr>
        <w:t>托管人报告</w:t>
      </w:r>
      <w:bookmarkEnd w:id="21"/>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2" w:name="_Toc477955737"/>
      <w:r>
        <w:rPr>
          <w:rFonts w:ascii="Times New Roman" w:hAnsi="Times New Roman"/>
          <w:b/>
          <w:color w:val="000000"/>
          <w:kern w:val="0"/>
          <w:sz w:val="24"/>
          <w:szCs w:val="24"/>
        </w:rPr>
        <w:t xml:space="preserve">5.1 </w:t>
      </w:r>
      <w:r>
        <w:rPr>
          <w:rFonts w:hint="eastAsia" w:ascii="Times New Roman" w:hAnsi="Times New Roman"/>
          <w:b/>
          <w:color w:val="000000"/>
          <w:kern w:val="0"/>
          <w:sz w:val="24"/>
          <w:szCs w:val="24"/>
        </w:rPr>
        <w:t>报告期内本基金托管人遵规守信情况声明</w:t>
      </w:r>
      <w:bookmarkEnd w:id="22"/>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托管人声明，在本报告期内，基金托管人</w:t>
      </w:r>
      <w:r>
        <w:rPr>
          <w:rFonts w:ascii="Times New Roman" w:hAnsi="Times New Roman"/>
          <w:color w:val="000000"/>
          <w:kern w:val="0"/>
          <w:sz w:val="24"/>
          <w:szCs w:val="24"/>
        </w:rPr>
        <w:t>-</w:t>
      </w:r>
      <w:r>
        <w:rPr>
          <w:rFonts w:hint="eastAsia" w:ascii="Times New Roman" w:hAnsi="Times New Roman"/>
          <w:color w:val="000000"/>
          <w:kern w:val="0"/>
          <w:sz w:val="24"/>
          <w:szCs w:val="24"/>
        </w:rPr>
        <w:t>招商银行股份有限公司不存在任何损害基金份额持有人利益的行为，严格遵守了《中华人民共和国证券投资基金法》及其他有关法律法规、基金合同，完全尽职尽责地履行了应尽的义务。</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3" w:name="_Toc477955738"/>
      <w:r>
        <w:rPr>
          <w:rFonts w:ascii="Times New Roman" w:hAnsi="Times New Roman"/>
          <w:b/>
          <w:color w:val="000000"/>
          <w:kern w:val="0"/>
          <w:sz w:val="24"/>
          <w:szCs w:val="24"/>
        </w:rPr>
        <w:t xml:space="preserve">5.2 </w:t>
      </w:r>
      <w:r>
        <w:rPr>
          <w:rFonts w:hint="eastAsia" w:ascii="Times New Roman" w:hAnsi="Times New Roman"/>
          <w:b/>
          <w:color w:val="000000"/>
          <w:kern w:val="0"/>
          <w:sz w:val="24"/>
          <w:szCs w:val="24"/>
        </w:rPr>
        <w:t>托管人对报告期内本基金投资运作遵规守信、净值计算、利润分配等情况的说明</w:t>
      </w:r>
      <w:bookmarkEnd w:id="23"/>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4" w:name="_Toc477955739"/>
      <w:r>
        <w:rPr>
          <w:rFonts w:ascii="Times New Roman" w:hAnsi="Times New Roman"/>
          <w:b/>
          <w:color w:val="000000"/>
          <w:kern w:val="0"/>
          <w:sz w:val="24"/>
          <w:szCs w:val="24"/>
        </w:rPr>
        <w:t xml:space="preserve">5.3 </w:t>
      </w:r>
      <w:r>
        <w:rPr>
          <w:rFonts w:hint="eastAsia" w:ascii="Times New Roman" w:hAnsi="Times New Roman"/>
          <w:b/>
          <w:color w:val="000000"/>
          <w:kern w:val="0"/>
          <w:sz w:val="24"/>
          <w:szCs w:val="24"/>
        </w:rPr>
        <w:t>托管人对本年度报告中财务信息等内容的真实、准确和完整发表意见</w:t>
      </w:r>
      <w:bookmarkEnd w:id="24"/>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本年度报告中财务指标、净值表现、财务会计报告、利润分配、投资组合报告等内容真实、准确和完整</w:t>
      </w:r>
      <w:r>
        <w:rPr>
          <w:rFonts w:ascii="Times New Roman" w:hAnsi="Times New Roman"/>
          <w:color w:val="000000"/>
          <w:kern w:val="0"/>
          <w:sz w:val="24"/>
          <w:szCs w:val="24"/>
        </w:rPr>
        <w:t>,</w:t>
      </w:r>
      <w:r>
        <w:rPr>
          <w:rFonts w:hint="eastAsia" w:ascii="Times New Roman" w:hAnsi="Times New Roman"/>
          <w:color w:val="000000"/>
          <w:kern w:val="0"/>
          <w:sz w:val="24"/>
          <w:szCs w:val="24"/>
        </w:rPr>
        <w:t>不存在虚假记载、误导性陈述或者重大遗漏。</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5" w:name="_Toc477955740"/>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6 </w:t>
      </w:r>
      <w:r>
        <w:rPr>
          <w:rFonts w:hint="eastAsia" w:ascii="Times New Roman" w:hAnsi="Times New Roman"/>
          <w:b/>
          <w:color w:val="000000"/>
          <w:kern w:val="0"/>
          <w:sz w:val="24"/>
          <w:szCs w:val="24"/>
        </w:rPr>
        <w:t>审计报告</w:t>
      </w:r>
      <w:bookmarkEnd w:id="25"/>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6" w:name="_Toc477955741"/>
      <w:r>
        <w:rPr>
          <w:rFonts w:ascii="Times New Roman" w:hAnsi="Times New Roman"/>
          <w:b/>
          <w:color w:val="000000"/>
          <w:kern w:val="0"/>
          <w:sz w:val="24"/>
          <w:szCs w:val="24"/>
        </w:rPr>
        <w:t xml:space="preserve">6.1 </w:t>
      </w:r>
      <w:r>
        <w:rPr>
          <w:rFonts w:hint="eastAsia" w:ascii="Times New Roman" w:hAnsi="Times New Roman"/>
          <w:b/>
          <w:color w:val="000000"/>
          <w:kern w:val="0"/>
          <w:sz w:val="24"/>
          <w:szCs w:val="24"/>
        </w:rPr>
        <w:t>审计报告基本信息</w:t>
      </w:r>
      <w:bookmarkEnd w:id="26"/>
    </w:p>
    <w:tbl>
      <w:tblPr>
        <w:tblStyle w:val="8"/>
        <w:tblW w:w="0" w:type="auto"/>
        <w:tblInd w:w="108" w:type="dxa"/>
        <w:tblLayout w:type="fixed"/>
        <w:tblCellMar>
          <w:top w:w="0" w:type="dxa"/>
          <w:left w:w="108" w:type="dxa"/>
          <w:bottom w:w="0" w:type="dxa"/>
          <w:right w:w="108" w:type="dxa"/>
        </w:tblCellMar>
      </w:tblPr>
      <w:tblGrid>
        <w:gridCol w:w="3552"/>
        <w:gridCol w:w="5418"/>
      </w:tblGrid>
      <w:tr>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财务报表是否经过审计</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是</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审计意见类型</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标准无保留意见</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审计报告编号</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普华永道中天审字</w:t>
            </w:r>
            <w:r>
              <w:rPr>
                <w:rFonts w:ascii="Times New Roman" w:hAnsi="Times New Roman"/>
                <w:color w:val="000000"/>
                <w:kern w:val="0"/>
                <w:sz w:val="24"/>
                <w:szCs w:val="24"/>
              </w:rPr>
              <w:t>(2017)</w:t>
            </w:r>
            <w:r>
              <w:rPr>
                <w:rFonts w:hint="eastAsia" w:ascii="Times New Roman" w:hAnsi="Times New Roman"/>
                <w:color w:val="000000"/>
                <w:kern w:val="0"/>
                <w:sz w:val="24"/>
                <w:szCs w:val="24"/>
              </w:rPr>
              <w:t>第</w:t>
            </w:r>
            <w:r>
              <w:rPr>
                <w:rFonts w:ascii="Times New Roman" w:hAnsi="Times New Roman"/>
                <w:color w:val="000000"/>
                <w:kern w:val="0"/>
                <w:sz w:val="24"/>
                <w:szCs w:val="24"/>
              </w:rPr>
              <w:t>22102</w:t>
            </w:r>
            <w:r>
              <w:rPr>
                <w:rFonts w:hint="eastAsia" w:ascii="Times New Roman" w:hAnsi="Times New Roman"/>
                <w:color w:val="000000"/>
                <w:kern w:val="0"/>
                <w:sz w:val="24"/>
                <w:szCs w:val="24"/>
              </w:rPr>
              <w:t>号</w:t>
            </w:r>
          </w:p>
        </w:tc>
      </w:tr>
    </w:tbl>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7" w:name="_Toc477955742"/>
      <w:r>
        <w:rPr>
          <w:rFonts w:ascii="Times New Roman" w:hAnsi="Times New Roman"/>
          <w:b/>
          <w:color w:val="000000"/>
          <w:kern w:val="0"/>
          <w:sz w:val="24"/>
          <w:szCs w:val="24"/>
        </w:rPr>
        <w:t xml:space="preserve">6.2 </w:t>
      </w:r>
      <w:r>
        <w:rPr>
          <w:rFonts w:hint="eastAsia" w:ascii="Times New Roman" w:hAnsi="Times New Roman"/>
          <w:b/>
          <w:color w:val="000000"/>
          <w:kern w:val="0"/>
          <w:sz w:val="24"/>
          <w:szCs w:val="24"/>
        </w:rPr>
        <w:t>审计报告的基本内容</w:t>
      </w:r>
      <w:bookmarkEnd w:id="27"/>
    </w:p>
    <w:tbl>
      <w:tblPr>
        <w:tblStyle w:val="8"/>
        <w:tblW w:w="0" w:type="auto"/>
        <w:tblInd w:w="108" w:type="dxa"/>
        <w:tblLayout w:type="fixed"/>
        <w:tblCellMar>
          <w:top w:w="0" w:type="dxa"/>
          <w:left w:w="108" w:type="dxa"/>
          <w:bottom w:w="0" w:type="dxa"/>
          <w:right w:w="108" w:type="dxa"/>
        </w:tblCellMar>
      </w:tblPr>
      <w:tblGrid>
        <w:gridCol w:w="3552"/>
        <w:gridCol w:w="5418"/>
      </w:tblGrid>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审计报告标题</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审计报告收件人</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创金合信鑫回报灵活配置混合型证券投资基金全体基金份额持有人</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引言段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我们审计了后附的创金合信鑫回报灵活配置混合型证券投资基金</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创金合信鑫回报混合基金</w:t>
            </w:r>
            <w:r>
              <w:rPr>
                <w:rFonts w:ascii="Times New Roman" w:hAnsi="Times New Roman"/>
                <w:color w:val="000000"/>
                <w:kern w:val="0"/>
                <w:sz w:val="24"/>
                <w:szCs w:val="24"/>
              </w:rPr>
              <w:t>")</w:t>
            </w:r>
            <w:r>
              <w:rPr>
                <w:rFonts w:hint="eastAsia" w:ascii="Times New Roman" w:hAnsi="Times New Roman"/>
                <w:color w:val="000000"/>
                <w:kern w:val="0"/>
                <w:sz w:val="24"/>
                <w:szCs w:val="24"/>
              </w:rPr>
              <w:t>的财务报表，包括</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日的资产负债表、</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日止期间的利润表和所有者权益</w:t>
            </w:r>
            <w:r>
              <w:rPr>
                <w:rFonts w:ascii="Times New Roman" w:hAnsi="Times New Roman"/>
                <w:color w:val="000000"/>
                <w:kern w:val="0"/>
                <w:sz w:val="24"/>
                <w:szCs w:val="24"/>
              </w:rPr>
              <w:t>(</w:t>
            </w:r>
            <w:r>
              <w:rPr>
                <w:rFonts w:hint="eastAsia" w:ascii="Times New Roman" w:hAnsi="Times New Roman"/>
                <w:color w:val="000000"/>
                <w:kern w:val="0"/>
                <w:sz w:val="24"/>
                <w:szCs w:val="24"/>
              </w:rPr>
              <w:t>基金净值</w:t>
            </w:r>
            <w:r>
              <w:rPr>
                <w:rFonts w:ascii="Times New Roman" w:hAnsi="Times New Roman"/>
                <w:color w:val="000000"/>
                <w:kern w:val="0"/>
                <w:sz w:val="24"/>
                <w:szCs w:val="24"/>
              </w:rPr>
              <w:t>)</w:t>
            </w:r>
            <w:r>
              <w:rPr>
                <w:rFonts w:hint="eastAsia" w:ascii="Times New Roman" w:hAnsi="Times New Roman"/>
                <w:color w:val="000000"/>
                <w:kern w:val="0"/>
                <w:sz w:val="24"/>
                <w:szCs w:val="24"/>
              </w:rPr>
              <w:t>变动表以及财务报表附注。</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编制和公允列报财务报表是创金合信鑫回报混合基金的基金管理人创金合信基金管理有限公司管理层的责任。这种责任包括：</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按照企业会计准则和中国证券监督管理委员会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发布的有关规定及允许的基金行业实务操作编制财务报表，并使其实现公允反映；</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设计、执行和维护必要的内部控制，以使财务报表不存在由于舞弊或错误导致的重大错报。</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认为，上述创金合信鑫回报混合基金的财务报表在所有重大方面按照企业会计准则和在财务报表附注中所列示的中国证监会、中国基金业协会发布的有关规定及允许的基金行业实务操作编制，公允反映了创金合信鑫回报混合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日止期间的经营成果和基金净值变动情况。</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注册会计师的姓名</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曹翠丽</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边晓红</w:t>
            </w:r>
            <w:r>
              <w:rPr>
                <w:rFonts w:ascii="Times New Roman" w:hAnsi="Times New Roman"/>
                <w:color w:val="000000"/>
                <w:kern w:val="0"/>
                <w:sz w:val="24"/>
                <w:szCs w:val="24"/>
              </w:rPr>
              <w:t xml:space="preserve"> </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会计师事务所的名称</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会计师事务所的地址</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审计报告日期</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2017-03-23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8" w:name="_Toc477955743"/>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7 </w:t>
      </w:r>
      <w:r>
        <w:rPr>
          <w:rFonts w:hint="eastAsia" w:ascii="Times New Roman" w:hAnsi="Times New Roman"/>
          <w:b/>
          <w:color w:val="000000"/>
          <w:kern w:val="0"/>
          <w:sz w:val="24"/>
          <w:szCs w:val="24"/>
        </w:rPr>
        <w:t>年度财务报表</w:t>
      </w:r>
      <w:bookmarkEnd w:id="28"/>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9" w:name="_Toc477955744"/>
      <w:r>
        <w:rPr>
          <w:rFonts w:ascii="Times New Roman" w:hAnsi="Times New Roman"/>
          <w:b/>
          <w:color w:val="000000"/>
          <w:kern w:val="0"/>
          <w:sz w:val="24"/>
          <w:szCs w:val="24"/>
        </w:rPr>
        <w:t xml:space="preserve">7.1 </w:t>
      </w:r>
      <w:r>
        <w:rPr>
          <w:rFonts w:hint="eastAsia" w:ascii="Times New Roman" w:hAnsi="Times New Roman"/>
          <w:b/>
          <w:color w:val="000000"/>
          <w:kern w:val="0"/>
          <w:sz w:val="24"/>
          <w:szCs w:val="24"/>
        </w:rPr>
        <w:t>资产负债表</w:t>
      </w:r>
      <w:bookmarkEnd w:id="29"/>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会计主体：创金合信鑫回报灵活配置混合型证券投资基金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报告截止日：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829"/>
        <w:gridCol w:w="1084"/>
        <w:gridCol w:w="5112"/>
      </w:tblGrid>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资</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资</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7,501,057.65</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336,381.80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22,215.16</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7.4.7.2</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512,832,279.32</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66,865,279.32</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445,967,000.00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贵金属投资</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衍生金融资产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买入返售金融资产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7.4.7.4</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105,866.23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7.4.7.5</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9,352,484.27</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应收股利</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递延所得税资产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其他资产</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7.4.7.6</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530,150,284.43</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负债和所有者权益</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负</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短期借款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交易性金融负债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衍生金融负债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29,999,715.00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应付证券清算款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应付赎回款</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253,423.70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84,474.59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31.39</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7.4.7.7</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207,564.72</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应交税费</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应付利息</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29,097.06</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应付利润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递延所得税负债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7.4.7.8</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74,000.00</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负债合计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30,648,306.46</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所有者权益：</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7.4.7.9</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497,661,150.16</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7.4.7.10</w:t>
            </w: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1,840,827.81</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499,501,977.97</w:t>
            </w:r>
          </w:p>
        </w:tc>
      </w:tr>
      <w:tr>
        <w:tblPrEx>
          <w:tblCellMar>
            <w:top w:w="0" w:type="dxa"/>
            <w:left w:w="108" w:type="dxa"/>
            <w:bottom w:w="0" w:type="dxa"/>
            <w:right w:w="108" w:type="dxa"/>
          </w:tblCellMar>
        </w:tblPrEx>
        <w:trPr>
          <w:wBefore w:w="0" w:type="auto"/>
        </w:trPr>
        <w:tc>
          <w:tcPr>
            <w:tcW w:w="28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负债和所有者权益总计</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51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530,150,284.43</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报告截止日</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日，基金份额总额</w:t>
      </w:r>
      <w:r>
        <w:rPr>
          <w:rFonts w:ascii="Times New Roman" w:hAnsi="Times New Roman"/>
          <w:color w:val="000000"/>
          <w:kern w:val="0"/>
          <w:szCs w:val="24"/>
        </w:rPr>
        <w:t>497,661,150.16</w:t>
      </w:r>
      <w:r>
        <w:rPr>
          <w:rFonts w:hint="eastAsia" w:ascii="Times New Roman" w:hAnsi="Times New Roman"/>
          <w:color w:val="000000"/>
          <w:kern w:val="0"/>
          <w:szCs w:val="24"/>
        </w:rPr>
        <w:t>份，其中</w:t>
      </w:r>
      <w:r>
        <w:rPr>
          <w:rFonts w:ascii="Times New Roman" w:hAnsi="Times New Roman"/>
          <w:color w:val="000000"/>
          <w:kern w:val="0"/>
          <w:szCs w:val="24"/>
        </w:rPr>
        <w:t>A</w:t>
      </w:r>
      <w:r>
        <w:rPr>
          <w:rFonts w:hint="eastAsia" w:ascii="Times New Roman" w:hAnsi="Times New Roman"/>
          <w:color w:val="000000"/>
          <w:kern w:val="0"/>
          <w:szCs w:val="24"/>
        </w:rPr>
        <w:t>类基金份额的份额总额为</w:t>
      </w:r>
      <w:r>
        <w:rPr>
          <w:rFonts w:ascii="Times New Roman" w:hAnsi="Times New Roman"/>
          <w:color w:val="000000"/>
          <w:kern w:val="0"/>
          <w:szCs w:val="24"/>
        </w:rPr>
        <w:t>497,496,325.83</w:t>
      </w:r>
      <w:r>
        <w:rPr>
          <w:rFonts w:hint="eastAsia" w:ascii="Times New Roman" w:hAnsi="Times New Roman"/>
          <w:color w:val="000000"/>
          <w:kern w:val="0"/>
          <w:szCs w:val="24"/>
        </w:rPr>
        <w:t>份，份额净值</w:t>
      </w:r>
      <w:r>
        <w:rPr>
          <w:rFonts w:ascii="Times New Roman" w:hAnsi="Times New Roman"/>
          <w:color w:val="000000"/>
          <w:kern w:val="0"/>
          <w:szCs w:val="24"/>
        </w:rPr>
        <w:t>1.004</w:t>
      </w:r>
      <w:r>
        <w:rPr>
          <w:rFonts w:hint="eastAsia" w:ascii="Times New Roman" w:hAnsi="Times New Roman"/>
          <w:color w:val="000000"/>
          <w:kern w:val="0"/>
          <w:szCs w:val="24"/>
        </w:rPr>
        <w:t>元；</w:t>
      </w:r>
      <w:r>
        <w:rPr>
          <w:rFonts w:ascii="Times New Roman" w:hAnsi="Times New Roman"/>
          <w:color w:val="000000"/>
          <w:kern w:val="0"/>
          <w:szCs w:val="24"/>
        </w:rPr>
        <w:t>C</w:t>
      </w:r>
      <w:r>
        <w:rPr>
          <w:rFonts w:hint="eastAsia" w:ascii="Times New Roman" w:hAnsi="Times New Roman"/>
          <w:color w:val="000000"/>
          <w:kern w:val="0"/>
          <w:szCs w:val="24"/>
        </w:rPr>
        <w:t>类基金份额的份额总额为</w:t>
      </w:r>
      <w:r>
        <w:rPr>
          <w:rFonts w:ascii="Times New Roman" w:hAnsi="Times New Roman"/>
          <w:color w:val="000000"/>
          <w:kern w:val="0"/>
          <w:szCs w:val="24"/>
        </w:rPr>
        <w:t>164,824.33</w:t>
      </w:r>
      <w:r>
        <w:rPr>
          <w:rFonts w:hint="eastAsia" w:ascii="Times New Roman" w:hAnsi="Times New Roman"/>
          <w:color w:val="000000"/>
          <w:kern w:val="0"/>
          <w:szCs w:val="24"/>
        </w:rPr>
        <w:t>份，份额净值</w:t>
      </w:r>
      <w:r>
        <w:rPr>
          <w:rFonts w:ascii="Times New Roman" w:hAnsi="Times New Roman"/>
          <w:color w:val="000000"/>
          <w:kern w:val="0"/>
          <w:szCs w:val="24"/>
        </w:rPr>
        <w:t>0.997</w:t>
      </w:r>
      <w:r>
        <w:rPr>
          <w:rFonts w:hint="eastAsia" w:ascii="Times New Roman" w:hAnsi="Times New Roman"/>
          <w:color w:val="000000"/>
          <w:kern w:val="0"/>
          <w:szCs w:val="24"/>
        </w:rPr>
        <w:t>元。</w:t>
      </w:r>
    </w:p>
    <w:p>
      <w:pPr>
        <w:autoSpaceDE w:val="0"/>
        <w:autoSpaceDN w:val="0"/>
        <w:adjustRightInd w:val="0"/>
        <w:spacing w:before="29" w:line="288" w:lineRule="auto"/>
        <w:ind w:left="15"/>
        <w:jc w:val="left"/>
        <w:rPr>
          <w:rFonts w:ascii="Times New Roman" w:hAnsi="Times New Roman"/>
          <w:color w:val="000000"/>
          <w:kern w:val="0"/>
          <w:szCs w:val="24"/>
        </w:rPr>
      </w:pP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本财务报表的实际编制期间为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22</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日止期间。截至报告期末本基金合同生效未满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0" w:name="_Toc477955745"/>
      <w:r>
        <w:rPr>
          <w:rFonts w:ascii="Times New Roman" w:hAnsi="Times New Roman"/>
          <w:b/>
          <w:color w:val="000000"/>
          <w:kern w:val="0"/>
          <w:sz w:val="24"/>
          <w:szCs w:val="24"/>
        </w:rPr>
        <w:t xml:space="preserve">7.2 </w:t>
      </w:r>
      <w:r>
        <w:rPr>
          <w:rFonts w:hint="eastAsia" w:ascii="Times New Roman" w:hAnsi="Times New Roman"/>
          <w:b/>
          <w:color w:val="000000"/>
          <w:kern w:val="0"/>
          <w:sz w:val="24"/>
          <w:szCs w:val="24"/>
        </w:rPr>
        <w:t>利润表</w:t>
      </w:r>
      <w:bookmarkEnd w:id="30"/>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会计主体：创金合信鑫回报灵活配置混合型证券投资基金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1083"/>
        <w:gridCol w:w="4751"/>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3,266,273.31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7,000,941.01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7.4.7.11</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160,704.48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6,603,710.89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236,525.64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投资收益（损失以“</w:t>
            </w:r>
            <w:r>
              <w:rPr>
                <w:rFonts w:ascii="Times New Roman" w:hAnsi="Times New Roman"/>
                <w:color w:val="000000"/>
                <w:kern w:val="0"/>
                <w:sz w:val="24"/>
                <w:szCs w:val="24"/>
              </w:rPr>
              <w:t>-</w:t>
            </w:r>
            <w:r>
              <w:rPr>
                <w:rFonts w:hint="eastAsia" w:ascii="Times New Roman" w:hAnsi="Times New Roman"/>
                <w:color w:val="000000"/>
                <w:kern w:val="0"/>
                <w:sz w:val="24"/>
                <w:szCs w:val="24"/>
              </w:rPr>
              <w:t>”填列）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6,670,978.08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7.4.7.12</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6,665,106.08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7.4.7.13</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-4,070.00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7.4.7.14</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7.4.7.15</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9,942.00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公允价值变动收益（损失以“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7.4.7.16</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-13,047,443.85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其他收入（损失以“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7.4.7.17</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2,641,798.07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2,223,566.58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1,007,482.63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335,827.58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222.06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7.4.7.18</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386,442.18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384,303.22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384,303.22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w:t>
            </w:r>
            <w:r>
              <w:rPr>
                <w:rFonts w:hint="eastAsia" w:ascii="Times New Roman" w:hAnsi="Times New Roman"/>
                <w:color w:val="000000"/>
                <w:kern w:val="0"/>
                <w:sz w:val="24"/>
                <w:szCs w:val="24"/>
              </w:rPr>
              <w:t>．其他费用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7.4.7.19</w:t>
            </w: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109,288.91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三、利润总额（亏损总额以“</w:t>
            </w:r>
            <w:r>
              <w:rPr>
                <w:rFonts w:ascii="Times New Roman" w:hAnsi="Times New Roman"/>
                <w:b/>
                <w:color w:val="000000"/>
                <w:kern w:val="0"/>
                <w:sz w:val="24"/>
                <w:szCs w:val="24"/>
              </w:rPr>
              <w:t>-</w:t>
            </w:r>
            <w:r>
              <w:rPr>
                <w:rFonts w:hint="eastAsia" w:ascii="Times New Roman" w:hAnsi="Times New Roman"/>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1,042,706.73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四、净利润（净亏损以“</w:t>
            </w:r>
            <w:r>
              <w:rPr>
                <w:rFonts w:ascii="Times New Roman" w:hAnsi="Times New Roman"/>
                <w:b/>
                <w:color w:val="000000"/>
                <w:kern w:val="0"/>
                <w:sz w:val="24"/>
                <w:szCs w:val="24"/>
              </w:rPr>
              <w:t>-</w:t>
            </w:r>
            <w:r>
              <w:rPr>
                <w:rFonts w:hint="eastAsia" w:ascii="Times New Roman" w:hAnsi="Times New Roman"/>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47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1,042,706.73</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注：本财务报表的实际编制期间为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22</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日止期间。截至报告期末本基金合同生效未满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1" w:name="_Toc477955746"/>
      <w:r>
        <w:rPr>
          <w:rFonts w:ascii="Times New Roman" w:hAnsi="Times New Roman"/>
          <w:b/>
          <w:color w:val="000000"/>
          <w:kern w:val="0"/>
          <w:sz w:val="24"/>
          <w:szCs w:val="24"/>
        </w:rPr>
        <w:t xml:space="preserve">7.3 </w:t>
      </w:r>
      <w:r>
        <w:rPr>
          <w:rFonts w:hint="eastAsia" w:ascii="Times New Roman" w:hAnsi="Times New Roman"/>
          <w:b/>
          <w:color w:val="000000"/>
          <w:kern w:val="0"/>
          <w:sz w:val="24"/>
          <w:szCs w:val="24"/>
        </w:rPr>
        <w:t>所有者权益（基金净值）变动表</w:t>
      </w:r>
      <w:bookmarkEnd w:id="31"/>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会计主体：创金合信鑫回报灵活配置混合型证券投资基金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2167"/>
        <w:gridCol w:w="1445"/>
        <w:gridCol w:w="2167"/>
      </w:tblGrid>
      <w:tr>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500,781,246.31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500,781,246.31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1,042,706.73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1,042,706.73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三、本期基金份额交易产生的基金净值变动数（净值减少以“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-3,120,096.15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798,121.08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-2,321,975.07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w:t>
            </w:r>
            <w:r>
              <w:rPr>
                <w:rFonts w:ascii="Times New Roman" w:hAnsi="Times New Roman"/>
                <w:color w:val="000000"/>
                <w:kern w:val="0"/>
                <w:sz w:val="24"/>
                <w:szCs w:val="24"/>
              </w:rPr>
              <w:t>1.</w:t>
            </w:r>
            <w:r>
              <w:rPr>
                <w:rFonts w:hint="eastAsia" w:ascii="Times New Roman" w:hAnsi="Times New Roman"/>
                <w:color w:val="000000"/>
                <w:kern w:val="0"/>
                <w:sz w:val="24"/>
                <w:szCs w:val="24"/>
              </w:rPr>
              <w:t>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497,392,445.44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2,785,591.16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500,178,036.60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2.</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-500,512,541.59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-1,987,470.08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-502,500,011.67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四、本期向基金份额持有人分配利润产生的基金净值变动（净值减少以“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497,661,150.16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1,840,827.81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499,501,977.97</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注：本财务报表的实际编制期间为</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22</w:t>
      </w:r>
      <w:r>
        <w:rPr>
          <w:rFonts w:hint="eastAsia" w:ascii="Times New Roman" w:hAnsi="Times New Roman"/>
          <w:color w:val="000000"/>
          <w:kern w:val="0"/>
          <w:szCs w:val="24"/>
        </w:rPr>
        <w:t>日</w:t>
      </w:r>
      <w:r>
        <w:rPr>
          <w:rFonts w:ascii="Times New Roman" w:hAnsi="Times New Roman"/>
          <w:color w:val="000000"/>
          <w:kern w:val="0"/>
          <w:szCs w:val="24"/>
        </w:rPr>
        <w:t>(</w:t>
      </w:r>
      <w:r>
        <w:rPr>
          <w:rFonts w:hint="eastAsia" w:ascii="Times New Roman" w:hAnsi="Times New Roman"/>
          <w:color w:val="000000"/>
          <w:kern w:val="0"/>
          <w:szCs w:val="24"/>
        </w:rPr>
        <w:t>基金合同生效日</w:t>
      </w:r>
      <w:r>
        <w:rPr>
          <w:rFonts w:ascii="Times New Roman" w:hAnsi="Times New Roman"/>
          <w:color w:val="000000"/>
          <w:kern w:val="0"/>
          <w:szCs w:val="24"/>
        </w:rPr>
        <w:t>)</w:t>
      </w:r>
      <w:r>
        <w:rPr>
          <w:rFonts w:hint="eastAsia" w:ascii="Times New Roman" w:hAnsi="Times New Roman"/>
          <w:color w:val="000000"/>
          <w:kern w:val="0"/>
          <w:szCs w:val="24"/>
        </w:rPr>
        <w:t>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日止期间。截至报告期末本基金合同生效未满</w:t>
      </w:r>
      <w:r>
        <w:rPr>
          <w:rFonts w:ascii="Times New Roman" w:hAnsi="Times New Roman"/>
          <w:color w:val="000000"/>
          <w:kern w:val="0"/>
          <w:szCs w:val="24"/>
        </w:rPr>
        <w:t>1</w:t>
      </w:r>
      <w:r>
        <w:rPr>
          <w:rFonts w:hint="eastAsia" w:ascii="Times New Roman" w:hAnsi="Times New Roman"/>
          <w:color w:val="000000"/>
          <w:kern w:val="0"/>
          <w:szCs w:val="24"/>
        </w:rPr>
        <w:t>年，本报告期的财务报表及报表附注均无同期对比数据。</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报表附注为财务报表的组成部分。</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w:t>
      </w:r>
      <w:r>
        <w:rPr>
          <w:rFonts w:ascii="Times New Roman" w:hAnsi="Times New Roman"/>
          <w:color w:val="000000"/>
          <w:kern w:val="0"/>
          <w:sz w:val="24"/>
          <w:szCs w:val="24"/>
        </w:rPr>
        <w:t>7.1</w:t>
      </w:r>
      <w:r>
        <w:rPr>
          <w:rFonts w:hint="eastAsia" w:ascii="Times New Roman" w:hAnsi="Times New Roman"/>
          <w:color w:val="000000"/>
          <w:kern w:val="0"/>
          <w:sz w:val="24"/>
          <w:szCs w:val="24"/>
        </w:rPr>
        <w:t>至</w:t>
      </w:r>
      <w:r>
        <w:rPr>
          <w:rFonts w:ascii="Times New Roman" w:hAnsi="Times New Roman"/>
          <w:color w:val="000000"/>
          <w:kern w:val="0"/>
          <w:sz w:val="24"/>
          <w:szCs w:val="24"/>
        </w:rPr>
        <w:t>7.4</w:t>
      </w:r>
      <w:r>
        <w:rPr>
          <w:rFonts w:hint="eastAsia" w:ascii="Times New Roman" w:hAnsi="Times New Roman"/>
          <w:color w:val="000000"/>
          <w:kern w:val="0"/>
          <w:sz w:val="24"/>
          <w:szCs w:val="24"/>
        </w:rPr>
        <w:t>财务报表由下列负责人签署</w:t>
      </w:r>
      <w:r>
        <w:rPr>
          <w:rFonts w:ascii="Times New Roman" w:hAnsi="Times New Roman"/>
          <w:color w:val="000000"/>
          <w:kern w:val="0"/>
          <w:sz w:val="24"/>
          <w:szCs w:val="24"/>
        </w:rPr>
        <w:t>:</w:t>
      </w:r>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苏彦祝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基金管理人负责人</w:t>
            </w:r>
          </w:p>
        </w:tc>
        <w:tc>
          <w:tcPr>
            <w:tcW w:w="288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黄越岷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主管会计工作负责人</w:t>
            </w:r>
          </w:p>
        </w:tc>
        <w:tc>
          <w:tcPr>
            <w:tcW w:w="2890"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安兆国</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会计机构负责人</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2" w:name="_Toc477955747"/>
      <w:r>
        <w:rPr>
          <w:rFonts w:ascii="Times New Roman" w:hAnsi="Times New Roman"/>
          <w:b/>
          <w:color w:val="000000"/>
          <w:kern w:val="0"/>
          <w:sz w:val="24"/>
          <w:szCs w:val="24"/>
        </w:rPr>
        <w:t xml:space="preserve">7.4 </w:t>
      </w:r>
      <w:r>
        <w:rPr>
          <w:rFonts w:hint="eastAsia" w:ascii="Times New Roman" w:hAnsi="Times New Roman"/>
          <w:b/>
          <w:color w:val="000000"/>
          <w:kern w:val="0"/>
          <w:sz w:val="24"/>
          <w:szCs w:val="24"/>
        </w:rPr>
        <w:t>报表附注</w:t>
      </w:r>
      <w:bookmarkEnd w:id="32"/>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 </w:t>
      </w:r>
      <w:r>
        <w:rPr>
          <w:rFonts w:hint="eastAsia" w:ascii="Times New Roman" w:hAnsi="Times New Roman"/>
          <w:b/>
          <w:color w:val="000000"/>
          <w:kern w:val="0"/>
          <w:sz w:val="24"/>
          <w:szCs w:val="24"/>
        </w:rPr>
        <w:t>基金基本情况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创金合信鑫回报灵活配置混合型证券投资基金</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本基金</w:t>
      </w:r>
      <w:r>
        <w:rPr>
          <w:rFonts w:ascii="Times New Roman" w:hAnsi="Times New Roman"/>
          <w:color w:val="000000"/>
          <w:kern w:val="0"/>
          <w:sz w:val="24"/>
          <w:szCs w:val="24"/>
        </w:rPr>
        <w:t>")</w:t>
      </w:r>
      <w:r>
        <w:rPr>
          <w:rFonts w:hint="eastAsia" w:ascii="Times New Roman" w:hAnsi="Times New Roman"/>
          <w:color w:val="000000"/>
          <w:kern w:val="0"/>
          <w:sz w:val="24"/>
          <w:szCs w:val="24"/>
        </w:rPr>
        <w:t>经中国证券监督管理委员会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证监许可</w:t>
      </w:r>
      <w:r>
        <w:rPr>
          <w:rFonts w:ascii="Times New Roman" w:hAnsi="Times New Roman"/>
          <w:color w:val="000000"/>
          <w:kern w:val="0"/>
          <w:sz w:val="24"/>
          <w:szCs w:val="24"/>
        </w:rPr>
        <w:t xml:space="preserve"> [2015]1644</w:t>
      </w:r>
      <w:r>
        <w:rPr>
          <w:rFonts w:hint="eastAsia" w:ascii="Times New Roman" w:hAnsi="Times New Roman"/>
          <w:color w:val="000000"/>
          <w:kern w:val="0"/>
          <w:sz w:val="24"/>
          <w:szCs w:val="24"/>
        </w:rPr>
        <w:t>号《关于准予创金合信鑫回报灵活配置混合型证券投资基金注册的批复》和中国证监会机构部函</w:t>
      </w:r>
      <w:r>
        <w:rPr>
          <w:rFonts w:ascii="Times New Roman" w:hAnsi="Times New Roman"/>
          <w:color w:val="000000"/>
          <w:kern w:val="0"/>
          <w:sz w:val="24"/>
          <w:szCs w:val="24"/>
        </w:rPr>
        <w:t>[2016]1425</w:t>
      </w:r>
      <w:r>
        <w:rPr>
          <w:rFonts w:hint="eastAsia" w:ascii="Times New Roman" w:hAnsi="Times New Roman"/>
          <w:color w:val="000000"/>
          <w:kern w:val="0"/>
          <w:sz w:val="24"/>
          <w:szCs w:val="24"/>
        </w:rPr>
        <w:t>号《关于创金合信鑫回报灵活配置混合型证券投资基金延期募集备案的回函》核准，由创金合信基金管理有限公司依照《中华人民共和国证券投资基金法》和《创金合信鑫回报灵活配置混合型证券投资基金基金合同》负责公开募集。本基金为契约型开放式，存续期限不定，首次设立募集不包括认购资金利息共募集人民币</w:t>
      </w:r>
      <w:r>
        <w:rPr>
          <w:rFonts w:ascii="Times New Roman" w:hAnsi="Times New Roman"/>
          <w:color w:val="000000"/>
          <w:kern w:val="0"/>
          <w:sz w:val="24"/>
          <w:szCs w:val="24"/>
        </w:rPr>
        <w:t>500,713,694.31</w:t>
      </w:r>
      <w:r>
        <w:rPr>
          <w:rFonts w:hint="eastAsia" w:ascii="Times New Roman" w:hAnsi="Times New Roman"/>
          <w:color w:val="000000"/>
          <w:kern w:val="0"/>
          <w:sz w:val="24"/>
          <w:szCs w:val="24"/>
        </w:rPr>
        <w:t>元，业经普华永道中天会计师事务所</w:t>
      </w:r>
      <w:r>
        <w:rPr>
          <w:rFonts w:ascii="Times New Roman" w:hAnsi="Times New Roman"/>
          <w:color w:val="000000"/>
          <w:kern w:val="0"/>
          <w:sz w:val="24"/>
          <w:szCs w:val="24"/>
        </w:rPr>
        <w:t>(</w:t>
      </w:r>
      <w:r>
        <w:rPr>
          <w:rFonts w:hint="eastAsia" w:ascii="Times New Roman" w:hAnsi="Times New Roman"/>
          <w:color w:val="000000"/>
          <w:kern w:val="0"/>
          <w:sz w:val="24"/>
          <w:szCs w:val="24"/>
        </w:rPr>
        <w:t>特殊普通合伙</w:t>
      </w:r>
      <w:r>
        <w:rPr>
          <w:rFonts w:ascii="Times New Roman" w:hAnsi="Times New Roman"/>
          <w:color w:val="000000"/>
          <w:kern w:val="0"/>
          <w:sz w:val="24"/>
          <w:szCs w:val="24"/>
        </w:rPr>
        <w:t>)</w:t>
      </w:r>
      <w:r>
        <w:rPr>
          <w:rFonts w:hint="eastAsia" w:ascii="Times New Roman" w:hAnsi="Times New Roman"/>
          <w:color w:val="000000"/>
          <w:kern w:val="0"/>
          <w:sz w:val="24"/>
          <w:szCs w:val="24"/>
        </w:rPr>
        <w:t>普华永道中天验字</w:t>
      </w:r>
      <w:r>
        <w:rPr>
          <w:rFonts w:ascii="Times New Roman" w:hAnsi="Times New Roman"/>
          <w:color w:val="000000"/>
          <w:kern w:val="0"/>
          <w:sz w:val="24"/>
          <w:szCs w:val="24"/>
        </w:rPr>
        <w:t>(2016)</w:t>
      </w:r>
      <w:r>
        <w:rPr>
          <w:rFonts w:hint="eastAsia" w:ascii="Times New Roman" w:hAnsi="Times New Roman"/>
          <w:color w:val="000000"/>
          <w:kern w:val="0"/>
          <w:sz w:val="24"/>
          <w:szCs w:val="24"/>
        </w:rPr>
        <w:t>第</w:t>
      </w:r>
      <w:r>
        <w:rPr>
          <w:rFonts w:ascii="Times New Roman" w:hAnsi="Times New Roman"/>
          <w:color w:val="000000"/>
          <w:kern w:val="0"/>
          <w:sz w:val="24"/>
          <w:szCs w:val="24"/>
        </w:rPr>
        <w:t>1108</w:t>
      </w:r>
      <w:r>
        <w:rPr>
          <w:rFonts w:hint="eastAsia" w:ascii="Times New Roman" w:hAnsi="Times New Roman"/>
          <w:color w:val="000000"/>
          <w:kern w:val="0"/>
          <w:sz w:val="24"/>
          <w:szCs w:val="24"/>
        </w:rPr>
        <w:t>号验资报告予以验证。经向中国证监会备案，《创金合信鑫回报灵活配置混合型证券投资基金基金合同》于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日正式生效，基金合同生效日的基金份额总额为</w:t>
      </w:r>
      <w:r>
        <w:rPr>
          <w:rFonts w:ascii="Times New Roman" w:hAnsi="Times New Roman"/>
          <w:color w:val="000000"/>
          <w:kern w:val="0"/>
          <w:sz w:val="24"/>
          <w:szCs w:val="24"/>
        </w:rPr>
        <w:t>500,781,246.31</w:t>
      </w:r>
      <w:r>
        <w:rPr>
          <w:rFonts w:hint="eastAsia" w:ascii="Times New Roman" w:hAnsi="Times New Roman"/>
          <w:color w:val="000000"/>
          <w:kern w:val="0"/>
          <w:sz w:val="24"/>
          <w:szCs w:val="24"/>
        </w:rPr>
        <w:t>份基金份额，其中认购资金利息折合</w:t>
      </w:r>
      <w:r>
        <w:rPr>
          <w:rFonts w:ascii="Times New Roman" w:hAnsi="Times New Roman"/>
          <w:color w:val="000000"/>
          <w:kern w:val="0"/>
          <w:sz w:val="24"/>
          <w:szCs w:val="24"/>
        </w:rPr>
        <w:t>67,552.00</w:t>
      </w:r>
      <w:r>
        <w:rPr>
          <w:rFonts w:hint="eastAsia" w:ascii="Times New Roman" w:hAnsi="Times New Roman"/>
          <w:color w:val="000000"/>
          <w:kern w:val="0"/>
          <w:sz w:val="24"/>
          <w:szCs w:val="24"/>
        </w:rPr>
        <w:t>份基金份额。本基金的基金管理人为创金合信基金管理有限公司，基金托管人为招商银行股份有限公司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招商银行</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中华人民共和国证券投资基金法》和《创金合信鑫回报灵活配置混合型证券投资基金基金合同》的有关规定，本基金的投资范围包括国内依法发行上市的股票（包括创业板、中小板以及其他经中国证监会允许基金投资的股票）、债券（包括国债、央行票据、地方政府债、金融债、企业债、公司债、证券公司短期公司债、中小企业私募债、次级债、中期票据、短期融资券、可转换债券、可交换债券等）、资产支持证券、债券回购、银行存款、金融衍生品（包括权证、股指期货等）及法律法规或中国证监会允许基金投资的其他金融工具</w:t>
      </w:r>
      <w:r>
        <w:rPr>
          <w:rFonts w:ascii="Times New Roman" w:hAnsi="Times New Roman"/>
          <w:color w:val="000000"/>
          <w:kern w:val="0"/>
          <w:sz w:val="24"/>
          <w:szCs w:val="24"/>
        </w:rPr>
        <w:t>(</w:t>
      </w:r>
      <w:r>
        <w:rPr>
          <w:rFonts w:hint="eastAsia" w:ascii="Times New Roman" w:hAnsi="Times New Roman"/>
          <w:color w:val="000000"/>
          <w:kern w:val="0"/>
          <w:sz w:val="24"/>
          <w:szCs w:val="24"/>
        </w:rPr>
        <w:t>但须符合中国证监会相关规定</w:t>
      </w:r>
      <w:r>
        <w:rPr>
          <w:rFonts w:ascii="Times New Roman" w:hAnsi="Times New Roman"/>
          <w:color w:val="000000"/>
          <w:kern w:val="0"/>
          <w:sz w:val="24"/>
          <w:szCs w:val="24"/>
        </w:rPr>
        <w:t>)</w:t>
      </w:r>
      <w:r>
        <w:rPr>
          <w:rFonts w:hint="eastAsia" w:ascii="Times New Roman" w:hAnsi="Times New Roman"/>
          <w:color w:val="000000"/>
          <w:kern w:val="0"/>
          <w:sz w:val="24"/>
          <w:szCs w:val="24"/>
        </w:rPr>
        <w:t>。本基金的业绩比较基准为：沪深</w:t>
      </w:r>
      <w:r>
        <w:rPr>
          <w:rFonts w:ascii="Times New Roman" w:hAnsi="Times New Roman"/>
          <w:color w:val="000000"/>
          <w:kern w:val="0"/>
          <w:sz w:val="24"/>
          <w:szCs w:val="24"/>
        </w:rPr>
        <w:t>300</w:t>
      </w:r>
      <w:r>
        <w:rPr>
          <w:rFonts w:hint="eastAsia" w:ascii="Times New Roman" w:hAnsi="Times New Roman"/>
          <w:color w:val="000000"/>
          <w:kern w:val="0"/>
          <w:sz w:val="24"/>
          <w:szCs w:val="24"/>
        </w:rPr>
        <w:t>指数收益率×</w:t>
      </w:r>
      <w:r>
        <w:rPr>
          <w:rFonts w:ascii="Times New Roman" w:hAnsi="Times New Roman"/>
          <w:color w:val="000000"/>
          <w:kern w:val="0"/>
          <w:sz w:val="24"/>
          <w:szCs w:val="24"/>
        </w:rPr>
        <w:t xml:space="preserve">30% + </w:t>
      </w:r>
      <w:r>
        <w:rPr>
          <w:rFonts w:hint="eastAsia" w:ascii="Times New Roman" w:hAnsi="Times New Roman"/>
          <w:color w:val="000000"/>
          <w:kern w:val="0"/>
          <w:sz w:val="24"/>
          <w:szCs w:val="24"/>
        </w:rPr>
        <w:t>一年期人民币定期存款利率</w:t>
      </w:r>
      <w:r>
        <w:rPr>
          <w:rFonts w:ascii="Times New Roman" w:hAnsi="Times New Roman"/>
          <w:color w:val="000000"/>
          <w:kern w:val="0"/>
          <w:sz w:val="24"/>
          <w:szCs w:val="24"/>
        </w:rPr>
        <w:t>(</w:t>
      </w:r>
      <w:r>
        <w:rPr>
          <w:rFonts w:hint="eastAsia" w:ascii="Times New Roman" w:hAnsi="Times New Roman"/>
          <w:color w:val="000000"/>
          <w:kern w:val="0"/>
          <w:sz w:val="24"/>
          <w:szCs w:val="24"/>
        </w:rPr>
        <w:t>税后</w:t>
      </w:r>
      <w:r>
        <w:rPr>
          <w:rFonts w:ascii="Times New Roman" w:hAnsi="Times New Roman"/>
          <w:color w:val="000000"/>
          <w:kern w:val="0"/>
          <w:sz w:val="24"/>
          <w:szCs w:val="24"/>
        </w:rPr>
        <w:t>)</w:t>
      </w:r>
      <w:r>
        <w:rPr>
          <w:rFonts w:hint="eastAsia" w:ascii="Times New Roman" w:hAnsi="Times New Roman"/>
          <w:color w:val="000000"/>
          <w:kern w:val="0"/>
          <w:sz w:val="24"/>
          <w:szCs w:val="24"/>
        </w:rPr>
        <w:t>×</w:t>
      </w:r>
      <w:r>
        <w:rPr>
          <w:rFonts w:ascii="Times New Roman" w:hAnsi="Times New Roman"/>
          <w:color w:val="000000"/>
          <w:kern w:val="0"/>
          <w:sz w:val="24"/>
          <w:szCs w:val="24"/>
        </w:rPr>
        <w:t>70%</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7.4.2 </w:t>
      </w:r>
      <w:r>
        <w:rPr>
          <w:rFonts w:hint="eastAsia" w:ascii="Times New Roman" w:hAnsi="Times New Roman"/>
          <w:b/>
          <w:color w:val="000000"/>
          <w:kern w:val="0"/>
          <w:sz w:val="24"/>
          <w:szCs w:val="24"/>
        </w:rPr>
        <w:t>会计报表的编制基础</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本基金的财务报表按照财政部于</w:t>
      </w:r>
      <w:r>
        <w:rPr>
          <w:rFonts w:ascii="Times New Roman" w:hAnsi="Times New Roman"/>
          <w:color w:val="000000"/>
          <w:kern w:val="0"/>
          <w:sz w:val="24"/>
          <w:szCs w:val="24"/>
        </w:rPr>
        <w:t>2006</w:t>
      </w:r>
      <w:r>
        <w:rPr>
          <w:rFonts w:hint="eastAsia" w:ascii="Times New Roman" w:hAnsi="Times New Roman"/>
          <w:color w:val="000000"/>
          <w:kern w:val="0"/>
          <w:sz w:val="24"/>
          <w:szCs w:val="24"/>
        </w:rPr>
        <w:t>年</w:t>
      </w:r>
      <w:r>
        <w:rPr>
          <w:rFonts w:ascii="Times New Roman" w:hAnsi="Times New Roman"/>
          <w:color w:val="000000"/>
          <w:kern w:val="0"/>
          <w:sz w:val="24"/>
          <w:szCs w:val="24"/>
        </w:rPr>
        <w:t>2</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日及以后期间颁布的《企业会计准则－基本准则》、各项具体会计准则及相关规定</w:t>
      </w:r>
      <w:r>
        <w:rPr>
          <w:rFonts w:ascii="Times New Roman" w:hAnsi="Times New Roman"/>
          <w:color w:val="000000"/>
          <w:kern w:val="0"/>
          <w:sz w:val="24"/>
          <w:szCs w:val="24"/>
        </w:rPr>
        <w:t>(</w:t>
      </w:r>
      <w:r>
        <w:rPr>
          <w:rFonts w:hint="eastAsia" w:ascii="Times New Roman" w:hAnsi="Times New Roman"/>
          <w:color w:val="000000"/>
          <w:kern w:val="0"/>
          <w:sz w:val="24"/>
          <w:szCs w:val="24"/>
        </w:rPr>
        <w:t>以下合称</w:t>
      </w:r>
      <w:r>
        <w:rPr>
          <w:rFonts w:ascii="Times New Roman" w:hAnsi="Times New Roman"/>
          <w:color w:val="000000"/>
          <w:kern w:val="0"/>
          <w:sz w:val="24"/>
          <w:szCs w:val="24"/>
        </w:rPr>
        <w:t>"</w:t>
      </w:r>
      <w:r>
        <w:rPr>
          <w:rFonts w:hint="eastAsia" w:ascii="Times New Roman" w:hAnsi="Times New Roman"/>
          <w:color w:val="000000"/>
          <w:kern w:val="0"/>
          <w:sz w:val="24"/>
          <w:szCs w:val="24"/>
        </w:rPr>
        <w:t>企业会计准则</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、中国证监会颁布的《证券投资基金信息披露</w:t>
      </w:r>
      <w:r>
        <w:rPr>
          <w:rFonts w:ascii="Times New Roman" w:hAnsi="Times New Roman"/>
          <w:color w:val="000000"/>
          <w:kern w:val="0"/>
          <w:sz w:val="24"/>
          <w:szCs w:val="24"/>
        </w:rPr>
        <w:t>XBRL</w:t>
      </w:r>
      <w:r>
        <w:rPr>
          <w:rFonts w:hint="eastAsia" w:ascii="Times New Roman" w:hAnsi="Times New Roman"/>
          <w:color w:val="000000"/>
          <w:kern w:val="0"/>
          <w:sz w:val="24"/>
          <w:szCs w:val="24"/>
        </w:rPr>
        <w:t>模板第</w:t>
      </w:r>
      <w:r>
        <w:rPr>
          <w:rFonts w:ascii="Times New Roman" w:hAnsi="Times New Roman"/>
          <w:color w:val="000000"/>
          <w:kern w:val="0"/>
          <w:sz w:val="24"/>
          <w:szCs w:val="24"/>
        </w:rPr>
        <w:t>3</w:t>
      </w:r>
      <w:r>
        <w:rPr>
          <w:rFonts w:hint="eastAsia" w:ascii="Times New Roman" w:hAnsi="Times New Roman"/>
          <w:color w:val="000000"/>
          <w:kern w:val="0"/>
          <w:sz w:val="24"/>
          <w:szCs w:val="24"/>
        </w:rPr>
        <w:t>号</w:t>
      </w:r>
      <w:r>
        <w:rPr>
          <w:rFonts w:ascii="Times New Roman" w:hAnsi="Times New Roman"/>
          <w:color w:val="000000"/>
          <w:kern w:val="0"/>
          <w:sz w:val="24"/>
          <w:szCs w:val="24"/>
        </w:rPr>
        <w:t>&lt;</w:t>
      </w:r>
      <w:r>
        <w:rPr>
          <w:rFonts w:hint="eastAsia" w:ascii="Times New Roman" w:hAnsi="Times New Roman"/>
          <w:color w:val="000000"/>
          <w:kern w:val="0"/>
          <w:sz w:val="24"/>
          <w:szCs w:val="24"/>
        </w:rPr>
        <w:t>年度报告和半年度报告</w:t>
      </w:r>
      <w:r>
        <w:rPr>
          <w:rFonts w:ascii="Times New Roman" w:hAnsi="Times New Roman"/>
          <w:color w:val="000000"/>
          <w:kern w:val="0"/>
          <w:sz w:val="24"/>
          <w:szCs w:val="24"/>
        </w:rPr>
        <w:t>&gt;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颁布的《证券投资基金会计核算业务指引》、《创金合信鑫回报灵活配置混合型证券投资基金基金合同》和在财务报表附注</w:t>
      </w:r>
      <w:r>
        <w:rPr>
          <w:rFonts w:ascii="Times New Roman" w:hAnsi="Times New Roman"/>
          <w:color w:val="000000"/>
          <w:kern w:val="0"/>
          <w:sz w:val="24"/>
          <w:szCs w:val="24"/>
        </w:rPr>
        <w:t>7.4.4</w:t>
      </w:r>
      <w:r>
        <w:rPr>
          <w:rFonts w:hint="eastAsia" w:ascii="Times New Roman" w:hAnsi="Times New Roman"/>
          <w:color w:val="000000"/>
          <w:kern w:val="0"/>
          <w:sz w:val="24"/>
          <w:szCs w:val="24"/>
        </w:rPr>
        <w:t>所列示的中国证监会、中国基金业协会发布的有关规定及允许的基金行业实务操作编制。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7.4.3 </w:t>
      </w:r>
      <w:r>
        <w:rPr>
          <w:rFonts w:hint="eastAsia" w:ascii="Times New Roman" w:hAnsi="Times New Roman"/>
          <w:b/>
          <w:color w:val="000000"/>
          <w:kern w:val="0"/>
          <w:sz w:val="24"/>
          <w:szCs w:val="24"/>
        </w:rPr>
        <w:t>遵循企业会计准则及其他有关规定的声明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日止期间财务报表符合企业会计准则的要求，真实、完整地反映了本基金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日止期间的经营成果和基金净值变动情况等有关信息。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 </w:t>
      </w:r>
      <w:r>
        <w:rPr>
          <w:rFonts w:hint="eastAsia" w:ascii="Times New Roman" w:hAnsi="Times New Roman"/>
          <w:b/>
          <w:color w:val="000000"/>
          <w:kern w:val="0"/>
          <w:sz w:val="24"/>
          <w:szCs w:val="24"/>
        </w:rPr>
        <w:t>重要会计政策和会计估计</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 </w:t>
      </w:r>
      <w:r>
        <w:rPr>
          <w:rFonts w:hint="eastAsia" w:ascii="Times New Roman" w:hAnsi="Times New Roman"/>
          <w:b/>
          <w:color w:val="000000"/>
          <w:kern w:val="0"/>
          <w:sz w:val="24"/>
          <w:szCs w:val="24"/>
        </w:rPr>
        <w:t>会计年度</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本基金会计年度为公历</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日起至</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日止。本期财务报表的实际编制期间为</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7.4.4.2 </w:t>
      </w:r>
      <w:r>
        <w:rPr>
          <w:rFonts w:hint="eastAsia" w:ascii="Times New Roman" w:hAnsi="Times New Roman"/>
          <w:b/>
          <w:color w:val="000000"/>
          <w:kern w:val="0"/>
          <w:sz w:val="24"/>
          <w:szCs w:val="24"/>
        </w:rPr>
        <w:t>记账本位币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本基金的记账本位币为人民币。</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7.4.4.3 </w:t>
      </w:r>
      <w:r>
        <w:rPr>
          <w:rFonts w:hint="eastAsia" w:ascii="Times New Roman" w:hAnsi="Times New Roman"/>
          <w:b/>
          <w:color w:val="000000"/>
          <w:kern w:val="0"/>
          <w:sz w:val="24"/>
          <w:szCs w:val="24"/>
        </w:rPr>
        <w:t>金融资产和金融负债的分类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(1)</w:t>
      </w:r>
      <w:r>
        <w:rPr>
          <w:rFonts w:ascii="Times New Roman" w:hAnsi="Times New Roman"/>
          <w:color w:val="000000"/>
          <w:kern w:val="0"/>
          <w:sz w:val="24"/>
          <w:szCs w:val="24"/>
        </w:rPr>
        <w:tab/>
      </w:r>
      <w:r>
        <w:rPr>
          <w:rFonts w:hint="eastAsia" w:ascii="Times New Roman" w:hAnsi="Times New Roman"/>
          <w:color w:val="000000"/>
          <w:kern w:val="0"/>
          <w:sz w:val="24"/>
          <w:szCs w:val="24"/>
        </w:rPr>
        <w:t>金融资产的分类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本基金目前以交易目的持有的股票投资、债券投资和衍生工具</w:t>
      </w:r>
      <w:r>
        <w:rPr>
          <w:rFonts w:ascii="Times New Roman" w:hAnsi="Times New Roman"/>
          <w:color w:val="000000"/>
          <w:kern w:val="0"/>
          <w:sz w:val="24"/>
          <w:szCs w:val="24"/>
        </w:rPr>
        <w:t>(</w:t>
      </w:r>
      <w:r>
        <w:rPr>
          <w:rFonts w:hint="eastAsia" w:ascii="Times New Roman" w:hAnsi="Times New Roman"/>
          <w:color w:val="000000"/>
          <w:kern w:val="0"/>
          <w:sz w:val="24"/>
          <w:szCs w:val="24"/>
        </w:rPr>
        <w:t>主要为权证投资</w:t>
      </w:r>
      <w:r>
        <w:rPr>
          <w:rFonts w:ascii="Times New Roman" w:hAnsi="Times New Roman"/>
          <w:color w:val="000000"/>
          <w:kern w:val="0"/>
          <w:sz w:val="24"/>
          <w:szCs w:val="24"/>
        </w:rPr>
        <w:t>)</w:t>
      </w:r>
      <w:r>
        <w:rPr>
          <w:rFonts w:hint="eastAsia" w:ascii="Times New Roman" w:hAnsi="Times New Roman"/>
          <w:color w:val="000000"/>
          <w:kern w:val="0"/>
          <w:sz w:val="24"/>
          <w:szCs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本基金持有的其他金融资产分类为应收款项，包括银行存款、买入返售金融资产和其他各类应收款项等。应收款项是指在活跃市场中没有报价、回收金额固定或可确定的非衍生金融资产。</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ascii="Times New Roman" w:hAnsi="Times New Roman"/>
          <w:color w:val="000000"/>
          <w:kern w:val="0"/>
          <w:sz w:val="24"/>
          <w:szCs w:val="24"/>
        </w:rPr>
        <w:tab/>
      </w:r>
      <w:r>
        <w:rPr>
          <w:rFonts w:hint="eastAsia" w:ascii="Times New Roman" w:hAnsi="Times New Roman"/>
          <w:color w:val="000000"/>
          <w:kern w:val="0"/>
          <w:sz w:val="24"/>
          <w:szCs w:val="24"/>
        </w:rPr>
        <w:t>金融负债的分类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7.4.4.4 </w:t>
      </w:r>
      <w:r>
        <w:rPr>
          <w:rFonts w:hint="eastAsia" w:ascii="Times New Roman" w:hAnsi="Times New Roman"/>
          <w:b/>
          <w:color w:val="000000"/>
          <w:kern w:val="0"/>
          <w:sz w:val="24"/>
          <w:szCs w:val="24"/>
        </w:rPr>
        <w:t>金融资产和金融负债的初始确认、后续计量和终止确认</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金融资产满足下列条件之一的，予以终止确认：</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收取该金融资产现金流量的合同权利终止；</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该金融资产已转移，且本基金将金融资产所有权上几乎所有的风险和报酬转移给转入方；或者</w:t>
      </w: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该金融资产已转移，虽然本基金既没有转移也没有保留金融资产所有权上几乎所有的风险和报酬，但是放弃了对该金融资产控制。</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金融资产终止确认时，其账面价值与收到的对价的差额，计入当期损益。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7.4.4.5 </w:t>
      </w:r>
      <w:r>
        <w:rPr>
          <w:rFonts w:hint="eastAsia" w:ascii="Times New Roman" w:hAnsi="Times New Roman"/>
          <w:b/>
          <w:color w:val="000000"/>
          <w:kern w:val="0"/>
          <w:sz w:val="24"/>
          <w:szCs w:val="24"/>
        </w:rPr>
        <w:t>金融资产和金融负债的估值原则</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本基金持有的股票投资、债券投资和衍生工具</w:t>
      </w:r>
      <w:r>
        <w:rPr>
          <w:rFonts w:ascii="Times New Roman" w:hAnsi="Times New Roman"/>
          <w:color w:val="000000"/>
          <w:kern w:val="0"/>
          <w:sz w:val="24"/>
          <w:szCs w:val="24"/>
        </w:rPr>
        <w:t>(</w:t>
      </w:r>
      <w:r>
        <w:rPr>
          <w:rFonts w:hint="eastAsia" w:ascii="Times New Roman" w:hAnsi="Times New Roman"/>
          <w:color w:val="000000"/>
          <w:kern w:val="0"/>
          <w:sz w:val="24"/>
          <w:szCs w:val="24"/>
        </w:rPr>
        <w:t>主要为权证投资</w:t>
      </w:r>
      <w:r>
        <w:rPr>
          <w:rFonts w:ascii="Times New Roman" w:hAnsi="Times New Roman"/>
          <w:color w:val="000000"/>
          <w:kern w:val="0"/>
          <w:sz w:val="24"/>
          <w:szCs w:val="24"/>
        </w:rPr>
        <w:t>)</w:t>
      </w:r>
      <w:r>
        <w:rPr>
          <w:rFonts w:hint="eastAsia" w:ascii="Times New Roman" w:hAnsi="Times New Roman"/>
          <w:color w:val="000000"/>
          <w:kern w:val="0"/>
          <w:sz w:val="24"/>
          <w:szCs w:val="24"/>
        </w:rPr>
        <w:t>按如下原则确定公允价值并进行估值：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7.4.4.6 </w:t>
      </w:r>
      <w:r>
        <w:rPr>
          <w:rFonts w:hint="eastAsia" w:ascii="Times New Roman" w:hAnsi="Times New Roman"/>
          <w:b/>
          <w:color w:val="000000"/>
          <w:kern w:val="0"/>
          <w:sz w:val="24"/>
          <w:szCs w:val="24"/>
        </w:rPr>
        <w:t>金融资产和金融负债的抵销</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本基金持有的资产和承担的负债基本为金融资产和金融负债。当本基金</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具有抵销已确认金额的法定权利且该种法定权利现在是可执行的；且</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交易双方准备按净额结算时，金融资产与金融负债按抵销后的净额在资产负债表中列示。</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7.4.4.7 </w:t>
      </w:r>
      <w:r>
        <w:rPr>
          <w:rFonts w:hint="eastAsia" w:ascii="Times New Roman" w:hAnsi="Times New Roman"/>
          <w:b/>
          <w:color w:val="000000"/>
          <w:kern w:val="0"/>
          <w:sz w:val="24"/>
          <w:szCs w:val="24"/>
        </w:rPr>
        <w:t>实收基金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实收基金为对外发行基金份额所募集的总金额在扣除损益平准金分摊部分后的余额。由于申购和赎回引起的实收基金变动分别于基金申购确认日及基金赎回确认日认列。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7.4.4.8 </w:t>
      </w:r>
      <w:r>
        <w:rPr>
          <w:rFonts w:hint="eastAsia" w:ascii="Times New Roman" w:hAnsi="Times New Roman"/>
          <w:b/>
          <w:color w:val="000000"/>
          <w:kern w:val="0"/>
          <w:sz w:val="24"/>
          <w:szCs w:val="24"/>
        </w:rPr>
        <w:t>损益平准金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w:t>
      </w:r>
      <w:r>
        <w:rPr>
          <w:rFonts w:ascii="Times New Roman" w:hAnsi="Times New Roman"/>
          <w:color w:val="000000"/>
          <w:kern w:val="0"/>
          <w:sz w:val="24"/>
          <w:szCs w:val="24"/>
        </w:rPr>
        <w:t>/(</w:t>
      </w:r>
      <w:r>
        <w:rPr>
          <w:rFonts w:hint="eastAsia" w:ascii="Times New Roman" w:hAnsi="Times New Roman"/>
          <w:color w:val="000000"/>
          <w:kern w:val="0"/>
          <w:sz w:val="24"/>
          <w:szCs w:val="24"/>
        </w:rPr>
        <w:t>累计亏损</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7.4.4.9 </w:t>
      </w:r>
      <w:r>
        <w:rPr>
          <w:rFonts w:hint="eastAsia" w:ascii="Times New Roman" w:hAnsi="Times New Roman"/>
          <w:b/>
          <w:color w:val="000000"/>
          <w:kern w:val="0"/>
          <w:sz w:val="24"/>
          <w:szCs w:val="24"/>
        </w:rPr>
        <w:t>收入</w:t>
      </w:r>
      <w:r>
        <w:rPr>
          <w:rFonts w:ascii="Times New Roman" w:hAnsi="Times New Roman"/>
          <w:b/>
          <w:color w:val="000000"/>
          <w:kern w:val="0"/>
          <w:sz w:val="24"/>
          <w:szCs w:val="24"/>
        </w:rPr>
        <w:t>/</w:t>
      </w:r>
      <w:r>
        <w:rPr>
          <w:rFonts w:hint="eastAsia" w:ascii="Times New Roman" w:hAnsi="Times New Roman"/>
          <w:b/>
          <w:color w:val="000000"/>
          <w:kern w:val="0"/>
          <w:sz w:val="24"/>
          <w:szCs w:val="24"/>
        </w:rPr>
        <w:t>（损失）的确认和计量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应收款项在持有期间确认的利息收入按实际利率法计算，实际利率法与直线法差异较小的则按直线法计算。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7.4.4.10 </w:t>
      </w:r>
      <w:r>
        <w:rPr>
          <w:rFonts w:hint="eastAsia" w:ascii="Times New Roman" w:hAnsi="Times New Roman"/>
          <w:b/>
          <w:color w:val="000000"/>
          <w:kern w:val="0"/>
          <w:sz w:val="24"/>
          <w:szCs w:val="24"/>
        </w:rPr>
        <w:t>费用的确认和计量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本基金的管理人报酬、托管费和销售服务费在费用涵盖期间按基金合同约定的费率和计算方法逐日确认。</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其他金融负债在持有期间确认的利息支出按实际利率法计算，实际利率法与直线法差异较小的则按直线法计算。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7.4.4.11 </w:t>
      </w:r>
      <w:r>
        <w:rPr>
          <w:rFonts w:hint="eastAsia" w:ascii="Times New Roman" w:hAnsi="Times New Roman"/>
          <w:b/>
          <w:color w:val="000000"/>
          <w:kern w:val="0"/>
          <w:sz w:val="24"/>
          <w:szCs w:val="24"/>
        </w:rPr>
        <w:t>基金的收益分配政策</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本基金的收益分配政策为：</w:t>
      </w:r>
      <w:r>
        <w:rPr>
          <w:rFonts w:ascii="Times New Roman" w:hAnsi="Times New Roman"/>
          <w:color w:val="000000"/>
          <w:kern w:val="0"/>
          <w:sz w:val="24"/>
          <w:szCs w:val="24"/>
        </w:rPr>
        <w:t>(1)</w:t>
      </w:r>
      <w:r>
        <w:rPr>
          <w:rFonts w:hint="eastAsia" w:ascii="Times New Roman" w:hAnsi="Times New Roman"/>
          <w:color w:val="000000"/>
          <w:kern w:val="0"/>
          <w:sz w:val="24"/>
          <w:szCs w:val="24"/>
        </w:rPr>
        <w:t>在符合有关基金分红条件的前提下，本基金每年收益分配次数最多为</w:t>
      </w:r>
      <w:r>
        <w:rPr>
          <w:rFonts w:ascii="Times New Roman" w:hAnsi="Times New Roman"/>
          <w:color w:val="000000"/>
          <w:kern w:val="0"/>
          <w:sz w:val="24"/>
          <w:szCs w:val="24"/>
        </w:rPr>
        <w:t>12</w:t>
      </w:r>
      <w:r>
        <w:rPr>
          <w:rFonts w:hint="eastAsia" w:ascii="Times New Roman" w:hAnsi="Times New Roman"/>
          <w:color w:val="000000"/>
          <w:kern w:val="0"/>
          <w:sz w:val="24"/>
          <w:szCs w:val="24"/>
        </w:rPr>
        <w:t>次，每份基金份额每次收益分配比例不得低于收益分配基准日每份基金份额该次可供分配利润的</w:t>
      </w:r>
      <w:r>
        <w:rPr>
          <w:rFonts w:ascii="Times New Roman" w:hAnsi="Times New Roman"/>
          <w:color w:val="000000"/>
          <w:kern w:val="0"/>
          <w:sz w:val="24"/>
          <w:szCs w:val="24"/>
        </w:rPr>
        <w:t>10%</w:t>
      </w:r>
      <w:r>
        <w:rPr>
          <w:rFonts w:hint="eastAsia" w:ascii="Times New Roman" w:hAnsi="Times New Roman"/>
          <w:color w:val="000000"/>
          <w:kern w:val="0"/>
          <w:sz w:val="24"/>
          <w:szCs w:val="24"/>
        </w:rPr>
        <w:t>，若《基金合同》生效不满</w:t>
      </w:r>
      <w:r>
        <w:rPr>
          <w:rFonts w:ascii="Times New Roman" w:hAnsi="Times New Roman"/>
          <w:color w:val="000000"/>
          <w:kern w:val="0"/>
          <w:sz w:val="24"/>
          <w:szCs w:val="24"/>
        </w:rPr>
        <w:t>3</w:t>
      </w:r>
      <w:r>
        <w:rPr>
          <w:rFonts w:hint="eastAsia" w:ascii="Times New Roman" w:hAnsi="Times New Roman"/>
          <w:color w:val="000000"/>
          <w:kern w:val="0"/>
          <w:sz w:val="24"/>
          <w:szCs w:val="24"/>
        </w:rPr>
        <w:t>个月可不进行收益分配；</w:t>
      </w:r>
      <w:r>
        <w:rPr>
          <w:rFonts w:ascii="Times New Roman" w:hAnsi="Times New Roman"/>
          <w:color w:val="000000"/>
          <w:kern w:val="0"/>
          <w:sz w:val="24"/>
          <w:szCs w:val="24"/>
        </w:rPr>
        <w:t>(2)</w:t>
      </w:r>
      <w:r>
        <w:rPr>
          <w:rFonts w:hint="eastAsia" w:ascii="Times New Roman" w:hAnsi="Times New Roman"/>
          <w:color w:val="000000"/>
          <w:kern w:val="0"/>
          <w:sz w:val="24"/>
          <w:szCs w:val="24"/>
        </w:rPr>
        <w:t>本基金收益分配方式分两种：现金分红与红利再投资，投资者可选择现金红利或将现金红利自动转为基金份额进行再投资；若投资者不选择，本基金默认的收益分配方式是现金分红；</w:t>
      </w:r>
      <w:r>
        <w:rPr>
          <w:rFonts w:ascii="Times New Roman" w:hAnsi="Times New Roman"/>
          <w:color w:val="000000"/>
          <w:kern w:val="0"/>
          <w:sz w:val="24"/>
          <w:szCs w:val="24"/>
        </w:rPr>
        <w:t>(3)</w:t>
      </w:r>
      <w:r>
        <w:rPr>
          <w:rFonts w:hint="eastAsia" w:ascii="Times New Roman" w:hAnsi="Times New Roman"/>
          <w:color w:val="000000"/>
          <w:kern w:val="0"/>
          <w:sz w:val="24"/>
          <w:szCs w:val="24"/>
        </w:rPr>
        <w:t>基金收益分配后基金份额净值不能低于面值；即基金收益分配基准日的基金份额净值减去每单位基金份额收益分配金额后不能低于面值；</w:t>
      </w:r>
      <w:r>
        <w:rPr>
          <w:rFonts w:ascii="Times New Roman" w:hAnsi="Times New Roman"/>
          <w:color w:val="000000"/>
          <w:kern w:val="0"/>
          <w:sz w:val="24"/>
          <w:szCs w:val="24"/>
        </w:rPr>
        <w:t>(4)</w:t>
      </w:r>
      <w:r>
        <w:rPr>
          <w:rFonts w:hint="eastAsia" w:ascii="Times New Roman" w:hAnsi="Times New Roman"/>
          <w:color w:val="000000"/>
          <w:kern w:val="0"/>
          <w:sz w:val="24"/>
          <w:szCs w:val="24"/>
        </w:rPr>
        <w:t>同一类别的每一基金份额享有同等分配权。由于本基金</w:t>
      </w:r>
      <w:r>
        <w:rPr>
          <w:rFonts w:ascii="Times New Roman" w:hAnsi="Times New Roman"/>
          <w:color w:val="000000"/>
          <w:kern w:val="0"/>
          <w:sz w:val="24"/>
          <w:szCs w:val="24"/>
        </w:rPr>
        <w:t>A</w:t>
      </w:r>
      <w:r>
        <w:rPr>
          <w:rFonts w:hint="eastAsia" w:ascii="Times New Roman" w:hAnsi="Times New Roman"/>
          <w:color w:val="000000"/>
          <w:kern w:val="0"/>
          <w:sz w:val="24"/>
          <w:szCs w:val="24"/>
        </w:rPr>
        <w:t>类基金份额与</w:t>
      </w:r>
      <w:r>
        <w:rPr>
          <w:rFonts w:ascii="Times New Roman" w:hAnsi="Times New Roman"/>
          <w:color w:val="000000"/>
          <w:kern w:val="0"/>
          <w:sz w:val="24"/>
          <w:szCs w:val="24"/>
        </w:rPr>
        <w:t>C</w:t>
      </w:r>
      <w:r>
        <w:rPr>
          <w:rFonts w:hint="eastAsia" w:ascii="Times New Roman" w:hAnsi="Times New Roman"/>
          <w:color w:val="000000"/>
          <w:kern w:val="0"/>
          <w:sz w:val="24"/>
          <w:szCs w:val="24"/>
        </w:rPr>
        <w:t>类基金份额的基金费用不同，不同类别的基金份额对应的可供分配利润或将不同；</w:t>
      </w:r>
      <w:r>
        <w:rPr>
          <w:rFonts w:ascii="Times New Roman" w:hAnsi="Times New Roman"/>
          <w:color w:val="000000"/>
          <w:kern w:val="0"/>
          <w:sz w:val="24"/>
          <w:szCs w:val="24"/>
        </w:rPr>
        <w:t>(5)</w:t>
      </w:r>
      <w:r>
        <w:rPr>
          <w:rFonts w:hint="eastAsia" w:ascii="Times New Roman" w:hAnsi="Times New Roman"/>
          <w:color w:val="000000"/>
          <w:kern w:val="0"/>
          <w:sz w:val="24"/>
          <w:szCs w:val="24"/>
        </w:rPr>
        <w:t>法律法规或监管机关另有规定的，从其规定。</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7.4.4.12 </w:t>
      </w:r>
      <w:r>
        <w:rPr>
          <w:rFonts w:hint="eastAsia" w:ascii="Times New Roman" w:hAnsi="Times New Roman"/>
          <w:b/>
          <w:color w:val="000000"/>
          <w:kern w:val="0"/>
          <w:sz w:val="24"/>
          <w:szCs w:val="24"/>
        </w:rPr>
        <w:t>分部报告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本基金以内部组织结构、管理要求、内部报告制度为依据确定经营分部，以经营分部为基础确定报告分部并披露分部信息。经营分部是指本基金内同时满足下列条件的组成部分：</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该组成部分能够在日常活动中产生收入、发生费用；</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本基金的基金管理人能够定期评价该组成部分的经营成果，以决定向其配置资源、评价其业绩；</w:t>
      </w: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本基金目前以一个单一的经营分部运作，不需要披露分部信息。</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7.4.4.13 </w:t>
      </w:r>
      <w:r>
        <w:rPr>
          <w:rFonts w:hint="eastAsia" w:ascii="Times New Roman" w:hAnsi="Times New Roman"/>
          <w:b/>
          <w:color w:val="000000"/>
          <w:kern w:val="0"/>
          <w:sz w:val="24"/>
          <w:szCs w:val="24"/>
        </w:rPr>
        <w:t>其他重要的会计政策和会计估计</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对于证券交易所上市的股票和债券，若出现重大事项停牌或交易不活跃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包括涨跌停时的交易不活跃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等情况，本基金根据中国证监会公告</w:t>
      </w:r>
      <w:r>
        <w:rPr>
          <w:rFonts w:ascii="Times New Roman" w:hAnsi="Times New Roman"/>
          <w:color w:val="000000"/>
          <w:kern w:val="0"/>
          <w:sz w:val="24"/>
          <w:szCs w:val="24"/>
        </w:rPr>
        <w:t>[2008]38</w:t>
      </w:r>
      <w:r>
        <w:rPr>
          <w:rFonts w:hint="eastAsia" w:ascii="Times New Roman" w:hAnsi="Times New Roman"/>
          <w:color w:val="000000"/>
          <w:kern w:val="0"/>
          <w:sz w:val="24"/>
          <w:szCs w:val="24"/>
        </w:rPr>
        <w:t>号《关于进一步规范证券投资基金估值业务的指导意见》，根据具体情况采用《关于发布中基协</w:t>
      </w:r>
      <w:r>
        <w:rPr>
          <w:rFonts w:ascii="Times New Roman" w:hAnsi="Times New Roman"/>
          <w:color w:val="000000"/>
          <w:kern w:val="0"/>
          <w:sz w:val="24"/>
          <w:szCs w:val="24"/>
        </w:rPr>
        <w:t>(AMAC)</w:t>
      </w:r>
      <w:r>
        <w:rPr>
          <w:rFonts w:hint="eastAsia" w:ascii="Times New Roman" w:hAnsi="Times New Roman"/>
          <w:color w:val="000000"/>
          <w:kern w:val="0"/>
          <w:sz w:val="24"/>
          <w:szCs w:val="24"/>
        </w:rPr>
        <w:t>基金行业股票估值指数的通知》提供的指数收益法等估值技术进行估值。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在银行间同业市场交易的债券品种，根据中国证监会证监会计字</w:t>
      </w:r>
      <w:r>
        <w:rPr>
          <w:rFonts w:ascii="Times New Roman" w:hAnsi="Times New Roman"/>
          <w:color w:val="000000"/>
          <w:kern w:val="0"/>
          <w:sz w:val="24"/>
          <w:szCs w:val="24"/>
        </w:rPr>
        <w:t>[2007]21</w:t>
      </w:r>
      <w:r>
        <w:rPr>
          <w:rFonts w:hint="eastAsia" w:ascii="Times New Roman" w:hAnsi="Times New Roman"/>
          <w:color w:val="000000"/>
          <w:kern w:val="0"/>
          <w:sz w:val="24"/>
          <w:szCs w:val="24"/>
        </w:rPr>
        <w:t>号《关于证券投资基金执行</w:t>
      </w:r>
      <w:r>
        <w:rPr>
          <w:rFonts w:ascii="Times New Roman" w:hAnsi="Times New Roman"/>
          <w:color w:val="000000"/>
          <w:kern w:val="0"/>
          <w:sz w:val="24"/>
          <w:szCs w:val="24"/>
        </w:rPr>
        <w:t>&lt;</w:t>
      </w:r>
      <w:r>
        <w:rPr>
          <w:rFonts w:hint="eastAsia" w:ascii="Times New Roman" w:hAnsi="Times New Roman"/>
          <w:color w:val="000000"/>
          <w:kern w:val="0"/>
          <w:sz w:val="24"/>
          <w:szCs w:val="24"/>
        </w:rPr>
        <w:t>企业会计准则</w:t>
      </w:r>
      <w:r>
        <w:rPr>
          <w:rFonts w:ascii="Times New Roman" w:hAnsi="Times New Roman"/>
          <w:color w:val="000000"/>
          <w:kern w:val="0"/>
          <w:sz w:val="24"/>
          <w:szCs w:val="24"/>
        </w:rPr>
        <w:t>&gt;</w:t>
      </w:r>
      <w:r>
        <w:rPr>
          <w:rFonts w:hint="eastAsia" w:ascii="Times New Roman" w:hAnsi="Times New Roman"/>
          <w:color w:val="000000"/>
          <w:kern w:val="0"/>
          <w:sz w:val="24"/>
          <w:szCs w:val="24"/>
        </w:rPr>
        <w:t>估值业务及份额净值计价有关事项的通知》采用估值技术确定公允价值。本基金持有的银行间同业市场债券按现金流量折现法估值，具体估值模型、参数及结果由中央国债登记结算有限责任公司独立提供。</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 </w:t>
      </w:r>
      <w:r>
        <w:rPr>
          <w:rFonts w:hint="eastAsia" w:ascii="Times New Roman" w:hAnsi="Times New Roman"/>
          <w:b/>
          <w:color w:val="000000"/>
          <w:kern w:val="0"/>
          <w:sz w:val="24"/>
          <w:szCs w:val="24"/>
        </w:rPr>
        <w:t>会计政策和会计估计变更以及差错更正的说明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7.4.5.1 </w:t>
      </w:r>
      <w:r>
        <w:rPr>
          <w:rFonts w:hint="eastAsia" w:ascii="Times New Roman" w:hAnsi="Times New Roman"/>
          <w:b/>
          <w:color w:val="000000"/>
          <w:kern w:val="0"/>
          <w:sz w:val="24"/>
          <w:szCs w:val="24"/>
        </w:rPr>
        <w:t>会计政策变更的说明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本基金本报告期未发生会计政策变更。</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7.4.5.2 </w:t>
      </w:r>
      <w:r>
        <w:rPr>
          <w:rFonts w:hint="eastAsia" w:ascii="Times New Roman" w:hAnsi="Times New Roman"/>
          <w:b/>
          <w:color w:val="000000"/>
          <w:kern w:val="0"/>
          <w:sz w:val="24"/>
          <w:szCs w:val="24"/>
        </w:rPr>
        <w:t>会计估计变更的说明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本基金本报告期未发生会计估计变更。</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7.4.5.3 </w:t>
      </w:r>
      <w:r>
        <w:rPr>
          <w:rFonts w:hint="eastAsia" w:ascii="Times New Roman" w:hAnsi="Times New Roman"/>
          <w:b/>
          <w:color w:val="000000"/>
          <w:kern w:val="0"/>
          <w:sz w:val="24"/>
          <w:szCs w:val="24"/>
        </w:rPr>
        <w:t>差错更正的说明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本基金在本报告期间无须说明的会计差错更正。</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7.4.6 </w:t>
      </w:r>
      <w:r>
        <w:rPr>
          <w:rFonts w:hint="eastAsia" w:ascii="Times New Roman" w:hAnsi="Times New Roman"/>
          <w:b/>
          <w:color w:val="000000"/>
          <w:kern w:val="0"/>
          <w:sz w:val="24"/>
          <w:szCs w:val="24"/>
        </w:rPr>
        <w:t>税项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根据财政部、国家税务总局财税</w:t>
      </w:r>
      <w:r>
        <w:rPr>
          <w:rFonts w:ascii="Times New Roman" w:hAnsi="Times New Roman"/>
          <w:color w:val="000000"/>
          <w:kern w:val="0"/>
          <w:sz w:val="24"/>
          <w:szCs w:val="24"/>
        </w:rPr>
        <w:t>[2004]78</w:t>
      </w:r>
      <w:r>
        <w:rPr>
          <w:rFonts w:hint="eastAsia" w:ascii="Times New Roman" w:hAnsi="Times New Roman"/>
          <w:color w:val="000000"/>
          <w:kern w:val="0"/>
          <w:sz w:val="24"/>
          <w:szCs w:val="24"/>
        </w:rPr>
        <w:t>号《财政部、国家税务总局关于证券投资基金税收政策的通知》、财税</w:t>
      </w:r>
      <w:r>
        <w:rPr>
          <w:rFonts w:ascii="Times New Roman" w:hAnsi="Times New Roman"/>
          <w:color w:val="000000"/>
          <w:kern w:val="0"/>
          <w:sz w:val="24"/>
          <w:szCs w:val="24"/>
        </w:rPr>
        <w:t>[2008]1</w:t>
      </w:r>
      <w:r>
        <w:rPr>
          <w:rFonts w:hint="eastAsia" w:ascii="Times New Roman" w:hAnsi="Times New Roman"/>
          <w:color w:val="000000"/>
          <w:kern w:val="0"/>
          <w:sz w:val="24"/>
          <w:szCs w:val="24"/>
        </w:rPr>
        <w:t>号《关于企业所得税若干优惠政策的通知》、财税</w:t>
      </w:r>
      <w:r>
        <w:rPr>
          <w:rFonts w:ascii="Times New Roman" w:hAnsi="Times New Roman"/>
          <w:color w:val="000000"/>
          <w:kern w:val="0"/>
          <w:sz w:val="24"/>
          <w:szCs w:val="24"/>
        </w:rPr>
        <w:t>[2012]85</w:t>
      </w:r>
      <w:r>
        <w:rPr>
          <w:rFonts w:hint="eastAsia" w:ascii="Times New Roman" w:hAnsi="Times New Roman"/>
          <w:color w:val="000000"/>
          <w:kern w:val="0"/>
          <w:sz w:val="24"/>
          <w:szCs w:val="24"/>
        </w:rPr>
        <w:t>号《关于实施上市公司股息红利差别化个人所得税政策有关问题的通知》、财税</w:t>
      </w:r>
      <w:r>
        <w:rPr>
          <w:rFonts w:ascii="Times New Roman" w:hAnsi="Times New Roman"/>
          <w:color w:val="000000"/>
          <w:kern w:val="0"/>
          <w:sz w:val="24"/>
          <w:szCs w:val="24"/>
        </w:rPr>
        <w:t>[2015]101</w:t>
      </w:r>
      <w:r>
        <w:rPr>
          <w:rFonts w:hint="eastAsia" w:ascii="Times New Roman" w:hAnsi="Times New Roman"/>
          <w:color w:val="000000"/>
          <w:kern w:val="0"/>
          <w:sz w:val="24"/>
          <w:szCs w:val="24"/>
        </w:rPr>
        <w:t>号《关于上市公司股息红利差别化个人所得税政策有关问题的通知》、财税</w:t>
      </w:r>
      <w:r>
        <w:rPr>
          <w:rFonts w:ascii="Times New Roman" w:hAnsi="Times New Roman"/>
          <w:color w:val="000000"/>
          <w:kern w:val="0"/>
          <w:sz w:val="24"/>
          <w:szCs w:val="24"/>
        </w:rPr>
        <w:t>[2016]36</w:t>
      </w:r>
      <w:r>
        <w:rPr>
          <w:rFonts w:hint="eastAsia" w:ascii="Times New Roman" w:hAnsi="Times New Roman"/>
          <w:color w:val="000000"/>
          <w:kern w:val="0"/>
          <w:sz w:val="24"/>
          <w:szCs w:val="24"/>
        </w:rPr>
        <w:t>号《关于全面推开营业税改征增值税试点的通知》、财税</w:t>
      </w:r>
      <w:r>
        <w:rPr>
          <w:rFonts w:ascii="Times New Roman" w:hAnsi="Times New Roman"/>
          <w:color w:val="000000"/>
          <w:kern w:val="0"/>
          <w:sz w:val="24"/>
          <w:szCs w:val="24"/>
        </w:rPr>
        <w:t>[2016]46</w:t>
      </w:r>
      <w:r>
        <w:rPr>
          <w:rFonts w:hint="eastAsia" w:ascii="Times New Roman" w:hAnsi="Times New Roman"/>
          <w:color w:val="000000"/>
          <w:kern w:val="0"/>
          <w:sz w:val="24"/>
          <w:szCs w:val="24"/>
        </w:rPr>
        <w:t>号《关于进一步明确全面推开营改增试点金融业有关政策的通知》、财税</w:t>
      </w:r>
      <w:r>
        <w:rPr>
          <w:rFonts w:ascii="Times New Roman" w:hAnsi="Times New Roman"/>
          <w:color w:val="000000"/>
          <w:kern w:val="0"/>
          <w:sz w:val="24"/>
          <w:szCs w:val="24"/>
        </w:rPr>
        <w:t>[2016]70</w:t>
      </w:r>
      <w:r>
        <w:rPr>
          <w:rFonts w:hint="eastAsia" w:ascii="Times New Roman" w:hAnsi="Times New Roman"/>
          <w:color w:val="000000"/>
          <w:kern w:val="0"/>
          <w:sz w:val="24"/>
          <w:szCs w:val="24"/>
        </w:rPr>
        <w:t>号《关于金融机构同业往来等增值税政策的补充通知》及其他相关财税法规和实务操作，主要税项列示如下：</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日前，以发行基金方式募集资金不属于营业税征收范围，不征收营业税。对证券投资基金管理人运用基金买卖股票、债券的差价收入免征营业税。自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日起，金融业由缴纳营业税改为缴纳增值税。对证券投资基金管理人运用基金买卖股票、债券的转让收入免征增值税，对国债、地方政府债以及金融同业往来利息收入亦免征增值税</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对基金取得的企业债券利息收入，应由发行债券的企业在向基金支付利息时代扣代缴</w:t>
      </w:r>
      <w:r>
        <w:rPr>
          <w:rFonts w:ascii="Times New Roman" w:hAnsi="Times New Roman"/>
          <w:color w:val="000000"/>
          <w:kern w:val="0"/>
          <w:sz w:val="24"/>
          <w:szCs w:val="24"/>
        </w:rPr>
        <w:t>20%</w:t>
      </w:r>
      <w:r>
        <w:rPr>
          <w:rFonts w:hint="eastAsia" w:ascii="Times New Roman" w:hAnsi="Times New Roman"/>
          <w:color w:val="000000"/>
          <w:kern w:val="0"/>
          <w:sz w:val="24"/>
          <w:szCs w:val="24"/>
        </w:rPr>
        <w:t>的个人所得税。对基金从上市公司取得的股息红利所得，持股期限在</w:t>
      </w:r>
      <w:r>
        <w:rPr>
          <w:rFonts w:ascii="Times New Roman" w:hAnsi="Times New Roman"/>
          <w:color w:val="000000"/>
          <w:kern w:val="0"/>
          <w:sz w:val="24"/>
          <w:szCs w:val="24"/>
        </w:rPr>
        <w:t>1</w:t>
      </w:r>
      <w:r>
        <w:rPr>
          <w:rFonts w:hint="eastAsia" w:ascii="Times New Roman" w:hAnsi="Times New Roman"/>
          <w:color w:val="000000"/>
          <w:kern w:val="0"/>
          <w:sz w:val="24"/>
          <w:szCs w:val="24"/>
        </w:rPr>
        <w:t>个月以内</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1</w:t>
      </w:r>
      <w:r>
        <w:rPr>
          <w:rFonts w:hint="eastAsia" w:ascii="Times New Roman" w:hAnsi="Times New Roman"/>
          <w:color w:val="000000"/>
          <w:kern w:val="0"/>
          <w:sz w:val="24"/>
          <w:szCs w:val="24"/>
        </w:rPr>
        <w:t>个月</w:t>
      </w:r>
      <w:r>
        <w:rPr>
          <w:rFonts w:ascii="Times New Roman" w:hAnsi="Times New Roman"/>
          <w:color w:val="000000"/>
          <w:kern w:val="0"/>
          <w:sz w:val="24"/>
          <w:szCs w:val="24"/>
        </w:rPr>
        <w:t>)</w:t>
      </w:r>
      <w:r>
        <w:rPr>
          <w:rFonts w:hint="eastAsia" w:ascii="Times New Roman" w:hAnsi="Times New Roman"/>
          <w:color w:val="000000"/>
          <w:kern w:val="0"/>
          <w:sz w:val="24"/>
          <w:szCs w:val="24"/>
        </w:rPr>
        <w:t>的，其股息红利所得全额计入应纳税所得额；持股期限在</w:t>
      </w:r>
      <w:r>
        <w:rPr>
          <w:rFonts w:ascii="Times New Roman" w:hAnsi="Times New Roman"/>
          <w:color w:val="000000"/>
          <w:kern w:val="0"/>
          <w:sz w:val="24"/>
          <w:szCs w:val="24"/>
        </w:rPr>
        <w:t>1</w:t>
      </w:r>
      <w:r>
        <w:rPr>
          <w:rFonts w:hint="eastAsia" w:ascii="Times New Roman" w:hAnsi="Times New Roman"/>
          <w:color w:val="000000"/>
          <w:kern w:val="0"/>
          <w:sz w:val="24"/>
          <w:szCs w:val="24"/>
        </w:rPr>
        <w:t>个月以上至</w:t>
      </w:r>
      <w:r>
        <w:rPr>
          <w:rFonts w:ascii="Times New Roman" w:hAnsi="Times New Roman"/>
          <w:color w:val="000000"/>
          <w:kern w:val="0"/>
          <w:sz w:val="24"/>
          <w:szCs w:val="24"/>
        </w:rPr>
        <w:t>1</w:t>
      </w:r>
      <w:r>
        <w:rPr>
          <w:rFonts w:hint="eastAsia" w:ascii="Times New Roman" w:hAnsi="Times New Roman"/>
          <w:color w:val="000000"/>
          <w:kern w:val="0"/>
          <w:sz w:val="24"/>
          <w:szCs w:val="24"/>
        </w:rPr>
        <w:t>年</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1</w:t>
      </w:r>
      <w:r>
        <w:rPr>
          <w:rFonts w:hint="eastAsia" w:ascii="Times New Roman" w:hAnsi="Times New Roman"/>
          <w:color w:val="000000"/>
          <w:kern w:val="0"/>
          <w:sz w:val="24"/>
          <w:szCs w:val="24"/>
        </w:rPr>
        <w:t>年</w:t>
      </w:r>
      <w:r>
        <w:rPr>
          <w:rFonts w:ascii="Times New Roman" w:hAnsi="Times New Roman"/>
          <w:color w:val="000000"/>
          <w:kern w:val="0"/>
          <w:sz w:val="24"/>
          <w:szCs w:val="24"/>
        </w:rPr>
        <w:t>)</w:t>
      </w:r>
      <w:r>
        <w:rPr>
          <w:rFonts w:hint="eastAsia" w:ascii="Times New Roman" w:hAnsi="Times New Roman"/>
          <w:color w:val="000000"/>
          <w:kern w:val="0"/>
          <w:sz w:val="24"/>
          <w:szCs w:val="24"/>
        </w:rPr>
        <w:t>的，暂减按</w:t>
      </w:r>
      <w:r>
        <w:rPr>
          <w:rFonts w:ascii="Times New Roman" w:hAnsi="Times New Roman"/>
          <w:color w:val="000000"/>
          <w:kern w:val="0"/>
          <w:sz w:val="24"/>
          <w:szCs w:val="24"/>
        </w:rPr>
        <w:t>50%</w:t>
      </w:r>
      <w:r>
        <w:rPr>
          <w:rFonts w:hint="eastAsia" w:ascii="Times New Roman" w:hAnsi="Times New Roman"/>
          <w:color w:val="000000"/>
          <w:kern w:val="0"/>
          <w:sz w:val="24"/>
          <w:szCs w:val="24"/>
        </w:rPr>
        <w:t>计入应纳税所得额；持股期限超过</w:t>
      </w:r>
      <w:r>
        <w:rPr>
          <w:rFonts w:ascii="Times New Roman" w:hAnsi="Times New Roman"/>
          <w:color w:val="000000"/>
          <w:kern w:val="0"/>
          <w:sz w:val="24"/>
          <w:szCs w:val="24"/>
        </w:rPr>
        <w:t>1</w:t>
      </w:r>
      <w:r>
        <w:rPr>
          <w:rFonts w:hint="eastAsia" w:ascii="Times New Roman" w:hAnsi="Times New Roman"/>
          <w:color w:val="000000"/>
          <w:kern w:val="0"/>
          <w:sz w:val="24"/>
          <w:szCs w:val="24"/>
        </w:rPr>
        <w:t>年的，暂免征收个人所得税。对基金持有的上市公司限售股，解禁后取得的股息、红利收入，按照上述规定计算纳税，持股时间自解禁日起计算；解禁前取得的股息、红利收入继续暂减按</w:t>
      </w:r>
      <w:r>
        <w:rPr>
          <w:rFonts w:ascii="Times New Roman" w:hAnsi="Times New Roman"/>
          <w:color w:val="000000"/>
          <w:kern w:val="0"/>
          <w:sz w:val="24"/>
          <w:szCs w:val="24"/>
        </w:rPr>
        <w:t>50%</w:t>
      </w:r>
      <w:r>
        <w:rPr>
          <w:rFonts w:hint="eastAsia" w:ascii="Times New Roman" w:hAnsi="Times New Roman"/>
          <w:color w:val="000000"/>
          <w:kern w:val="0"/>
          <w:sz w:val="24"/>
          <w:szCs w:val="24"/>
        </w:rPr>
        <w:t>计入应纳税所得额。上述所得统一适用</w:t>
      </w:r>
      <w:r>
        <w:rPr>
          <w:rFonts w:ascii="Times New Roman" w:hAnsi="Times New Roman"/>
          <w:color w:val="000000"/>
          <w:kern w:val="0"/>
          <w:sz w:val="24"/>
          <w:szCs w:val="24"/>
        </w:rPr>
        <w:t>20%</w:t>
      </w:r>
      <w:r>
        <w:rPr>
          <w:rFonts w:hint="eastAsia" w:ascii="Times New Roman" w:hAnsi="Times New Roman"/>
          <w:color w:val="000000"/>
          <w:kern w:val="0"/>
          <w:sz w:val="24"/>
          <w:szCs w:val="24"/>
        </w:rPr>
        <w:t>的税率计征个人所得税。</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(4) </w:t>
      </w:r>
      <w:r>
        <w:rPr>
          <w:rFonts w:hint="eastAsia" w:ascii="Times New Roman" w:hAnsi="Times New Roman"/>
          <w:color w:val="000000"/>
          <w:kern w:val="0"/>
          <w:sz w:val="24"/>
          <w:szCs w:val="24"/>
        </w:rPr>
        <w:t>基金卖出股票按</w:t>
      </w:r>
      <w:r>
        <w:rPr>
          <w:rFonts w:ascii="Times New Roman" w:hAnsi="Times New Roman"/>
          <w:color w:val="000000"/>
          <w:kern w:val="0"/>
          <w:sz w:val="24"/>
          <w:szCs w:val="24"/>
        </w:rPr>
        <w:t>0.1%</w:t>
      </w:r>
      <w:r>
        <w:rPr>
          <w:rFonts w:hint="eastAsia" w:ascii="Times New Roman" w:hAnsi="Times New Roman"/>
          <w:color w:val="000000"/>
          <w:kern w:val="0"/>
          <w:sz w:val="24"/>
          <w:szCs w:val="24"/>
        </w:rPr>
        <w:t>的税率缴纳股票交易印花税，买入股票不征收股票交易印花税。</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 </w:t>
      </w:r>
      <w:r>
        <w:rPr>
          <w:rFonts w:hint="eastAsia" w:ascii="Times New Roman" w:hAnsi="Times New Roman"/>
          <w:b/>
          <w:color w:val="000000"/>
          <w:kern w:val="0"/>
          <w:sz w:val="24"/>
          <w:szCs w:val="24"/>
        </w:rPr>
        <w:t>重要财务报表项目的说明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 </w:t>
      </w:r>
      <w:r>
        <w:rPr>
          <w:rFonts w:hint="eastAsia" w:ascii="Times New Roman" w:hAnsi="Times New Roman"/>
          <w:b/>
          <w:color w:val="000000"/>
          <w:kern w:val="0"/>
          <w:sz w:val="24"/>
          <w:szCs w:val="24"/>
        </w:rPr>
        <w:t>银行存款</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活期存款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7,501,057.65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定期存款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其中：存款期限</w:t>
            </w:r>
            <w:r>
              <w:rPr>
                <w:rFonts w:ascii="Times New Roman" w:hAnsi="Times New Roman"/>
                <w:color w:val="000000"/>
                <w:kern w:val="0"/>
                <w:sz w:val="24"/>
                <w:szCs w:val="24"/>
              </w:rPr>
              <w:t>1-3</w:t>
            </w:r>
            <w:r>
              <w:rPr>
                <w:rFonts w:hint="eastAsia" w:ascii="Times New Roman" w:hAnsi="Times New Roman"/>
                <w:color w:val="000000"/>
                <w:kern w:val="0"/>
                <w:sz w:val="24"/>
                <w:szCs w:val="24"/>
              </w:rPr>
              <w:t>个月</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其他存款</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7,501,057.65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7.4.7.2 </w:t>
      </w:r>
      <w:r>
        <w:rPr>
          <w:rFonts w:hint="eastAsia" w:ascii="Times New Roman" w:hAnsi="Times New Roman"/>
          <w:b/>
          <w:color w:val="000000"/>
          <w:kern w:val="0"/>
          <w:sz w:val="24"/>
          <w:szCs w:val="24"/>
        </w:rPr>
        <w:t>交易性金融资产</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662"/>
        <w:gridCol w:w="1445"/>
        <w:gridCol w:w="2167"/>
        <w:gridCol w:w="2529"/>
        <w:gridCol w:w="2167"/>
      </w:tblGrid>
      <w:tr>
        <w:tblPrEx>
          <w:tblCellMar>
            <w:top w:w="0" w:type="dxa"/>
            <w:left w:w="108" w:type="dxa"/>
            <w:bottom w:w="0" w:type="dxa"/>
            <w:right w:w="108" w:type="dxa"/>
          </w:tblCellMar>
        </w:tblPrEx>
        <w:trPr>
          <w:wBefore w:w="0" w:type="auto"/>
        </w:trPr>
        <w:tc>
          <w:tcPr>
            <w:tcW w:w="2107"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86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rPr>
          <w:wBefore w:w="0" w:type="auto"/>
        </w:trPr>
        <w:tc>
          <w:tcPr>
            <w:tcW w:w="2107"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成本</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公允价值变动</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68,530,636.81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66,865,279.32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-1,665,357.49</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r>
              <w:rPr>
                <w:rFonts w:ascii="Times New Roman" w:hAnsi="Times New Roman"/>
                <w:color w:val="000000"/>
                <w:kern w:val="0"/>
                <w:sz w:val="24"/>
                <w:szCs w:val="24"/>
              </w:rPr>
              <w:t>-</w:t>
            </w:r>
            <w:r>
              <w:rPr>
                <w:rFonts w:hint="eastAsia" w:ascii="Times New Roman" w:hAnsi="Times New Roman"/>
                <w:color w:val="000000"/>
                <w:kern w:val="0"/>
                <w:sz w:val="24"/>
                <w:szCs w:val="24"/>
              </w:rPr>
              <w:t>金交所黄金合约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交易所市场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银行间市场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457,349,086.36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445,967,000.00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-11,382,086.36</w:t>
            </w:r>
          </w:p>
        </w:tc>
      </w:tr>
      <w:tr>
        <w:tblPrEx>
          <w:tblCellMar>
            <w:top w:w="0" w:type="dxa"/>
            <w:left w:w="108" w:type="dxa"/>
            <w:bottom w:w="0" w:type="dxa"/>
            <w:right w:w="108" w:type="dxa"/>
          </w:tblCellMar>
        </w:tblPrEx>
        <w:trPr>
          <w:wBefore w:w="0" w:type="auto"/>
        </w:trPr>
        <w:tc>
          <w:tcPr>
            <w:tcW w:w="66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457,349,086.36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445,967,000.00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-11,382,086.36</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525,879,723.17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512,832,279.32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-13,047,443.85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7.4.7.3 </w:t>
      </w:r>
      <w:r>
        <w:rPr>
          <w:rFonts w:hint="eastAsia" w:ascii="Times New Roman" w:hAnsi="Times New Roman"/>
          <w:b/>
          <w:color w:val="000000"/>
          <w:kern w:val="0"/>
          <w:sz w:val="24"/>
          <w:szCs w:val="24"/>
        </w:rPr>
        <w:t>衍生金融资产</w:t>
      </w:r>
      <w:r>
        <w:rPr>
          <w:rFonts w:ascii="Times New Roman" w:hAnsi="Times New Roman"/>
          <w:b/>
          <w:color w:val="000000"/>
          <w:kern w:val="0"/>
          <w:sz w:val="24"/>
          <w:szCs w:val="24"/>
        </w:rPr>
        <w:t>/</w:t>
      </w:r>
      <w:r>
        <w:rPr>
          <w:rFonts w:hint="eastAsia" w:ascii="Times New Roman" w:hAnsi="Times New Roman"/>
          <w:b/>
          <w:color w:val="000000"/>
          <w:kern w:val="0"/>
          <w:sz w:val="24"/>
          <w:szCs w:val="24"/>
        </w:rPr>
        <w:t>负债</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本基金本报告期末未持有衍生金融资产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负债。</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7.4.7.4 </w:t>
      </w:r>
      <w:r>
        <w:rPr>
          <w:rFonts w:hint="eastAsia" w:ascii="Times New Roman" w:hAnsi="Times New Roman"/>
          <w:b/>
          <w:color w:val="000000"/>
          <w:kern w:val="0"/>
          <w:sz w:val="24"/>
          <w:szCs w:val="24"/>
        </w:rPr>
        <w:t>买入返售金融资产</w:t>
      </w:r>
    </w:p>
    <w:p>
      <w:pPr>
        <w:autoSpaceDE w:val="0"/>
        <w:autoSpaceDN w:val="0"/>
        <w:adjustRightInd w:val="0"/>
        <w:spacing w:before="29" w:line="288" w:lineRule="auto"/>
        <w:ind w:left="15"/>
        <w:jc w:val="left"/>
        <w:rPr>
          <w:rFonts w:ascii="Times New Roman" w:hAnsi="Times New Roman" w:cs="宋体"/>
          <w:b/>
          <w:bCs/>
          <w:color w:val="000000"/>
          <w:kern w:val="0"/>
          <w:sz w:val="24"/>
          <w:szCs w:val="24"/>
        </w:rPr>
      </w:pPr>
      <w:r>
        <w:rPr>
          <w:rFonts w:ascii="Times New Roman" w:hAnsi="Times New Roman" w:cs="宋体"/>
          <w:b/>
          <w:bCs/>
          <w:color w:val="000000"/>
          <w:kern w:val="0"/>
          <w:sz w:val="24"/>
          <w:szCs w:val="24"/>
        </w:rPr>
        <w:t xml:space="preserve">7.4.7.4.1 </w:t>
      </w:r>
      <w:r>
        <w:rPr>
          <w:rFonts w:hint="eastAsia" w:ascii="Times New Roman" w:hAnsi="Times New Roman" w:cs="宋体"/>
          <w:b/>
          <w:bCs/>
          <w:color w:val="000000"/>
          <w:kern w:val="0"/>
          <w:sz w:val="24"/>
          <w:szCs w:val="24"/>
        </w:rPr>
        <w:t>各项买入返售金融资产期末余额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本基金本报告期末未持有买入返售金融资产。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7.4.7.4.</w:t>
      </w:r>
      <w:r>
        <w:rPr>
          <w:rFonts w:hint="eastAsia" w:ascii="Times New Roman" w:hAnsi="Times New Roman"/>
          <w:b/>
          <w:color w:val="000000"/>
          <w:kern w:val="0"/>
          <w:sz w:val="24"/>
          <w:szCs w:val="24"/>
        </w:rPr>
        <w:t>2</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期末买断式逆回购交易中取得的债券</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本基金本期末未持有买断式逆回购交易中取得的债券。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7.4.7.5 </w:t>
      </w:r>
      <w:r>
        <w:rPr>
          <w:rFonts w:hint="eastAsia" w:ascii="Times New Roman" w:hAnsi="Times New Roman"/>
          <w:b/>
          <w:color w:val="000000"/>
          <w:kern w:val="0"/>
          <w:sz w:val="24"/>
          <w:szCs w:val="24"/>
        </w:rPr>
        <w:t>应收利息</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应收活期存款利息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1,971.41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应收定期存款利息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应收其他存款利息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应收结算备付金利息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166.54</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应收债券利息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9,350,335.32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应收买入返售证券利息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应收申购款利息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应收黄金合约拆借孳息</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9,352,484.27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7.4.7.6 </w:t>
      </w:r>
      <w:r>
        <w:rPr>
          <w:rFonts w:hint="eastAsia" w:ascii="Times New Roman" w:hAnsi="Times New Roman"/>
          <w:b/>
          <w:color w:val="000000"/>
          <w:kern w:val="0"/>
          <w:sz w:val="24"/>
          <w:szCs w:val="24"/>
        </w:rPr>
        <w:t>其他资产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本基金本报告期末未持有其他资产。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7.4.7.7 </w:t>
      </w:r>
      <w:r>
        <w:rPr>
          <w:rFonts w:hint="eastAsia" w:ascii="Times New Roman" w:hAnsi="Times New Roman"/>
          <w:b/>
          <w:color w:val="000000"/>
          <w:kern w:val="0"/>
          <w:sz w:val="24"/>
          <w:szCs w:val="24"/>
        </w:rPr>
        <w:t>应付交易费用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交易所市场应付交易费用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204,053.81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银行间市场应付交易费用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3,510.91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207,564.72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7.4.7.8 </w:t>
      </w:r>
      <w:r>
        <w:rPr>
          <w:rFonts w:hint="eastAsia" w:ascii="Times New Roman" w:hAnsi="Times New Roman"/>
          <w:b/>
          <w:color w:val="000000"/>
          <w:kern w:val="0"/>
          <w:sz w:val="24"/>
          <w:szCs w:val="24"/>
        </w:rPr>
        <w:t>其他负债</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应付券商交易单元保证金</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应付赎回费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预提费用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74,000.00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7.4.7.9 </w:t>
      </w:r>
      <w:r>
        <w:rPr>
          <w:rFonts w:hint="eastAsia" w:ascii="Times New Roman" w:hAnsi="Times New Roman"/>
          <w:b/>
          <w:color w:val="000000"/>
          <w:kern w:val="0"/>
          <w:sz w:val="24"/>
          <w:szCs w:val="24"/>
        </w:rPr>
        <w:t>实收基金</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191"/>
        <w:gridCol w:w="2889"/>
        <w:gridCol w:w="2890"/>
      </w:tblGrid>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账面金额</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500,349,524.01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500,349,524.01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497,358,539.68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497,358,539.68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本期赎回（以“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-500,211,737.86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-500,211,737.86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497,496,325.83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497,496,325.83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C)</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账面金额</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431,722.30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431,722.30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33,905.76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33,905.76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本期赎回（以“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-300,803.73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-300,803.73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164,824.33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164,824.33</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申购含红利再投、转换入份（金）额，赎回含转换出份（金）额。</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本基金自</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16</w:t>
      </w:r>
      <w:r>
        <w:rPr>
          <w:rFonts w:hint="eastAsia" w:ascii="Times New Roman" w:hAnsi="Times New Roman"/>
          <w:color w:val="000000"/>
          <w:kern w:val="0"/>
          <w:szCs w:val="24"/>
        </w:rPr>
        <w:t>日至</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8</w:t>
      </w:r>
      <w:r>
        <w:rPr>
          <w:rFonts w:hint="eastAsia" w:ascii="Times New Roman" w:hAnsi="Times New Roman"/>
          <w:color w:val="000000"/>
          <w:kern w:val="0"/>
          <w:szCs w:val="24"/>
        </w:rPr>
        <w:t>月</w:t>
      </w:r>
      <w:r>
        <w:rPr>
          <w:rFonts w:ascii="Times New Roman" w:hAnsi="Times New Roman"/>
          <w:color w:val="000000"/>
          <w:kern w:val="0"/>
          <w:szCs w:val="24"/>
        </w:rPr>
        <w:t>18</w:t>
      </w:r>
      <w:r>
        <w:rPr>
          <w:rFonts w:hint="eastAsia" w:ascii="Times New Roman" w:hAnsi="Times New Roman"/>
          <w:color w:val="000000"/>
          <w:kern w:val="0"/>
          <w:szCs w:val="24"/>
        </w:rPr>
        <w:t>日止期间公开发售，共募集有效净认购资金</w:t>
      </w:r>
      <w:r>
        <w:rPr>
          <w:rFonts w:ascii="Times New Roman" w:hAnsi="Times New Roman"/>
          <w:color w:val="000000"/>
          <w:kern w:val="0"/>
          <w:szCs w:val="24"/>
        </w:rPr>
        <w:t>500,713,694.31</w:t>
      </w:r>
      <w:r>
        <w:rPr>
          <w:rFonts w:hint="eastAsia" w:ascii="Times New Roman" w:hAnsi="Times New Roman"/>
          <w:color w:val="000000"/>
          <w:kern w:val="0"/>
          <w:szCs w:val="24"/>
        </w:rPr>
        <w:t>元，其中</w:t>
      </w:r>
      <w:r>
        <w:rPr>
          <w:rFonts w:ascii="Times New Roman" w:hAnsi="Times New Roman"/>
          <w:color w:val="000000"/>
          <w:kern w:val="0"/>
          <w:szCs w:val="24"/>
        </w:rPr>
        <w:t>A</w:t>
      </w:r>
      <w:r>
        <w:rPr>
          <w:rFonts w:hint="eastAsia" w:ascii="Times New Roman" w:hAnsi="Times New Roman"/>
          <w:color w:val="000000"/>
          <w:kern w:val="0"/>
          <w:szCs w:val="24"/>
        </w:rPr>
        <w:t>类基金募集有效净认购资金为</w:t>
      </w:r>
      <w:r>
        <w:rPr>
          <w:rFonts w:ascii="Times New Roman" w:hAnsi="Times New Roman"/>
          <w:color w:val="000000"/>
          <w:kern w:val="0"/>
          <w:szCs w:val="24"/>
        </w:rPr>
        <w:t>500,282,001.26</w:t>
      </w:r>
      <w:r>
        <w:rPr>
          <w:rFonts w:hint="eastAsia" w:ascii="Times New Roman" w:hAnsi="Times New Roman"/>
          <w:color w:val="000000"/>
          <w:kern w:val="0"/>
          <w:szCs w:val="24"/>
        </w:rPr>
        <w:t>元，</w:t>
      </w:r>
      <w:r>
        <w:rPr>
          <w:rFonts w:ascii="Times New Roman" w:hAnsi="Times New Roman"/>
          <w:color w:val="000000"/>
          <w:kern w:val="0"/>
          <w:szCs w:val="24"/>
        </w:rPr>
        <w:t>C</w:t>
      </w:r>
      <w:r>
        <w:rPr>
          <w:rFonts w:hint="eastAsia" w:ascii="Times New Roman" w:hAnsi="Times New Roman"/>
          <w:color w:val="000000"/>
          <w:kern w:val="0"/>
          <w:szCs w:val="24"/>
        </w:rPr>
        <w:t>类基金募集有效净认购资金为</w:t>
      </w:r>
      <w:r>
        <w:rPr>
          <w:rFonts w:ascii="Times New Roman" w:hAnsi="Times New Roman"/>
          <w:color w:val="000000"/>
          <w:kern w:val="0"/>
          <w:szCs w:val="24"/>
        </w:rPr>
        <w:t>431,693.05</w:t>
      </w:r>
      <w:r>
        <w:rPr>
          <w:rFonts w:hint="eastAsia" w:ascii="Times New Roman" w:hAnsi="Times New Roman"/>
          <w:color w:val="000000"/>
          <w:kern w:val="0"/>
          <w:szCs w:val="24"/>
        </w:rPr>
        <w:t>元。根据《创金合信鑫回报灵活配置混合型证券投资基金招募说明书》的规定，本基金设立募集期内认购资金产生的利息收入</w:t>
      </w:r>
      <w:r>
        <w:rPr>
          <w:rFonts w:ascii="Times New Roman" w:hAnsi="Times New Roman"/>
          <w:color w:val="000000"/>
          <w:kern w:val="0"/>
          <w:szCs w:val="24"/>
        </w:rPr>
        <w:t>67,552.00</w:t>
      </w:r>
      <w:r>
        <w:rPr>
          <w:rFonts w:hint="eastAsia" w:ascii="Times New Roman" w:hAnsi="Times New Roman"/>
          <w:color w:val="000000"/>
          <w:kern w:val="0"/>
          <w:szCs w:val="24"/>
        </w:rPr>
        <w:t>元在本基金成立后，折算为</w:t>
      </w:r>
      <w:r>
        <w:rPr>
          <w:rFonts w:ascii="Times New Roman" w:hAnsi="Times New Roman"/>
          <w:color w:val="000000"/>
          <w:kern w:val="0"/>
          <w:szCs w:val="24"/>
        </w:rPr>
        <w:t>67,552.00</w:t>
      </w:r>
      <w:r>
        <w:rPr>
          <w:rFonts w:hint="eastAsia" w:ascii="Times New Roman" w:hAnsi="Times New Roman"/>
          <w:color w:val="000000"/>
          <w:kern w:val="0"/>
          <w:szCs w:val="24"/>
        </w:rPr>
        <w:t>份基金份额</w:t>
      </w:r>
      <w:r>
        <w:rPr>
          <w:rFonts w:ascii="Times New Roman" w:hAnsi="Times New Roman"/>
          <w:color w:val="000000"/>
          <w:kern w:val="0"/>
          <w:szCs w:val="24"/>
        </w:rPr>
        <w:t>(</w:t>
      </w:r>
      <w:r>
        <w:rPr>
          <w:rFonts w:hint="eastAsia" w:ascii="Times New Roman" w:hAnsi="Times New Roman"/>
          <w:color w:val="000000"/>
          <w:kern w:val="0"/>
          <w:szCs w:val="24"/>
        </w:rPr>
        <w:t>其中</w:t>
      </w:r>
      <w:r>
        <w:rPr>
          <w:rFonts w:ascii="Times New Roman" w:hAnsi="Times New Roman"/>
          <w:color w:val="000000"/>
          <w:kern w:val="0"/>
          <w:szCs w:val="24"/>
        </w:rPr>
        <w:t>A</w:t>
      </w:r>
      <w:r>
        <w:rPr>
          <w:rFonts w:hint="eastAsia" w:ascii="Times New Roman" w:hAnsi="Times New Roman"/>
          <w:color w:val="000000"/>
          <w:kern w:val="0"/>
          <w:szCs w:val="24"/>
        </w:rPr>
        <w:t>类基金募集期内认购资金产生的利息收入为</w:t>
      </w:r>
      <w:r>
        <w:rPr>
          <w:rFonts w:ascii="Times New Roman" w:hAnsi="Times New Roman"/>
          <w:color w:val="000000"/>
          <w:kern w:val="0"/>
          <w:szCs w:val="24"/>
        </w:rPr>
        <w:t>67,522.75</w:t>
      </w:r>
      <w:r>
        <w:rPr>
          <w:rFonts w:hint="eastAsia" w:ascii="Times New Roman" w:hAnsi="Times New Roman"/>
          <w:color w:val="000000"/>
          <w:kern w:val="0"/>
          <w:szCs w:val="24"/>
        </w:rPr>
        <w:t>元，折算为</w:t>
      </w:r>
      <w:r>
        <w:rPr>
          <w:rFonts w:ascii="Times New Roman" w:hAnsi="Times New Roman"/>
          <w:color w:val="000000"/>
          <w:kern w:val="0"/>
          <w:szCs w:val="24"/>
        </w:rPr>
        <w:t>67,522.75</w:t>
      </w:r>
      <w:r>
        <w:rPr>
          <w:rFonts w:hint="eastAsia" w:ascii="Times New Roman" w:hAnsi="Times New Roman"/>
          <w:color w:val="000000"/>
          <w:kern w:val="0"/>
          <w:szCs w:val="24"/>
        </w:rPr>
        <w:t>份基金份额，</w:t>
      </w:r>
      <w:r>
        <w:rPr>
          <w:rFonts w:ascii="Times New Roman" w:hAnsi="Times New Roman"/>
          <w:color w:val="000000"/>
          <w:kern w:val="0"/>
          <w:szCs w:val="24"/>
        </w:rPr>
        <w:t>C</w:t>
      </w:r>
      <w:r>
        <w:rPr>
          <w:rFonts w:hint="eastAsia" w:ascii="Times New Roman" w:hAnsi="Times New Roman"/>
          <w:color w:val="000000"/>
          <w:kern w:val="0"/>
          <w:szCs w:val="24"/>
        </w:rPr>
        <w:t>类基金募集期内认购资金产生的利息收入为</w:t>
      </w:r>
      <w:r>
        <w:rPr>
          <w:rFonts w:ascii="Times New Roman" w:hAnsi="Times New Roman"/>
          <w:color w:val="000000"/>
          <w:kern w:val="0"/>
          <w:szCs w:val="24"/>
        </w:rPr>
        <w:t>29.25</w:t>
      </w:r>
      <w:r>
        <w:rPr>
          <w:rFonts w:hint="eastAsia" w:ascii="Times New Roman" w:hAnsi="Times New Roman"/>
          <w:color w:val="000000"/>
          <w:kern w:val="0"/>
          <w:szCs w:val="24"/>
        </w:rPr>
        <w:t>元，折算为</w:t>
      </w:r>
      <w:r>
        <w:rPr>
          <w:rFonts w:ascii="Times New Roman" w:hAnsi="Times New Roman"/>
          <w:color w:val="000000"/>
          <w:kern w:val="0"/>
          <w:szCs w:val="24"/>
        </w:rPr>
        <w:t>29.25</w:t>
      </w:r>
      <w:r>
        <w:rPr>
          <w:rFonts w:hint="eastAsia" w:ascii="Times New Roman" w:hAnsi="Times New Roman"/>
          <w:color w:val="000000"/>
          <w:kern w:val="0"/>
          <w:szCs w:val="24"/>
        </w:rPr>
        <w:t>份基金份额</w:t>
      </w:r>
      <w:r>
        <w:rPr>
          <w:rFonts w:ascii="Times New Roman" w:hAnsi="Times New Roman"/>
          <w:color w:val="000000"/>
          <w:kern w:val="0"/>
          <w:szCs w:val="24"/>
        </w:rPr>
        <w:t>)</w:t>
      </w:r>
      <w:r>
        <w:rPr>
          <w:rFonts w:hint="eastAsia" w:ascii="Times New Roman" w:hAnsi="Times New Roman"/>
          <w:color w:val="000000"/>
          <w:kern w:val="0"/>
          <w:szCs w:val="24"/>
        </w:rPr>
        <w:t>，划入基金份额持有人账户。</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7.4.7.10 </w:t>
      </w:r>
      <w:r>
        <w:rPr>
          <w:rFonts w:hint="eastAsia" w:ascii="Times New Roman" w:hAnsi="Times New Roman"/>
          <w:b/>
          <w:color w:val="000000"/>
          <w:kern w:val="0"/>
          <w:sz w:val="24"/>
          <w:szCs w:val="24"/>
        </w:rPr>
        <w:t>未分配利润</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07"/>
        <w:gridCol w:w="2167"/>
        <w:gridCol w:w="2167"/>
        <w:gridCol w:w="2529"/>
      </w:tblGrid>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未实现部分</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14,083,869.70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-13,041,359.09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1,042,510.61</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940,937.16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-142,108.75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798,828.41</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3,108,962.22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-323,479.28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2,785,482.94</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-2,168,025.06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181,370.53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-1,986,654.53</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15,024,806.86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-13,183,467.84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1,841,339.02</w:t>
            </w:r>
          </w:p>
        </w:tc>
      </w:tr>
    </w:tbl>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07"/>
        <w:gridCol w:w="2167"/>
        <w:gridCol w:w="2167"/>
        <w:gridCol w:w="2529"/>
      </w:tblGrid>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未实现部分</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6,280.88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-6,084.76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196.12</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-2,447.68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1,740.35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-707.33</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156.76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-48.54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108.22</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-2,604.44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1,788.89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-815.55</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0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3,833.20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-4,344.41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-511.21</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7.4.7.11 </w:t>
      </w:r>
      <w:r>
        <w:rPr>
          <w:rFonts w:hint="eastAsia" w:ascii="Times New Roman" w:hAnsi="Times New Roman"/>
          <w:b/>
          <w:color w:val="000000"/>
          <w:kern w:val="0"/>
          <w:sz w:val="24"/>
          <w:szCs w:val="24"/>
        </w:rPr>
        <w:t>存款利息收入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活期存款利息收入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155,847.62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定期存款利息收入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其他存款利息收入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结算备付金利息收入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4,786.41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70.45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160,704.48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 </w:t>
      </w:r>
      <w:r>
        <w:rPr>
          <w:rFonts w:hint="eastAsia" w:ascii="Times New Roman" w:hAnsi="Times New Roman"/>
          <w:b/>
          <w:color w:val="000000"/>
          <w:kern w:val="0"/>
          <w:sz w:val="24"/>
          <w:szCs w:val="24"/>
        </w:rPr>
        <w:t>股票投资收益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7.4.7.12.1 </w:t>
      </w:r>
      <w:r>
        <w:rPr>
          <w:rFonts w:hint="eastAsia" w:ascii="Times New Roman" w:hAnsi="Times New Roman"/>
          <w:b/>
          <w:color w:val="000000"/>
          <w:kern w:val="0"/>
          <w:sz w:val="24"/>
          <w:szCs w:val="24"/>
        </w:rPr>
        <w:t>股票投资收益项目构成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买卖股票差价收入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6,665,106.08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赎回差价收入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申购差价收入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6,665,106.08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7.4.7.12.2 </w:t>
      </w:r>
      <w:r>
        <w:rPr>
          <w:rFonts w:hint="eastAsia" w:ascii="Times New Roman" w:hAnsi="Times New Roman"/>
          <w:b/>
          <w:color w:val="000000"/>
          <w:kern w:val="0"/>
          <w:sz w:val="24"/>
          <w:szCs w:val="24"/>
        </w:rPr>
        <w:t>股票投资收益</w:t>
      </w:r>
      <w:r>
        <w:rPr>
          <w:rFonts w:ascii="Times New Roman" w:hAnsi="Times New Roman"/>
          <w:b/>
          <w:color w:val="000000"/>
          <w:kern w:val="0"/>
          <w:sz w:val="24"/>
          <w:szCs w:val="24"/>
        </w:rPr>
        <w:t>——</w:t>
      </w:r>
      <w:r>
        <w:rPr>
          <w:rFonts w:hint="eastAsia" w:ascii="Times New Roman" w:hAnsi="Times New Roman"/>
          <w:b/>
          <w:color w:val="000000"/>
          <w:kern w:val="0"/>
          <w:sz w:val="24"/>
          <w:szCs w:val="24"/>
        </w:rPr>
        <w:t>买卖股票差价收入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卖出股票成交总额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114,630,212.40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减：卖出股票成本总额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107,965,106.32</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买卖股票差价收入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6,665,106.08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 </w:t>
      </w:r>
      <w:r>
        <w:rPr>
          <w:rFonts w:hint="eastAsia" w:ascii="Times New Roman" w:hAnsi="Times New Roman"/>
          <w:b/>
          <w:color w:val="000000"/>
          <w:kern w:val="0"/>
          <w:sz w:val="24"/>
          <w:szCs w:val="24"/>
        </w:rPr>
        <w:t>债券投资收益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7.4.7.13.1 </w:t>
      </w:r>
      <w:r>
        <w:rPr>
          <w:rFonts w:hint="eastAsia" w:ascii="Times New Roman" w:hAnsi="Times New Roman"/>
          <w:b/>
          <w:color w:val="000000"/>
          <w:kern w:val="0"/>
          <w:sz w:val="24"/>
          <w:szCs w:val="24"/>
        </w:rPr>
        <w:t>债券投资收益项目构成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买卖债券（、债转股及债券到期兑付）差价收入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-4,070.00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赎回差价收入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申购差价收入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-4,070.00</w:t>
            </w:r>
          </w:p>
        </w:tc>
      </w:tr>
    </w:tbl>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7.4.7.13.2 </w:t>
      </w:r>
      <w:r>
        <w:rPr>
          <w:rFonts w:hint="eastAsia" w:ascii="Times New Roman" w:hAnsi="Times New Roman"/>
          <w:b/>
          <w:color w:val="000000"/>
          <w:kern w:val="0"/>
          <w:sz w:val="24"/>
          <w:szCs w:val="24"/>
        </w:rPr>
        <w:t>债券投资收益</w:t>
      </w:r>
      <w:r>
        <w:rPr>
          <w:rFonts w:ascii="Times New Roman" w:hAnsi="Times New Roman"/>
          <w:b/>
          <w:color w:val="000000"/>
          <w:kern w:val="0"/>
          <w:sz w:val="24"/>
          <w:szCs w:val="24"/>
        </w:rPr>
        <w:t>——</w:t>
      </w:r>
      <w:r>
        <w:rPr>
          <w:rFonts w:hint="eastAsia" w:ascii="Times New Roman" w:hAnsi="Times New Roman"/>
          <w:b/>
          <w:color w:val="000000"/>
          <w:kern w:val="0"/>
          <w:sz w:val="24"/>
          <w:szCs w:val="24"/>
        </w:rPr>
        <w:t>买卖债券差价收入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卖出债券（、债转股及债券到期兑付）成交总额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10,143,979.73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减：卖出债券（、债转股及债券到期兑付）成本总额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10,006,910.00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减：应收利息总额</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141,139.73</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买卖债券差价收入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-4,070.00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7.4.7.14 </w:t>
      </w:r>
      <w:r>
        <w:rPr>
          <w:rFonts w:hint="eastAsia" w:ascii="Times New Roman" w:hAnsi="Times New Roman"/>
          <w:b/>
          <w:color w:val="000000"/>
          <w:kern w:val="0"/>
          <w:sz w:val="24"/>
          <w:szCs w:val="24"/>
        </w:rPr>
        <w:t>衍生工具收益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本基金本报告期内无衍生工具收益。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7.4.7.15 </w:t>
      </w:r>
      <w:r>
        <w:rPr>
          <w:rFonts w:hint="eastAsia" w:ascii="Times New Roman" w:hAnsi="Times New Roman"/>
          <w:b/>
          <w:color w:val="000000"/>
          <w:kern w:val="0"/>
          <w:sz w:val="24"/>
          <w:szCs w:val="24"/>
        </w:rPr>
        <w:t>股利收益</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股票投资产生的股利收益</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9,942.00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基金投资产生的股利收益</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9,942.00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7.4.7.16 </w:t>
      </w:r>
      <w:r>
        <w:rPr>
          <w:rFonts w:hint="eastAsia" w:ascii="Times New Roman" w:hAnsi="Times New Roman"/>
          <w:b/>
          <w:color w:val="000000"/>
          <w:kern w:val="0"/>
          <w:sz w:val="24"/>
          <w:szCs w:val="24"/>
        </w:rPr>
        <w:t>公允价值变动收益</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项目名称</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交易性金融资产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-13,047,443.85</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股票投资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-1,665,357.49</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债券投资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-11,382,086.36</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资产支持证券投资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基金投资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贵金属投资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衍生工具</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权证投资</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其他</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-13,047,443.85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7.4.7.17 </w:t>
      </w:r>
      <w:r>
        <w:rPr>
          <w:rFonts w:hint="eastAsia" w:ascii="Times New Roman" w:hAnsi="Times New Roman"/>
          <w:b/>
          <w:color w:val="000000"/>
          <w:kern w:val="0"/>
          <w:sz w:val="24"/>
          <w:szCs w:val="24"/>
        </w:rPr>
        <w:t>其他收入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基金赎回费收入</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2,641,798.07</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2,641,798.07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7.4.7.18 </w:t>
      </w:r>
      <w:r>
        <w:rPr>
          <w:rFonts w:hint="eastAsia" w:ascii="Times New Roman" w:hAnsi="Times New Roman"/>
          <w:b/>
          <w:color w:val="000000"/>
          <w:kern w:val="0"/>
          <w:sz w:val="24"/>
          <w:szCs w:val="24"/>
        </w:rPr>
        <w:t>交易费用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交易所市场交易费用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381,929.68</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银行间市场交易费用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4,512.50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386,442.18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7.4.7.19 </w:t>
      </w:r>
      <w:r>
        <w:rPr>
          <w:rFonts w:hint="eastAsia" w:ascii="Times New Roman" w:hAnsi="Times New Roman"/>
          <w:b/>
          <w:color w:val="000000"/>
          <w:kern w:val="0"/>
          <w:sz w:val="24"/>
          <w:szCs w:val="24"/>
        </w:rPr>
        <w:t>其他费用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审计费用</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65,000.00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信息披露费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帐户维护费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汇划手续费</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4,888.91</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109,288.91</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 </w:t>
      </w:r>
      <w:r>
        <w:rPr>
          <w:rFonts w:hint="eastAsia" w:ascii="Times New Roman" w:hAnsi="Times New Roman"/>
          <w:b/>
          <w:color w:val="000000"/>
          <w:kern w:val="0"/>
          <w:sz w:val="24"/>
          <w:szCs w:val="24"/>
        </w:rPr>
        <w:t>或有事项、资产负债表日后事项的说明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7.4.8.1 </w:t>
      </w:r>
      <w:r>
        <w:rPr>
          <w:rFonts w:hint="eastAsia" w:ascii="Times New Roman" w:hAnsi="Times New Roman"/>
          <w:b/>
          <w:color w:val="000000"/>
          <w:kern w:val="0"/>
          <w:sz w:val="24"/>
          <w:szCs w:val="24"/>
        </w:rPr>
        <w:t>或有事项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截至资产负债表日，本基金并无须作披露的或有事项。</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7.4.8.2 </w:t>
      </w:r>
      <w:r>
        <w:rPr>
          <w:rFonts w:hint="eastAsia" w:ascii="Times New Roman" w:hAnsi="Times New Roman"/>
          <w:b/>
          <w:color w:val="000000"/>
          <w:kern w:val="0"/>
          <w:sz w:val="24"/>
          <w:szCs w:val="24"/>
        </w:rPr>
        <w:t>资产负债表日后事项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财政部、国家税务总局于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21</w:t>
      </w:r>
      <w:r>
        <w:rPr>
          <w:rFonts w:hint="eastAsia" w:ascii="Times New Roman" w:hAnsi="Times New Roman"/>
          <w:color w:val="000000"/>
          <w:kern w:val="0"/>
          <w:sz w:val="24"/>
          <w:szCs w:val="24"/>
        </w:rPr>
        <w:t>日颁布《关于明确金融房地产开发教育辅助服务等增值税政策的通知》</w:t>
      </w:r>
      <w:r>
        <w:rPr>
          <w:rFonts w:ascii="Times New Roman" w:hAnsi="Times New Roman"/>
          <w:color w:val="000000"/>
          <w:kern w:val="0"/>
          <w:sz w:val="24"/>
          <w:szCs w:val="24"/>
        </w:rPr>
        <w:t>(</w:t>
      </w:r>
      <w:r>
        <w:rPr>
          <w:rFonts w:hint="eastAsia" w:ascii="Times New Roman" w:hAnsi="Times New Roman"/>
          <w:color w:val="000000"/>
          <w:kern w:val="0"/>
          <w:sz w:val="24"/>
          <w:szCs w:val="24"/>
        </w:rPr>
        <w:t>财税</w:t>
      </w:r>
      <w:r>
        <w:rPr>
          <w:rFonts w:ascii="Times New Roman" w:hAnsi="Times New Roman"/>
          <w:color w:val="000000"/>
          <w:kern w:val="0"/>
          <w:sz w:val="24"/>
          <w:szCs w:val="24"/>
        </w:rPr>
        <w:t>[2016]140</w:t>
      </w:r>
      <w:r>
        <w:rPr>
          <w:rFonts w:hint="eastAsia" w:ascii="Times New Roman" w:hAnsi="Times New Roman"/>
          <w:color w:val="000000"/>
          <w:kern w:val="0"/>
          <w:sz w:val="24"/>
          <w:szCs w:val="24"/>
        </w:rPr>
        <w:t>号</w:t>
      </w:r>
      <w:r>
        <w:rPr>
          <w:rFonts w:ascii="Times New Roman" w:hAnsi="Times New Roman"/>
          <w:color w:val="000000"/>
          <w:kern w:val="0"/>
          <w:sz w:val="24"/>
          <w:szCs w:val="24"/>
        </w:rPr>
        <w:t>)</w:t>
      </w:r>
      <w:r>
        <w:rPr>
          <w:rFonts w:hint="eastAsia" w:ascii="Times New Roman" w:hAnsi="Times New Roman"/>
          <w:color w:val="000000"/>
          <w:kern w:val="0"/>
          <w:sz w:val="24"/>
          <w:szCs w:val="24"/>
        </w:rPr>
        <w:t>，要求资管产品运营过程中发生的增值税应税行为，以资管产品管理人为增值税纳税人，自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日起执行。</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根据财政部、国家税务总局于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6</w:t>
      </w:r>
      <w:r>
        <w:rPr>
          <w:rFonts w:hint="eastAsia" w:ascii="Times New Roman" w:hAnsi="Times New Roman"/>
          <w:color w:val="000000"/>
          <w:kern w:val="0"/>
          <w:sz w:val="24"/>
          <w:szCs w:val="24"/>
        </w:rPr>
        <w:t>日颁布的《关于资管产品增值税政策有关问题的补充通知》</w:t>
      </w:r>
      <w:r>
        <w:rPr>
          <w:rFonts w:ascii="Times New Roman" w:hAnsi="Times New Roman"/>
          <w:color w:val="000000"/>
          <w:kern w:val="0"/>
          <w:sz w:val="24"/>
          <w:szCs w:val="24"/>
        </w:rPr>
        <w:t>(</w:t>
      </w:r>
      <w:r>
        <w:rPr>
          <w:rFonts w:hint="eastAsia" w:ascii="Times New Roman" w:hAnsi="Times New Roman"/>
          <w:color w:val="000000"/>
          <w:kern w:val="0"/>
          <w:sz w:val="24"/>
          <w:szCs w:val="24"/>
        </w:rPr>
        <w:t>财税</w:t>
      </w:r>
      <w:r>
        <w:rPr>
          <w:rFonts w:ascii="Times New Roman" w:hAnsi="Times New Roman"/>
          <w:color w:val="000000"/>
          <w:kern w:val="0"/>
          <w:sz w:val="24"/>
          <w:szCs w:val="24"/>
        </w:rPr>
        <w:t>[2017]2</w:t>
      </w:r>
      <w:r>
        <w:rPr>
          <w:rFonts w:hint="eastAsia" w:ascii="Times New Roman" w:hAnsi="Times New Roman"/>
          <w:color w:val="000000"/>
          <w:kern w:val="0"/>
          <w:sz w:val="24"/>
          <w:szCs w:val="24"/>
        </w:rPr>
        <w:t>号</w:t>
      </w:r>
      <w:r>
        <w:rPr>
          <w:rFonts w:ascii="Times New Roman" w:hAnsi="Times New Roman"/>
          <w:color w:val="000000"/>
          <w:kern w:val="0"/>
          <w:sz w:val="24"/>
          <w:szCs w:val="24"/>
        </w:rPr>
        <w:t>)</w:t>
      </w:r>
      <w:r>
        <w:rPr>
          <w:rFonts w:hint="eastAsia" w:ascii="Times New Roman" w:hAnsi="Times New Roman"/>
          <w:color w:val="000000"/>
          <w:kern w:val="0"/>
          <w:sz w:val="24"/>
          <w:szCs w:val="24"/>
        </w:rPr>
        <w:t>，</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w:t>
      </w:r>
      <w:r>
        <w:rPr>
          <w:rFonts w:hint="eastAsia" w:ascii="Times New Roman" w:hAnsi="Times New Roman"/>
          <w:color w:val="000000"/>
          <w:kern w:val="0"/>
          <w:sz w:val="24"/>
          <w:szCs w:val="24"/>
        </w:rPr>
        <w:t>以后，资管产品运营过程中发生的增值税应税行为，以资管产品管理人为增值税纳税人，按照现行规定缴纳增值税。对资管产品在</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7.4.9 </w:t>
      </w:r>
      <w:r>
        <w:rPr>
          <w:rFonts w:hint="eastAsia" w:ascii="Times New Roman" w:hAnsi="Times New Roman"/>
          <w:b/>
          <w:color w:val="000000"/>
          <w:kern w:val="0"/>
          <w:sz w:val="24"/>
          <w:szCs w:val="24"/>
        </w:rPr>
        <w:t>关联方关系</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7.4.9.1 </w:t>
      </w:r>
      <w:r>
        <w:rPr>
          <w:rFonts w:hint="eastAsia" w:ascii="Times New Roman" w:hAnsi="Times New Roman"/>
          <w:b/>
          <w:color w:val="000000"/>
          <w:kern w:val="0"/>
          <w:sz w:val="24"/>
          <w:szCs w:val="24"/>
        </w:rPr>
        <w:t>本报告期存在控制关系或其他重大利害关系的关联方发生变化的情况</w:t>
      </w:r>
    </w:p>
    <w:p>
      <w:pPr>
        <w:autoSpaceDE w:val="0"/>
        <w:autoSpaceDN w:val="0"/>
        <w:adjustRightInd w:val="0"/>
        <w:spacing w:before="29" w:line="288" w:lineRule="auto"/>
        <w:ind w:left="15" w:firstLine="465"/>
        <w:jc w:val="left"/>
        <w:rPr>
          <w:rFonts w:hint="eastAsia" w:ascii="Times New Roman" w:hAnsi="Times New Roman"/>
          <w:color w:val="000000"/>
          <w:kern w:val="0"/>
          <w:sz w:val="24"/>
          <w:szCs w:val="24"/>
        </w:rPr>
      </w:pPr>
      <w:r>
        <w:rPr>
          <w:rFonts w:hint="eastAsia" w:ascii="Times New Roman" w:hAnsi="Times New Roman"/>
          <w:color w:val="000000"/>
          <w:kern w:val="0"/>
          <w:sz w:val="24"/>
          <w:szCs w:val="24"/>
        </w:rPr>
        <w:t>本报告期不存在重大关联方发生变化的情况。</w:t>
      </w:r>
    </w:p>
    <w:p>
      <w:pPr>
        <w:autoSpaceDE w:val="0"/>
        <w:autoSpaceDN w:val="0"/>
        <w:adjustRightInd w:val="0"/>
        <w:spacing w:before="29" w:line="288" w:lineRule="auto"/>
        <w:jc w:val="left"/>
        <w:rPr>
          <w:rFonts w:ascii="Times New Roman" w:hAnsi="Times New Roman"/>
          <w:color w:val="000000"/>
          <w:kern w:val="0"/>
          <w:sz w:val="24"/>
          <w:szCs w:val="24"/>
        </w:rPr>
      </w:pPr>
      <w:r>
        <w:rPr>
          <w:rFonts w:ascii="Times New Roman" w:hAnsi="Times New Roman" w:cs="宋体"/>
          <w:b/>
          <w:bCs/>
          <w:color w:val="000000"/>
          <w:kern w:val="0"/>
          <w:sz w:val="24"/>
          <w:szCs w:val="24"/>
        </w:rPr>
        <w:t xml:space="preserve">7.4.9.2 </w:t>
      </w:r>
      <w:r>
        <w:rPr>
          <w:rFonts w:hint="eastAsia" w:ascii="Times New Roman" w:hAnsi="Times New Roman" w:cs="宋体"/>
          <w:b/>
          <w:bCs/>
          <w:color w:val="000000"/>
          <w:kern w:val="0"/>
          <w:sz w:val="24"/>
          <w:szCs w:val="24"/>
        </w:rPr>
        <w:t>本报告期与基金发生关联交易的各关联方</w:t>
      </w:r>
    </w:p>
    <w:tbl>
      <w:tblPr>
        <w:tblStyle w:val="8"/>
        <w:tblW w:w="0" w:type="auto"/>
        <w:tblInd w:w="108" w:type="dxa"/>
        <w:tblLayout w:type="fixed"/>
        <w:tblCellMar>
          <w:top w:w="0" w:type="dxa"/>
          <w:left w:w="108" w:type="dxa"/>
          <w:bottom w:w="0" w:type="dxa"/>
          <w:right w:w="108" w:type="dxa"/>
        </w:tblCellMar>
      </w:tblPr>
      <w:tblGrid>
        <w:gridCol w:w="4274"/>
        <w:gridCol w:w="4696"/>
      </w:tblGrid>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与本基金的关系</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基金管理人、注册登记机构、基金销售机构</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招商银行股份有限公司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“招商银行”</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第一创业证券股份有限公司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基金管理人的股东</w:t>
            </w:r>
          </w:p>
        </w:tc>
      </w:tr>
      <w:tr>
        <w:tblPrEx>
          <w:tblCellMar>
            <w:top w:w="0" w:type="dxa"/>
            <w:left w:w="108" w:type="dxa"/>
            <w:bottom w:w="0" w:type="dxa"/>
            <w:right w:w="108" w:type="dxa"/>
          </w:tblCellMar>
        </w:tblPrEx>
        <w:trPr>
          <w:wBefore w:w="0" w:type="auto"/>
        </w:trPr>
        <w:tc>
          <w:tcPr>
            <w:tcW w:w="42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深圳市金合信投资合伙企业</w:t>
            </w:r>
            <w:r>
              <w:rPr>
                <w:rFonts w:ascii="Times New Roman" w:hAnsi="Times New Roman"/>
                <w:color w:val="000000"/>
                <w:kern w:val="0"/>
                <w:sz w:val="24"/>
                <w:szCs w:val="24"/>
              </w:rPr>
              <w:t>(</w:t>
            </w:r>
            <w:r>
              <w:rPr>
                <w:rFonts w:hint="eastAsia" w:ascii="Times New Roman" w:hAnsi="Times New Roman"/>
                <w:color w:val="000000"/>
                <w:kern w:val="0"/>
                <w:sz w:val="24"/>
                <w:szCs w:val="24"/>
              </w:rPr>
              <w:t>有限合伙</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基金管理人的股东</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 </w:t>
      </w:r>
      <w:r>
        <w:rPr>
          <w:rFonts w:hint="eastAsia" w:ascii="Times New Roman" w:hAnsi="Times New Roman"/>
          <w:b/>
          <w:color w:val="000000"/>
          <w:kern w:val="0"/>
          <w:sz w:val="24"/>
          <w:szCs w:val="24"/>
        </w:rPr>
        <w:t>本报告期及上年度可比期间的关联方交易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 </w:t>
      </w:r>
      <w:r>
        <w:rPr>
          <w:rFonts w:hint="eastAsia" w:ascii="Times New Roman" w:hAnsi="Times New Roman"/>
          <w:b/>
          <w:color w:val="000000"/>
          <w:kern w:val="0"/>
          <w:sz w:val="24"/>
          <w:szCs w:val="24"/>
        </w:rPr>
        <w:t>通过关联方交易单元进行的交易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7.4.10.1.1 </w:t>
      </w:r>
      <w:r>
        <w:rPr>
          <w:rFonts w:hint="eastAsia" w:ascii="Times New Roman" w:hAnsi="Times New Roman"/>
          <w:b/>
          <w:color w:val="000000"/>
          <w:kern w:val="0"/>
          <w:sz w:val="24"/>
          <w:szCs w:val="24"/>
        </w:rPr>
        <w:t>股票交易</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746"/>
        <w:gridCol w:w="3612"/>
        <w:gridCol w:w="3612"/>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占当期股票成交总额的比例</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第一创业证券股份有限公司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125,506,630.74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43.35%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7.4.10.1.2 </w:t>
      </w:r>
      <w:r>
        <w:rPr>
          <w:rFonts w:hint="eastAsia" w:ascii="Times New Roman" w:hAnsi="Times New Roman"/>
          <w:b/>
          <w:color w:val="000000"/>
          <w:kern w:val="0"/>
          <w:sz w:val="24"/>
          <w:szCs w:val="24"/>
        </w:rPr>
        <w:t>权证交易</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本基金本报告期内未有通过关联方交易单元进行的权证交易。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7.4.10.1.3 </w:t>
      </w:r>
      <w:r>
        <w:rPr>
          <w:rFonts w:hint="eastAsia" w:ascii="Times New Roman" w:hAnsi="Times New Roman"/>
          <w:b/>
          <w:color w:val="000000"/>
          <w:kern w:val="0"/>
          <w:sz w:val="24"/>
          <w:szCs w:val="24"/>
        </w:rPr>
        <w:t>应支付关联方的佣金</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746"/>
        <w:gridCol w:w="2167"/>
        <w:gridCol w:w="1445"/>
        <w:gridCol w:w="1806"/>
        <w:gridCol w:w="1806"/>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占当期佣金总量的比例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期末应付佣金余额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占期末应付佣金总额的比例</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第一创业证券股份有限公司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90,631.43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53,071.05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26.01%</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 xml:space="preserve">1. </w:t>
      </w:r>
      <w:r>
        <w:rPr>
          <w:rFonts w:hint="eastAsia" w:ascii="Times New Roman" w:hAnsi="Times New Roman"/>
          <w:color w:val="000000"/>
          <w:kern w:val="0"/>
          <w:szCs w:val="24"/>
        </w:rPr>
        <w:t>上述佣金参考市场价格经本基金的基金管理人与对方协商确定，以扣除由中国证券登记结算有限责任公司收取的证管费和经手费的净额列示。</w:t>
      </w:r>
    </w:p>
    <w:p>
      <w:pPr>
        <w:autoSpaceDE w:val="0"/>
        <w:autoSpaceDN w:val="0"/>
        <w:adjustRightInd w:val="0"/>
        <w:spacing w:before="29" w:line="288" w:lineRule="auto"/>
        <w:ind w:left="15"/>
        <w:jc w:val="left"/>
        <w:rPr>
          <w:rFonts w:ascii="Times New Roman" w:hAnsi="Times New Roman"/>
          <w:color w:val="000000"/>
          <w:kern w:val="0"/>
          <w:szCs w:val="24"/>
        </w:rPr>
      </w:pP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 xml:space="preserve">2. </w:t>
      </w:r>
      <w:r>
        <w:rPr>
          <w:rFonts w:hint="eastAsia" w:ascii="Times New Roman" w:hAnsi="Times New Roman"/>
          <w:color w:val="000000"/>
          <w:kern w:val="0"/>
          <w:szCs w:val="24"/>
        </w:rPr>
        <w:t>该类佣金协议的服务范围还包括佣金收取方为本基金提供的证券投资研究成果和市场信息服务等。</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7.4.10.1.4 </w:t>
      </w:r>
      <w:r>
        <w:rPr>
          <w:rFonts w:hint="eastAsia" w:ascii="Times New Roman" w:hAnsi="Times New Roman"/>
          <w:b/>
          <w:color w:val="000000"/>
          <w:kern w:val="0"/>
          <w:sz w:val="24"/>
          <w:szCs w:val="24"/>
        </w:rPr>
        <w:t>债券回购交易</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746"/>
        <w:gridCol w:w="3612"/>
        <w:gridCol w:w="3612"/>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占当期债券回购成交总额的比例</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第一创业证券股份有限公司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375,000,000.00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 </w:t>
      </w:r>
      <w:r>
        <w:rPr>
          <w:rFonts w:hint="eastAsia" w:ascii="Times New Roman" w:hAnsi="Times New Roman"/>
          <w:b/>
          <w:color w:val="000000"/>
          <w:kern w:val="0"/>
          <w:sz w:val="24"/>
          <w:szCs w:val="24"/>
        </w:rPr>
        <w:t>关联方报酬</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7.4.10.2.1 </w:t>
      </w:r>
      <w:r>
        <w:rPr>
          <w:rFonts w:hint="eastAsia" w:ascii="Times New Roman" w:hAnsi="Times New Roman"/>
          <w:b/>
          <w:color w:val="000000"/>
          <w:kern w:val="0"/>
          <w:sz w:val="24"/>
          <w:szCs w:val="24"/>
        </w:rPr>
        <w:t>基金管理费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468"/>
        <w:gridCol w:w="6557"/>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当期发生的基金应支付的管理费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1,007,482.63</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其中：支付销售机构的客户维护费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609.03</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注：支付基金管理人创金合信的管理人报酬按前一日基金资产净值</w:t>
      </w:r>
      <w:r>
        <w:rPr>
          <w:rFonts w:ascii="Times New Roman" w:hAnsi="Times New Roman"/>
          <w:color w:val="000000"/>
          <w:kern w:val="0"/>
          <w:szCs w:val="24"/>
        </w:rPr>
        <w:t>0.60%</w:t>
      </w:r>
      <w:r>
        <w:rPr>
          <w:rFonts w:hint="eastAsia" w:ascii="Times New Roman" w:hAnsi="Times New Roman"/>
          <w:color w:val="000000"/>
          <w:kern w:val="0"/>
          <w:szCs w:val="24"/>
        </w:rPr>
        <w:t>的年费率计提，逐日累计至每月月底，按月支付。其计算公式为：</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日管理人报酬＝前一日基金资产净值</w:t>
      </w:r>
      <w:r>
        <w:rPr>
          <w:rFonts w:ascii="Times New Roman" w:hAnsi="Times New Roman"/>
          <w:color w:val="000000"/>
          <w:kern w:val="0"/>
          <w:szCs w:val="24"/>
        </w:rPr>
        <w:t xml:space="preserve"> X 0.60% / </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7.4.10.2.2 </w:t>
      </w:r>
      <w:r>
        <w:rPr>
          <w:rFonts w:hint="eastAsia" w:ascii="Times New Roman" w:hAnsi="Times New Roman"/>
          <w:b/>
          <w:color w:val="000000"/>
          <w:kern w:val="0"/>
          <w:sz w:val="24"/>
          <w:szCs w:val="24"/>
        </w:rPr>
        <w:t>基金托管费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468"/>
        <w:gridCol w:w="6557"/>
      </w:tblGrid>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当期发生的基金应支付的托管费</w:t>
            </w:r>
          </w:p>
        </w:tc>
        <w:tc>
          <w:tcPr>
            <w:tcW w:w="655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335,827.58</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注：支付基金托管人招商银行的托管费按前一日基金资产净值</w:t>
      </w:r>
      <w:r>
        <w:rPr>
          <w:rFonts w:ascii="Times New Roman" w:hAnsi="Times New Roman"/>
          <w:color w:val="000000"/>
          <w:kern w:val="0"/>
          <w:szCs w:val="24"/>
        </w:rPr>
        <w:t>0.20%</w:t>
      </w:r>
      <w:r>
        <w:rPr>
          <w:rFonts w:hint="eastAsia" w:ascii="Times New Roman" w:hAnsi="Times New Roman"/>
          <w:color w:val="000000"/>
          <w:kern w:val="0"/>
          <w:szCs w:val="24"/>
        </w:rPr>
        <w:t>的年费率计提，逐日累计至每月月底，按月支付。其计算公式为：</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日托管费＝前一日基金资产净值</w:t>
      </w:r>
      <w:r>
        <w:rPr>
          <w:rFonts w:ascii="Times New Roman" w:hAnsi="Times New Roman"/>
          <w:color w:val="000000"/>
          <w:kern w:val="0"/>
          <w:szCs w:val="24"/>
        </w:rPr>
        <w:t xml:space="preserve"> X 0.20% / </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7.4.10.2.3 </w:t>
      </w:r>
      <w:r>
        <w:rPr>
          <w:rFonts w:hint="eastAsia" w:ascii="Times New Roman" w:hAnsi="Times New Roman"/>
          <w:b/>
          <w:color w:val="000000"/>
          <w:kern w:val="0"/>
          <w:sz w:val="24"/>
          <w:szCs w:val="24"/>
        </w:rPr>
        <w:t>销售服务费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468"/>
        <w:gridCol w:w="2167"/>
        <w:gridCol w:w="2168"/>
        <w:gridCol w:w="2167"/>
      </w:tblGrid>
      <w:tr>
        <w:tblPrEx>
          <w:tblCellMar>
            <w:top w:w="0" w:type="dxa"/>
            <w:left w:w="108" w:type="dxa"/>
            <w:bottom w:w="0" w:type="dxa"/>
            <w:right w:w="108" w:type="dxa"/>
          </w:tblCellMar>
        </w:tblPrEx>
        <w:trPr>
          <w:wBefore w:w="0" w:type="auto"/>
        </w:trPr>
        <w:tc>
          <w:tcPr>
            <w:tcW w:w="2468"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获得销售服务费的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468"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39.57</w:t>
            </w:r>
          </w:p>
        </w:tc>
      </w:tr>
      <w:tr>
        <w:tblPrEx>
          <w:tblCellMar>
            <w:top w:w="0" w:type="dxa"/>
            <w:left w:w="108" w:type="dxa"/>
            <w:bottom w:w="0" w:type="dxa"/>
            <w:right w:w="108" w:type="dxa"/>
          </w:tblCellMar>
        </w:tblPrEx>
        <w:trPr>
          <w:wBefore w:w="0" w:type="auto"/>
        </w:trPr>
        <w:tc>
          <w:tcPr>
            <w:tcW w:w="24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39.57</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注：支付基金销售机构的销售服务费按前一日</w:t>
      </w:r>
      <w:r>
        <w:rPr>
          <w:rFonts w:ascii="Times New Roman" w:hAnsi="Times New Roman"/>
          <w:color w:val="000000"/>
          <w:kern w:val="0"/>
          <w:szCs w:val="24"/>
        </w:rPr>
        <w:t>C</w:t>
      </w:r>
      <w:r>
        <w:rPr>
          <w:rFonts w:hint="eastAsia" w:ascii="Times New Roman" w:hAnsi="Times New Roman"/>
          <w:color w:val="000000"/>
          <w:kern w:val="0"/>
          <w:szCs w:val="24"/>
        </w:rPr>
        <w:t>类基金的基金资产净值</w:t>
      </w:r>
      <w:r>
        <w:rPr>
          <w:rFonts w:ascii="Times New Roman" w:hAnsi="Times New Roman"/>
          <w:color w:val="000000"/>
          <w:kern w:val="0"/>
          <w:szCs w:val="24"/>
        </w:rPr>
        <w:t>0.2%</w:t>
      </w:r>
      <w:r>
        <w:rPr>
          <w:rFonts w:hint="eastAsia" w:ascii="Times New Roman" w:hAnsi="Times New Roman"/>
          <w:color w:val="000000"/>
          <w:kern w:val="0"/>
          <w:szCs w:val="24"/>
        </w:rPr>
        <w:t>的年费率计提，逐日累计至每月月底，按月支付给创金合信基金管理有限公司，再由创金合信基金管理有限公司计算并支付给各基金销售机构。其计算公式为：日销售服务费＝</w:t>
      </w:r>
      <w:r>
        <w:rPr>
          <w:rFonts w:ascii="Times New Roman" w:hAnsi="Times New Roman"/>
          <w:color w:val="000000"/>
          <w:kern w:val="0"/>
          <w:szCs w:val="24"/>
        </w:rPr>
        <w:t>C</w:t>
      </w:r>
      <w:r>
        <w:rPr>
          <w:rFonts w:hint="eastAsia" w:ascii="Times New Roman" w:hAnsi="Times New Roman"/>
          <w:color w:val="000000"/>
          <w:kern w:val="0"/>
          <w:szCs w:val="24"/>
        </w:rPr>
        <w:t>类基金前一日基金资产净值×</w:t>
      </w:r>
      <w:r>
        <w:rPr>
          <w:rFonts w:ascii="Times New Roman" w:hAnsi="Times New Roman"/>
          <w:color w:val="000000"/>
          <w:kern w:val="0"/>
          <w:szCs w:val="24"/>
        </w:rPr>
        <w:t xml:space="preserve"> 0.2%/ </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7.4.10.3 </w:t>
      </w:r>
      <w:r>
        <w:rPr>
          <w:rFonts w:hint="eastAsia" w:ascii="Times New Roman" w:hAnsi="Times New Roman"/>
          <w:b/>
          <w:color w:val="000000"/>
          <w:kern w:val="0"/>
          <w:sz w:val="24"/>
          <w:szCs w:val="24"/>
        </w:rPr>
        <w:t>与关联方进行银行间同业市场的债券</w:t>
      </w:r>
      <w:r>
        <w:rPr>
          <w:rFonts w:ascii="Times New Roman" w:hAnsi="Times New Roman"/>
          <w:b/>
          <w:color w:val="000000"/>
          <w:kern w:val="0"/>
          <w:sz w:val="24"/>
          <w:szCs w:val="24"/>
        </w:rPr>
        <w:t>(</w:t>
      </w:r>
      <w:r>
        <w:rPr>
          <w:rFonts w:hint="eastAsia" w:ascii="Times New Roman" w:hAnsi="Times New Roman"/>
          <w:b/>
          <w:color w:val="000000"/>
          <w:kern w:val="0"/>
          <w:sz w:val="24"/>
          <w:szCs w:val="24"/>
        </w:rPr>
        <w:t>含回购</w:t>
      </w:r>
      <w:r>
        <w:rPr>
          <w:rFonts w:ascii="Times New Roman" w:hAnsi="Times New Roman"/>
          <w:b/>
          <w:color w:val="000000"/>
          <w:kern w:val="0"/>
          <w:sz w:val="24"/>
          <w:szCs w:val="24"/>
        </w:rPr>
        <w:t>)</w:t>
      </w:r>
      <w:r>
        <w:rPr>
          <w:rFonts w:hint="eastAsia" w:ascii="Times New Roman" w:hAnsi="Times New Roman"/>
          <w:b/>
          <w:color w:val="000000"/>
          <w:kern w:val="0"/>
          <w:sz w:val="24"/>
          <w:szCs w:val="24"/>
        </w:rPr>
        <w:t>交易</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本基金本报告期内未发生与关联方进行银行间同业市场的债券</w:t>
      </w:r>
      <w:r>
        <w:rPr>
          <w:rFonts w:ascii="Times New Roman" w:hAnsi="Times New Roman"/>
          <w:color w:val="000000"/>
          <w:kern w:val="0"/>
          <w:sz w:val="24"/>
          <w:szCs w:val="24"/>
        </w:rPr>
        <w:t>(</w:t>
      </w:r>
      <w:r>
        <w:rPr>
          <w:rFonts w:hint="eastAsia" w:ascii="Times New Roman" w:hAnsi="Times New Roman"/>
          <w:color w:val="000000"/>
          <w:kern w:val="0"/>
          <w:sz w:val="24"/>
          <w:szCs w:val="24"/>
        </w:rPr>
        <w:t>含回购</w:t>
      </w:r>
      <w:r>
        <w:rPr>
          <w:rFonts w:ascii="Times New Roman" w:hAnsi="Times New Roman"/>
          <w:color w:val="000000"/>
          <w:kern w:val="0"/>
          <w:sz w:val="24"/>
          <w:szCs w:val="24"/>
        </w:rPr>
        <w:t>)</w:t>
      </w:r>
      <w:r>
        <w:rPr>
          <w:rFonts w:hint="eastAsia" w:ascii="Times New Roman" w:hAnsi="Times New Roman"/>
          <w:color w:val="000000"/>
          <w:kern w:val="0"/>
          <w:sz w:val="24"/>
          <w:szCs w:val="24"/>
        </w:rPr>
        <w:t>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 </w:t>
      </w:r>
      <w:r>
        <w:rPr>
          <w:rFonts w:hint="eastAsia" w:ascii="Times New Roman" w:hAnsi="Times New Roman"/>
          <w:b/>
          <w:color w:val="000000"/>
          <w:kern w:val="0"/>
          <w:sz w:val="24"/>
          <w:szCs w:val="24"/>
        </w:rPr>
        <w:t>各关联方投资本基金的情况</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7.4.10.4.1 </w:t>
      </w:r>
      <w:r>
        <w:rPr>
          <w:rFonts w:hint="eastAsia" w:ascii="Times New Roman" w:hAnsi="Times New Roman"/>
          <w:b/>
          <w:color w:val="000000"/>
          <w:kern w:val="0"/>
          <w:sz w:val="24"/>
          <w:szCs w:val="24"/>
        </w:rPr>
        <w:t>报告期内基金管理人运用固有资金投资本基金的情况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本报告期内无基金管理人运用固有资金投资本基金的情况。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7.4.10.4.2 </w:t>
      </w:r>
      <w:r>
        <w:rPr>
          <w:rFonts w:hint="eastAsia" w:ascii="Times New Roman" w:hAnsi="Times New Roman"/>
          <w:b/>
          <w:color w:val="000000"/>
          <w:kern w:val="0"/>
          <w:sz w:val="24"/>
          <w:szCs w:val="24"/>
        </w:rPr>
        <w:t>报告期末除基金管理人之外的其他关联方投资本基金的情况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本报告期末无除管理人之外的其他关联方投资本基金的情况。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7.4.10.5 </w:t>
      </w:r>
      <w:r>
        <w:rPr>
          <w:rFonts w:hint="eastAsia" w:ascii="Times New Roman" w:hAnsi="Times New Roman"/>
          <w:b/>
          <w:color w:val="000000"/>
          <w:kern w:val="0"/>
          <w:sz w:val="24"/>
          <w:szCs w:val="24"/>
        </w:rPr>
        <w:t>由关联方保管的银行存款余额及当期产生的利息收入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746"/>
        <w:gridCol w:w="1806"/>
        <w:gridCol w:w="5473"/>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期末余额</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当期利息收入</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招商银行活期存款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7,501,057.65</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155,847.62</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注：本基金的银行存款由基金托管人招商银行保管，按金融机构同业存款利率计息。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7.4.10.6 </w:t>
      </w:r>
      <w:r>
        <w:rPr>
          <w:rFonts w:hint="eastAsia" w:ascii="Times New Roman" w:hAnsi="Times New Roman"/>
          <w:b/>
          <w:color w:val="000000"/>
          <w:kern w:val="0"/>
          <w:sz w:val="24"/>
          <w:szCs w:val="24"/>
        </w:rPr>
        <w:t>本基金在承销期内参与关联方承销证券的情况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本报告期，本基金未发生承销期内参与关联方承销证券的情况。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7.4.10.7 </w:t>
      </w:r>
      <w:r>
        <w:rPr>
          <w:rFonts w:hint="eastAsia" w:ascii="Times New Roman" w:hAnsi="Times New Roman"/>
          <w:b/>
          <w:color w:val="000000"/>
          <w:kern w:val="0"/>
          <w:sz w:val="24"/>
          <w:szCs w:val="24"/>
        </w:rPr>
        <w:t>其他关联交易事项的说明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无。</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7.4.11 </w:t>
      </w:r>
      <w:r>
        <w:rPr>
          <w:rFonts w:hint="eastAsia" w:ascii="Times New Roman" w:hAnsi="Times New Roman"/>
          <w:b/>
          <w:color w:val="000000"/>
          <w:kern w:val="0"/>
          <w:sz w:val="24"/>
          <w:szCs w:val="24"/>
        </w:rPr>
        <w:t>利润分配情况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本基金本报告期内无利润分配。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 </w:t>
      </w:r>
      <w:r>
        <w:rPr>
          <w:rFonts w:hint="eastAsia" w:ascii="Times New Roman" w:hAnsi="Times New Roman"/>
          <w:b/>
          <w:color w:val="000000"/>
          <w:kern w:val="0"/>
          <w:sz w:val="24"/>
          <w:szCs w:val="24"/>
        </w:rPr>
        <w:t>期末（</w:t>
      </w:r>
      <w:r>
        <w:rPr>
          <w:rFonts w:ascii="Times New Roman" w:hAnsi="Times New Roman"/>
          <w:b/>
          <w:color w:val="000000"/>
          <w:kern w:val="0"/>
          <w:sz w:val="24"/>
          <w:szCs w:val="24"/>
        </w:rPr>
        <w:t>2016</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日）本基金持有的流通受限证券</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7.4.12.1 </w:t>
      </w:r>
      <w:r>
        <w:rPr>
          <w:rFonts w:hint="eastAsia" w:ascii="Times New Roman" w:hAnsi="Times New Roman"/>
          <w:b/>
          <w:color w:val="000000"/>
          <w:kern w:val="0"/>
          <w:sz w:val="24"/>
          <w:szCs w:val="24"/>
        </w:rPr>
        <w:t>因认购新发</w:t>
      </w:r>
      <w:r>
        <w:rPr>
          <w:rFonts w:ascii="Times New Roman" w:hAnsi="Times New Roman"/>
          <w:b/>
          <w:color w:val="000000"/>
          <w:kern w:val="0"/>
          <w:sz w:val="24"/>
          <w:szCs w:val="24"/>
        </w:rPr>
        <w:t>/</w:t>
      </w:r>
      <w:r>
        <w:rPr>
          <w:rFonts w:hint="eastAsia" w:ascii="Times New Roman" w:hAnsi="Times New Roman"/>
          <w:b/>
          <w:color w:val="000000"/>
          <w:kern w:val="0"/>
          <w:sz w:val="24"/>
          <w:szCs w:val="24"/>
        </w:rPr>
        <w:t>增发证券而于期末持有的流通受限证券</w:t>
      </w:r>
    </w:p>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723"/>
        <w:gridCol w:w="1083"/>
        <w:gridCol w:w="723"/>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8970" w:type="dxa"/>
            <w:gridSpan w:val="10"/>
            <w:tcBorders>
              <w:top w:val="single" w:color="000000" w:sz="8" w:space="0"/>
              <w:left w:val="single" w:color="000000" w:sz="8" w:space="0"/>
              <w:bottom w:val="single" w:color="000000" w:sz="8" w:space="0"/>
              <w:right w:val="single" w:color="000000" w:sz="8" w:space="0"/>
            </w:tcBorders>
            <w:noWrap w:val="0"/>
            <w:vAlign w:val="bottom"/>
          </w:tcPr>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 xml:space="preserve">7.4.12.1.1 </w:t>
            </w:r>
            <w:r>
              <w:rPr>
                <w:rFonts w:hint="eastAsia" w:ascii="Times New Roman" w:hAnsi="Times New Roman"/>
                <w:color w:val="000000"/>
                <w:kern w:val="0"/>
                <w:szCs w:val="24"/>
              </w:rPr>
              <w:t>受限证券类别：股票</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证券</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证券</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名称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成功</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认购日</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可流通日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流通受限类型</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认购</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价格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数量</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（单位：股）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估值总额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601375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中原证券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26,695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106,780.00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106,780.00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603877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太平鸟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21.30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3,180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67,734.00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67,734.00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603035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常熟汽饰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2,316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24,179.04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24,179.04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002840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华统股份</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6.55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6.55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1,814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11,881.70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11,881.70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002838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道恩股份</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15.28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10,405.68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10,405.68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300586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美联新材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9,355.80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9,355.80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300591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万里马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新股流通受限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2,396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7,355.72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7,355.72</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基金可使用以基金名义开设的股票账户，选择网上或者网下一种方式进行新股申购。其中基金作为一般法人或战略投资者认购的新股，根据基金与上市公司所签订申购协议的规定，在新股上市后的约定期限内不能自由转让；基金作为个人投资者参与网上认购获配的新股，从新股获配日至新股上市日之间不能自由转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7.4.12.2 </w:t>
      </w:r>
      <w:r>
        <w:rPr>
          <w:rFonts w:hint="eastAsia" w:ascii="Times New Roman" w:hAnsi="Times New Roman"/>
          <w:b/>
          <w:color w:val="000000"/>
          <w:kern w:val="0"/>
          <w:sz w:val="24"/>
          <w:szCs w:val="24"/>
        </w:rPr>
        <w:t>期末持有的暂时停牌等流通受限股票</w:t>
      </w:r>
    </w:p>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723"/>
        <w:gridCol w:w="722"/>
        <w:gridCol w:w="1084"/>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股票代码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股票名称</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停牌日期</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停牌原因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复牌日期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复牌</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开盘单价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数量</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估值总额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600814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杭州解百</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11.37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10.70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29,900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295,046.56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339,963.00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600892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大晟文化</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2016-11-16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78.31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2017-02-21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70.48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4,300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313,040.00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336,733.00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000903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云内动力</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8.76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r>
              <w:rPr>
                <w:rFonts w:ascii="Times New Roman" w:hAnsi="Times New Roman"/>
                <w:color w:val="000000"/>
                <w:kern w:val="0"/>
                <w:szCs w:val="24"/>
              </w:rPr>
              <w:t>2017-03-23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r>
              <w:rPr>
                <w:rFonts w:hint="eastAsia" w:ascii="Times New Roman" w:hAnsi="Times New Roman"/>
                <w:color w:val="000000"/>
                <w:kern w:val="0"/>
                <w:sz w:val="24"/>
                <w:szCs w:val="24"/>
              </w:rPr>
              <w:t>9.64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23,700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189,126.00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207,612.00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300420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五洋科技</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24.98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r>
              <w:rPr>
                <w:rFonts w:ascii="Times New Roman" w:hAnsi="Times New Roman"/>
                <w:color w:val="000000"/>
                <w:kern w:val="0"/>
                <w:szCs w:val="24"/>
              </w:rPr>
              <w:t>2017-03-23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r>
              <w:rPr>
                <w:rFonts w:ascii="Times New Roman" w:hAnsi="Times New Roman"/>
                <w:color w:val="000000"/>
                <w:kern w:val="0"/>
                <w:sz w:val="24"/>
                <w:szCs w:val="24"/>
              </w:rPr>
              <w:t>27.48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8,200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199,660.04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204,836.00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002462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嘉事堂</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2016-09-28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42.53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38.98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4,600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180,217.00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195,638.00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002567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唐人神</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12.64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12.75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14,800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195,091.00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187,072.00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300123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太阳鸟</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2016-09-28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15.08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2017-02-15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16.59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11,700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180,462.85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176,436.00</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300243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瑞丰高材</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2016-09-20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15.18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16.70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11,500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180,501.00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174,570.00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 </w:t>
      </w:r>
      <w:r>
        <w:rPr>
          <w:rFonts w:hint="eastAsia" w:ascii="Times New Roman" w:hAnsi="Times New Roman"/>
          <w:b/>
          <w:color w:val="000000"/>
          <w:kern w:val="0"/>
          <w:sz w:val="24"/>
          <w:szCs w:val="24"/>
        </w:rPr>
        <w:t>期末债券正回购交易中作为抵押的债券</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7.4.12.3.1 </w:t>
      </w:r>
      <w:r>
        <w:rPr>
          <w:rFonts w:hint="eastAsia" w:ascii="Times New Roman" w:hAnsi="Times New Roman"/>
          <w:b/>
          <w:color w:val="000000"/>
          <w:kern w:val="0"/>
          <w:sz w:val="24"/>
          <w:szCs w:val="24"/>
        </w:rPr>
        <w:t>银行间市场债券正回购</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截至本报告期末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日止，本基金从事银行间市场债券正回购交易形成的卖出回购证券款余额</w:t>
      </w:r>
      <w:r>
        <w:rPr>
          <w:rFonts w:ascii="Times New Roman" w:hAnsi="Times New Roman"/>
          <w:color w:val="000000"/>
          <w:kern w:val="0"/>
          <w:sz w:val="24"/>
          <w:szCs w:val="24"/>
        </w:rPr>
        <w:t>29,999,715.00</w:t>
      </w:r>
      <w:r>
        <w:rPr>
          <w:rFonts w:hint="eastAsia" w:ascii="Times New Roman" w:hAnsi="Times New Roman"/>
          <w:color w:val="000000"/>
          <w:kern w:val="0"/>
          <w:sz w:val="24"/>
          <w:szCs w:val="24"/>
        </w:rPr>
        <w:t>元，是以如下债券作为抵押：</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385"/>
        <w:gridCol w:w="1083"/>
        <w:gridCol w:w="1445"/>
        <w:gridCol w:w="1806"/>
        <w:gridCol w:w="1445"/>
        <w:gridCol w:w="1806"/>
      </w:tblGrid>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债券代码</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回购到期日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期末估值单价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期末估值总额</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1382243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粤城建</w:t>
            </w:r>
            <w:r>
              <w:rPr>
                <w:rFonts w:ascii="Times New Roman" w:hAnsi="Times New Roman"/>
                <w:color w:val="000000"/>
                <w:kern w:val="0"/>
                <w:sz w:val="24"/>
                <w:szCs w:val="24"/>
              </w:rPr>
              <w:t>MTN1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101.69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10,169,000.00</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1382243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粤城建</w:t>
            </w:r>
            <w:r>
              <w:rPr>
                <w:rFonts w:ascii="Times New Roman" w:hAnsi="Times New Roman"/>
                <w:color w:val="000000"/>
                <w:kern w:val="0"/>
                <w:sz w:val="24"/>
                <w:szCs w:val="24"/>
              </w:rPr>
              <w:t>MTN1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101.69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20,338,000.00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7.4.12.3.2 </w:t>
      </w:r>
      <w:r>
        <w:rPr>
          <w:rFonts w:hint="eastAsia" w:ascii="Times New Roman" w:hAnsi="Times New Roman"/>
          <w:b/>
          <w:color w:val="000000"/>
          <w:kern w:val="0"/>
          <w:sz w:val="24"/>
          <w:szCs w:val="24"/>
        </w:rPr>
        <w:t>交易所市场债券正回购</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截至本报告期末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日止，本基金从事交易所市场债券正回购交易形成的卖出回购证券款余额为</w:t>
      </w:r>
      <w:r>
        <w:rPr>
          <w:rFonts w:ascii="Times New Roman" w:hAnsi="Times New Roman"/>
          <w:color w:val="000000"/>
          <w:kern w:val="0"/>
          <w:sz w:val="24"/>
          <w:szCs w:val="24"/>
        </w:rPr>
        <w:t>0</w:t>
      </w:r>
      <w:r>
        <w:rPr>
          <w:rFonts w:hint="eastAsia" w:ascii="Times New Roman" w:hAnsi="Times New Roman"/>
          <w:color w:val="000000"/>
          <w:kern w:val="0"/>
          <w:sz w:val="24"/>
          <w:szCs w:val="24"/>
        </w:rPr>
        <w:t>，无抵押债券。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 </w:t>
      </w:r>
      <w:r>
        <w:rPr>
          <w:rFonts w:hint="eastAsia" w:ascii="Times New Roman" w:hAnsi="Times New Roman"/>
          <w:b/>
          <w:color w:val="000000"/>
          <w:kern w:val="0"/>
          <w:sz w:val="24"/>
          <w:szCs w:val="24"/>
        </w:rPr>
        <w:t>金融工具风险及管理</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7.4.13.1 </w:t>
      </w:r>
      <w:r>
        <w:rPr>
          <w:rFonts w:hint="eastAsia" w:ascii="Times New Roman" w:hAnsi="Times New Roman"/>
          <w:b/>
          <w:color w:val="000000"/>
          <w:kern w:val="0"/>
          <w:sz w:val="24"/>
          <w:szCs w:val="24"/>
        </w:rPr>
        <w:t>风险管理政策和组织架构</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 </w:t>
      </w:r>
      <w:r>
        <w:rPr>
          <w:rFonts w:hint="eastAsia" w:ascii="Times New Roman" w:hAnsi="Times New Roman"/>
          <w:b/>
          <w:color w:val="000000"/>
          <w:kern w:val="0"/>
          <w:sz w:val="24"/>
          <w:szCs w:val="24"/>
        </w:rPr>
        <w:t>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在交易前对交易对手的资信状况进行了充分的评估。本基金的活期银行存款存放在本基金的托管行招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本基金债券投资的信用评级情况按《中国人民银行信用评级管理指导意见》设定的标准统计及汇总。</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7.4.13.2.1 </w:t>
      </w:r>
      <w:r>
        <w:rPr>
          <w:rFonts w:hint="eastAsia" w:ascii="Times New Roman" w:hAnsi="Times New Roman"/>
          <w:b/>
          <w:color w:val="000000"/>
          <w:kern w:val="0"/>
          <w:sz w:val="24"/>
          <w:szCs w:val="24"/>
        </w:rPr>
        <w:t>按短期信用评级列示的债券投资</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无按短期信用评级列示的债券投资。</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7.4.13.2.2 </w:t>
      </w:r>
      <w:r>
        <w:rPr>
          <w:rFonts w:hint="eastAsia" w:ascii="Times New Roman" w:hAnsi="Times New Roman"/>
          <w:b/>
          <w:color w:val="000000"/>
          <w:kern w:val="0"/>
          <w:sz w:val="24"/>
          <w:szCs w:val="24"/>
        </w:rPr>
        <w:t>按长期信用评级列示的债券投资</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191"/>
        <w:gridCol w:w="5834"/>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长期信用评级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AAA</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298,633,000.00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AAA</w:t>
            </w:r>
            <w:r>
              <w:rPr>
                <w:rFonts w:hint="eastAsia" w:ascii="Times New Roman" w:hAnsi="Times New Roman"/>
                <w:color w:val="000000"/>
                <w:kern w:val="0"/>
                <w:sz w:val="24"/>
                <w:szCs w:val="24"/>
              </w:rPr>
              <w:t>以下</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107,246,000.00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未评级</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40,088,000.00</w:t>
            </w:r>
          </w:p>
        </w:tc>
      </w:tr>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58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445,967,000.00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7.4.13.3 </w:t>
      </w:r>
      <w:r>
        <w:rPr>
          <w:rFonts w:hint="eastAsia" w:ascii="Times New Roman" w:hAnsi="Times New Roman"/>
          <w:b/>
          <w:color w:val="000000"/>
          <w:kern w:val="0"/>
          <w:sz w:val="24"/>
          <w:szCs w:val="24"/>
        </w:rPr>
        <w:t>流动性风险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ascii="Times New Roman" w:hAnsi="Times New Roman"/>
          <w:color w:val="000000"/>
          <w:kern w:val="0"/>
          <w:sz w:val="24"/>
          <w:szCs w:val="24"/>
        </w:rPr>
        <w:t>10%</w:t>
      </w:r>
      <w:r>
        <w:rPr>
          <w:rFonts w:hint="eastAsia" w:ascii="Times New Roman" w:hAnsi="Times New Roman"/>
          <w:color w:val="000000"/>
          <w:kern w:val="0"/>
          <w:sz w:val="24"/>
          <w:szCs w:val="24"/>
        </w:rPr>
        <w:t>，且本基金与由本基金的基金管理人管理的其他基金共同持有一家公司发行的证券不得超过该证券的</w:t>
      </w:r>
      <w:r>
        <w:rPr>
          <w:rFonts w:ascii="Times New Roman" w:hAnsi="Times New Roman"/>
          <w:color w:val="000000"/>
          <w:kern w:val="0"/>
          <w:sz w:val="24"/>
          <w:szCs w:val="24"/>
        </w:rPr>
        <w:t>10%</w:t>
      </w:r>
      <w:r>
        <w:rPr>
          <w:rFonts w:hint="eastAsia" w:ascii="Times New Roman" w:hAnsi="Times New Roman"/>
          <w:color w:val="000000"/>
          <w:kern w:val="0"/>
          <w:sz w:val="24"/>
          <w:szCs w:val="24"/>
        </w:rPr>
        <w:t>。本基金所持大部分证券在银行间同业市场交易，其余亦在证券交易所上市交易，因此除附注</w:t>
      </w:r>
      <w:r>
        <w:rPr>
          <w:rFonts w:ascii="Times New Roman" w:hAnsi="Times New Roman"/>
          <w:color w:val="000000"/>
          <w:kern w:val="0"/>
          <w:sz w:val="24"/>
          <w:szCs w:val="24"/>
        </w:rPr>
        <w:t>7.4.12</w:t>
      </w:r>
      <w:r>
        <w:rPr>
          <w:rFonts w:hint="eastAsia" w:ascii="Times New Roman" w:hAnsi="Times New Roman"/>
          <w:color w:val="000000"/>
          <w:kern w:val="0"/>
          <w:sz w:val="24"/>
          <w:szCs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 </w:t>
      </w:r>
      <w:r>
        <w:rPr>
          <w:rFonts w:hint="eastAsia" w:ascii="Times New Roman" w:hAnsi="Times New Roman"/>
          <w:b/>
          <w:color w:val="000000"/>
          <w:kern w:val="0"/>
          <w:sz w:val="24"/>
          <w:szCs w:val="24"/>
        </w:rPr>
        <w:t>市场风险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 </w:t>
      </w:r>
      <w:r>
        <w:rPr>
          <w:rFonts w:hint="eastAsia" w:ascii="Times New Roman" w:hAnsi="Times New Roman"/>
          <w:b/>
          <w:color w:val="000000"/>
          <w:kern w:val="0"/>
          <w:sz w:val="24"/>
          <w:szCs w:val="24"/>
        </w:rPr>
        <w:t>利率风险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本基金的基金管理人定期对本基金面临的利率敏感性缺口进行监控，并通过调整投资组合的久期等方法对上述利率风险进行管理。</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7.4.13.4.1.1 </w:t>
      </w:r>
      <w:r>
        <w:rPr>
          <w:rFonts w:hint="eastAsia" w:ascii="Times New Roman" w:hAnsi="Times New Roman"/>
          <w:b/>
          <w:color w:val="000000"/>
          <w:kern w:val="0"/>
          <w:sz w:val="24"/>
          <w:szCs w:val="24"/>
        </w:rPr>
        <w:t>利率风险敞口</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746"/>
        <w:gridCol w:w="1445"/>
        <w:gridCol w:w="1444"/>
        <w:gridCol w:w="1445"/>
        <w:gridCol w:w="1445"/>
        <w:gridCol w:w="1445"/>
      </w:tblGrid>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年以内</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年</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7,501,057.65</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7,501,057.65</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336,381.80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336,381.80</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22,215.16</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22,215.16</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60,286,000.00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385,681,000.00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66,865,279.32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512,832,279.32</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105,866.23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105,866.23</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9,352,484.27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9,352,484.27</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68,145,654.61</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385,681,000.00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76,323,629.82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530,150,284.43</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29,999,715.00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29,999,715.00</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253,423.70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253,423.70</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84,474.59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84,474.59</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31.39</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207,564.72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207,564.72</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29,097.06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29,097.06</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74,000.00</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29,999,715.00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648,591.46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30,648,306.46</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38,145,939.61</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385,681,000.00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注：表中所示为本基金资产及负债的账面价值，并按照合约规定的利率重新定价日或到期日孰早者予以分类。</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7.4.13.4.1.2 </w:t>
      </w:r>
      <w:r>
        <w:rPr>
          <w:rFonts w:hint="eastAsia" w:ascii="Times New Roman" w:hAnsi="Times New Roman"/>
          <w:b/>
          <w:color w:val="000000"/>
          <w:kern w:val="0"/>
          <w:sz w:val="24"/>
          <w:szCs w:val="24"/>
        </w:rPr>
        <w:t>利率风险的敏感性分析</w:t>
      </w:r>
    </w:p>
    <w:tbl>
      <w:tblPr>
        <w:tblStyle w:val="8"/>
        <w:tblW w:w="0" w:type="auto"/>
        <w:tblInd w:w="108" w:type="dxa"/>
        <w:tblLayout w:type="fixed"/>
        <w:tblCellMar>
          <w:top w:w="0" w:type="dxa"/>
          <w:left w:w="108" w:type="dxa"/>
          <w:bottom w:w="0" w:type="dxa"/>
          <w:right w:w="108" w:type="dxa"/>
        </w:tblCellMar>
      </w:tblPr>
      <w:tblGrid>
        <w:gridCol w:w="1023"/>
        <w:gridCol w:w="2890"/>
        <w:gridCol w:w="5057"/>
        <w:gridCol w:w="55"/>
      </w:tblGrid>
      <w:tr>
        <w:tblPrEx>
          <w:tblCellMar>
            <w:top w:w="0" w:type="dxa"/>
            <w:left w:w="108" w:type="dxa"/>
            <w:bottom w:w="0" w:type="dxa"/>
            <w:right w:w="108" w:type="dxa"/>
          </w:tblCellMar>
        </w:tblPrEx>
        <w:trPr>
          <w:gridAfter w:val="1"/>
          <w:wBefore w:w="0" w:type="auto"/>
          <w:wAfter w:w="55" w:type="dxa"/>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假设</w:t>
            </w:r>
          </w:p>
        </w:tc>
        <w:tc>
          <w:tcPr>
            <w:tcW w:w="794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除市场利率以外的其他市场变量保持不变</w:t>
            </w:r>
          </w:p>
        </w:tc>
      </w:tr>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分析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相关风险变量的变动</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对资产负债表日基金资产净值的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影响金额（单位：人民币元）</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市场利率上升</w:t>
            </w:r>
            <w:r>
              <w:rPr>
                <w:rFonts w:ascii="Times New Roman" w:hAnsi="Times New Roman"/>
                <w:color w:val="000000"/>
                <w:kern w:val="0"/>
                <w:sz w:val="24"/>
                <w:szCs w:val="24"/>
              </w:rPr>
              <w:t>25</w:t>
            </w:r>
            <w:r>
              <w:rPr>
                <w:rFonts w:hint="eastAsia" w:ascii="Times New Roman" w:hAnsi="Times New Roman"/>
                <w:color w:val="000000"/>
                <w:kern w:val="0"/>
                <w:sz w:val="24"/>
                <w:szCs w:val="24"/>
              </w:rPr>
              <w:t>个基点</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-2,142,662.39</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市场利率下降</w:t>
            </w:r>
            <w:r>
              <w:rPr>
                <w:rFonts w:ascii="Times New Roman" w:hAnsi="Times New Roman"/>
                <w:color w:val="000000"/>
                <w:kern w:val="0"/>
                <w:sz w:val="24"/>
                <w:szCs w:val="24"/>
              </w:rPr>
              <w:t>25</w:t>
            </w:r>
            <w:r>
              <w:rPr>
                <w:rFonts w:hint="eastAsia" w:ascii="Times New Roman" w:hAnsi="Times New Roman"/>
                <w:color w:val="000000"/>
                <w:kern w:val="0"/>
                <w:sz w:val="24"/>
                <w:szCs w:val="24"/>
              </w:rPr>
              <w:t>个基点</w:t>
            </w:r>
          </w:p>
        </w:tc>
        <w:tc>
          <w:tcPr>
            <w:tcW w:w="51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2,160,919.16</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7.4.13.4.2 </w:t>
      </w:r>
      <w:r>
        <w:rPr>
          <w:rFonts w:hint="eastAsia" w:ascii="Times New Roman" w:hAnsi="Times New Roman"/>
          <w:b/>
          <w:color w:val="000000"/>
          <w:kern w:val="0"/>
          <w:sz w:val="24"/>
          <w:szCs w:val="24"/>
        </w:rPr>
        <w:t>外汇风险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 </w:t>
      </w:r>
      <w:r>
        <w:rPr>
          <w:rFonts w:hint="eastAsia" w:ascii="Times New Roman" w:hAnsi="Times New Roman"/>
          <w:b/>
          <w:color w:val="000000"/>
          <w:kern w:val="0"/>
          <w:sz w:val="24"/>
          <w:szCs w:val="24"/>
        </w:rPr>
        <w:t>其他价格风险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本基金的基金管理人在构建和管理投资组合的过程中，采用</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本基金通过投资组合的分散化降低其他价格风险。本基金投资组合中股票资产占基金资产的比例为</w:t>
      </w:r>
      <w:r>
        <w:rPr>
          <w:rFonts w:ascii="Times New Roman" w:hAnsi="Times New Roman"/>
          <w:color w:val="000000"/>
          <w:kern w:val="0"/>
          <w:sz w:val="24"/>
          <w:szCs w:val="24"/>
        </w:rPr>
        <w:t>0%-95%</w:t>
      </w:r>
      <w:r>
        <w:rPr>
          <w:rFonts w:hint="eastAsia" w:ascii="Times New Roman" w:hAnsi="Times New Roman"/>
          <w:color w:val="000000"/>
          <w:kern w:val="0"/>
          <w:sz w:val="24"/>
          <w:szCs w:val="24"/>
        </w:rPr>
        <w:t>；每个交易日日终，在扣除股指期货合约需缴纳的交易保证金后，现金或者到期日在一年以内的政府债券不低于基金资产净值的</w:t>
      </w:r>
      <w:r>
        <w:rPr>
          <w:rFonts w:ascii="Times New Roman" w:hAnsi="Times New Roman"/>
          <w:color w:val="000000"/>
          <w:kern w:val="0"/>
          <w:sz w:val="24"/>
          <w:szCs w:val="24"/>
        </w:rPr>
        <w:t>5%</w:t>
      </w:r>
      <w:r>
        <w:rPr>
          <w:rFonts w:hint="eastAsia" w:ascii="Times New Roman" w:hAnsi="Times New Roman"/>
          <w:color w:val="000000"/>
          <w:kern w:val="0"/>
          <w:sz w:val="24"/>
          <w:szCs w:val="24"/>
        </w:rPr>
        <w:t>。此外，本基金的基金管理人每日对本基金所持有的证券价格实施监控，定期运用多种定量方法对基金进行风险度量，包括</w:t>
      </w:r>
      <w:r>
        <w:rPr>
          <w:rFonts w:ascii="Times New Roman" w:hAnsi="Times New Roman"/>
          <w:color w:val="000000"/>
          <w:kern w:val="0"/>
          <w:sz w:val="24"/>
          <w:szCs w:val="24"/>
        </w:rPr>
        <w:t>VaR(Value at Risk)</w:t>
      </w:r>
      <w:r>
        <w:rPr>
          <w:rFonts w:hint="eastAsia" w:ascii="Times New Roman" w:hAnsi="Times New Roman"/>
          <w:color w:val="000000"/>
          <w:kern w:val="0"/>
          <w:sz w:val="24"/>
          <w:szCs w:val="24"/>
        </w:rPr>
        <w:t>指标等来测试本基金面临的潜在价格风险，及时可靠地对风险进行跟踪和控制。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7.4.13.4.3.1 </w:t>
      </w:r>
      <w:r>
        <w:rPr>
          <w:rFonts w:hint="eastAsia" w:ascii="Times New Roman" w:hAnsi="Times New Roman"/>
          <w:b/>
          <w:color w:val="000000"/>
          <w:kern w:val="0"/>
          <w:sz w:val="24"/>
          <w:szCs w:val="24"/>
        </w:rPr>
        <w:t>其他价格风险敞口</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746"/>
        <w:gridCol w:w="1806"/>
        <w:gridCol w:w="5473"/>
      </w:tblGrid>
      <w:tr>
        <w:tblPrEx>
          <w:tblCellMar>
            <w:top w:w="0" w:type="dxa"/>
            <w:left w:w="108" w:type="dxa"/>
            <w:bottom w:w="0" w:type="dxa"/>
            <w:right w:w="108" w:type="dxa"/>
          </w:tblCellMar>
        </w:tblPrEx>
        <w:trPr>
          <w:wBefore w:w="0" w:type="auto"/>
        </w:trPr>
        <w:tc>
          <w:tcPr>
            <w:tcW w:w="174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72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74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66,865,279.32</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13.39</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74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66,865,279.32</w:t>
            </w:r>
          </w:p>
        </w:tc>
        <w:tc>
          <w:tcPr>
            <w:tcW w:w="54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7.4.13.4.3.2 </w:t>
      </w:r>
      <w:r>
        <w:rPr>
          <w:rFonts w:hint="eastAsia" w:ascii="Times New Roman" w:hAnsi="Times New Roman"/>
          <w:b/>
          <w:color w:val="000000"/>
          <w:kern w:val="0"/>
          <w:sz w:val="24"/>
          <w:szCs w:val="24"/>
        </w:rPr>
        <w:t>其他价格风险的敏感性分析</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无。</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7.4.14 </w:t>
      </w:r>
      <w:r>
        <w:rPr>
          <w:rFonts w:hint="eastAsia" w:ascii="Times New Roman" w:hAnsi="Times New Roman"/>
          <w:b/>
          <w:color w:val="000000"/>
          <w:kern w:val="0"/>
          <w:sz w:val="24"/>
          <w:szCs w:val="24"/>
        </w:rPr>
        <w:t>有助于理解和分析会计报表需要说明的其他事项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(1)</w:t>
      </w:r>
      <w:r>
        <w:rPr>
          <w:rFonts w:ascii="Times New Roman" w:hAnsi="Times New Roman"/>
          <w:color w:val="000000"/>
          <w:kern w:val="0"/>
          <w:sz w:val="24"/>
          <w:szCs w:val="24"/>
        </w:rPr>
        <w:tab/>
      </w:r>
      <w:r>
        <w:rPr>
          <w:rFonts w:hint="eastAsia" w:ascii="Times New Roman" w:hAnsi="Times New Roman"/>
          <w:color w:val="000000"/>
          <w:kern w:val="0"/>
          <w:sz w:val="24"/>
          <w:szCs w:val="24"/>
        </w:rPr>
        <w:t>公允价值</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w:t>
      </w:r>
      <w:r>
        <w:rPr>
          <w:rFonts w:ascii="Times New Roman" w:hAnsi="Times New Roman"/>
          <w:color w:val="000000"/>
          <w:kern w:val="0"/>
          <w:sz w:val="24"/>
          <w:szCs w:val="24"/>
        </w:rPr>
        <w:tab/>
      </w:r>
      <w:r>
        <w:rPr>
          <w:rFonts w:hint="eastAsia" w:ascii="Times New Roman" w:hAnsi="Times New Roman"/>
          <w:color w:val="000000"/>
          <w:kern w:val="0"/>
          <w:sz w:val="24"/>
          <w:szCs w:val="24"/>
        </w:rPr>
        <w:t>金融工具公允价值计量的方法</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公允价值计量结果所属的层次，由对公允价值计量整体而言具有重要意义的输入值所属的最低层次决定：</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第一层次：相同资产或负债在活跃市场上未经调整的报价。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第二层次：除第一层次输入值外相关资产或负债直接或间接可观察的输入值。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第三层次：相关资产或负债的不可观察输入值。</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(b)</w:t>
      </w:r>
      <w:r>
        <w:rPr>
          <w:rFonts w:ascii="Times New Roman" w:hAnsi="Times New Roman"/>
          <w:color w:val="000000"/>
          <w:kern w:val="0"/>
          <w:sz w:val="24"/>
          <w:szCs w:val="24"/>
        </w:rPr>
        <w:tab/>
      </w:r>
      <w:r>
        <w:rPr>
          <w:rFonts w:hint="eastAsia" w:ascii="Times New Roman" w:hAnsi="Times New Roman"/>
          <w:color w:val="000000"/>
          <w:kern w:val="0"/>
          <w:sz w:val="24"/>
          <w:szCs w:val="24"/>
        </w:rPr>
        <w:t>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w:t>
      </w:r>
      <w:r>
        <w:rPr>
          <w:rFonts w:ascii="Times New Roman" w:hAnsi="Times New Roman"/>
          <w:color w:val="000000"/>
          <w:kern w:val="0"/>
          <w:sz w:val="24"/>
          <w:szCs w:val="24"/>
        </w:rPr>
        <w:tab/>
      </w:r>
      <w:r>
        <w:rPr>
          <w:rFonts w:hint="eastAsia" w:ascii="Times New Roman" w:hAnsi="Times New Roman"/>
          <w:color w:val="000000"/>
          <w:kern w:val="0"/>
          <w:sz w:val="24"/>
          <w:szCs w:val="24"/>
        </w:rPr>
        <w:t>各层次金融工具公允价值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日，本基金持有的以公允价值计量且其变动计入当期损益的金融资产中属于第一层次的余额为</w:t>
      </w:r>
      <w:r>
        <w:rPr>
          <w:rFonts w:ascii="Times New Roman" w:hAnsi="Times New Roman"/>
          <w:color w:val="000000"/>
          <w:kern w:val="0"/>
          <w:sz w:val="24"/>
          <w:szCs w:val="24"/>
        </w:rPr>
        <w:t>64,804,727.38</w:t>
      </w:r>
      <w:r>
        <w:rPr>
          <w:rFonts w:hint="eastAsia" w:ascii="Times New Roman" w:hAnsi="Times New Roman"/>
          <w:color w:val="000000"/>
          <w:kern w:val="0"/>
          <w:sz w:val="24"/>
          <w:szCs w:val="24"/>
        </w:rPr>
        <w:t>元，属于第二层次的余额为</w:t>
      </w:r>
      <w:r>
        <w:rPr>
          <w:rFonts w:ascii="Times New Roman" w:hAnsi="Times New Roman"/>
          <w:color w:val="000000"/>
          <w:kern w:val="0"/>
          <w:sz w:val="24"/>
          <w:szCs w:val="24"/>
        </w:rPr>
        <w:t>448,027,551.94</w:t>
      </w:r>
      <w:r>
        <w:rPr>
          <w:rFonts w:hint="eastAsia" w:ascii="Times New Roman" w:hAnsi="Times New Roman"/>
          <w:color w:val="000000"/>
          <w:kern w:val="0"/>
          <w:sz w:val="24"/>
          <w:szCs w:val="24"/>
        </w:rPr>
        <w:t>元，无属于第三层次的余额。</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(ii)</w:t>
      </w:r>
      <w:r>
        <w:rPr>
          <w:rFonts w:ascii="Times New Roman" w:hAnsi="Times New Roman"/>
          <w:color w:val="000000"/>
          <w:kern w:val="0"/>
          <w:sz w:val="24"/>
          <w:szCs w:val="24"/>
        </w:rPr>
        <w:tab/>
      </w:r>
      <w:r>
        <w:rPr>
          <w:rFonts w:hint="eastAsia" w:ascii="Times New Roman" w:hAnsi="Times New Roman"/>
          <w:color w:val="000000"/>
          <w:kern w:val="0"/>
          <w:sz w:val="24"/>
          <w:szCs w:val="24"/>
        </w:rPr>
        <w:t>公允价值所属层次间的重大变动</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对于证券交易所上市的股票和债券，若出现重大事项停牌、交易不活跃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包括涨跌停时的交易不活跃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(iii)</w:t>
      </w:r>
      <w:r>
        <w:rPr>
          <w:rFonts w:ascii="Times New Roman" w:hAnsi="Times New Roman"/>
          <w:color w:val="000000"/>
          <w:kern w:val="0"/>
          <w:sz w:val="24"/>
          <w:szCs w:val="24"/>
        </w:rPr>
        <w:tab/>
      </w:r>
      <w:r>
        <w:rPr>
          <w:rFonts w:hint="eastAsia" w:ascii="Times New Roman" w:hAnsi="Times New Roman"/>
          <w:color w:val="000000"/>
          <w:kern w:val="0"/>
          <w:sz w:val="24"/>
          <w:szCs w:val="24"/>
        </w:rPr>
        <w:t>第三层次公允价值余额和本期变动金额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无。</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(c)</w:t>
      </w:r>
      <w:r>
        <w:rPr>
          <w:rFonts w:ascii="Times New Roman" w:hAnsi="Times New Roman"/>
          <w:color w:val="000000"/>
          <w:kern w:val="0"/>
          <w:sz w:val="24"/>
          <w:szCs w:val="24"/>
        </w:rPr>
        <w:tab/>
      </w:r>
      <w:r>
        <w:rPr>
          <w:rFonts w:hint="eastAsia" w:ascii="Times New Roman" w:hAnsi="Times New Roman"/>
          <w:color w:val="000000"/>
          <w:kern w:val="0"/>
          <w:sz w:val="24"/>
          <w:szCs w:val="24"/>
        </w:rPr>
        <w:t>非持续的以公允价值计量的金融工具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日，本基金未持有非持续的以公允价值计量的金融工具。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(d)</w:t>
      </w:r>
      <w:r>
        <w:rPr>
          <w:rFonts w:ascii="Times New Roman" w:hAnsi="Times New Roman"/>
          <w:color w:val="000000"/>
          <w:kern w:val="0"/>
          <w:sz w:val="24"/>
          <w:szCs w:val="24"/>
        </w:rPr>
        <w:tab/>
      </w:r>
      <w:r>
        <w:rPr>
          <w:rFonts w:hint="eastAsia" w:ascii="Times New Roman" w:hAnsi="Times New Roman"/>
          <w:color w:val="000000"/>
          <w:kern w:val="0"/>
          <w:sz w:val="24"/>
          <w:szCs w:val="24"/>
        </w:rPr>
        <w:t>不以公允价值计量的金融工具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不以公允价值计量的金融资产和负债主要包括应收款项和其他金融负债，其账面价值与公允价值相差很小。</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ascii="Times New Roman" w:hAnsi="Times New Roman"/>
          <w:color w:val="000000"/>
          <w:kern w:val="0"/>
          <w:sz w:val="24"/>
          <w:szCs w:val="24"/>
        </w:rPr>
        <w:tab/>
      </w:r>
      <w:r>
        <w:rPr>
          <w:rFonts w:hint="eastAsia" w:ascii="Times New Roman" w:hAnsi="Times New Roman"/>
          <w:color w:val="000000"/>
          <w:kern w:val="0"/>
          <w:sz w:val="24"/>
          <w:szCs w:val="24"/>
        </w:rPr>
        <w:t>除公允价值外，截至资产负债表日本基金无需要说明的其他重要事项。</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33" w:name="_Toc477955748"/>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8  </w:t>
      </w:r>
      <w:r>
        <w:rPr>
          <w:rFonts w:hint="eastAsia" w:ascii="Times New Roman" w:hAnsi="Times New Roman"/>
          <w:b/>
          <w:color w:val="000000"/>
          <w:kern w:val="0"/>
          <w:sz w:val="24"/>
          <w:szCs w:val="24"/>
        </w:rPr>
        <w:t>投资组合报告</w:t>
      </w:r>
      <w:bookmarkEnd w:id="33"/>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4" w:name="_Toc477955749"/>
      <w:r>
        <w:rPr>
          <w:rFonts w:ascii="Times New Roman" w:hAnsi="Times New Roman"/>
          <w:b/>
          <w:color w:val="000000"/>
          <w:kern w:val="0"/>
          <w:sz w:val="24"/>
          <w:szCs w:val="24"/>
        </w:rPr>
        <w:t xml:space="preserve">8.1 </w:t>
      </w:r>
      <w:r>
        <w:rPr>
          <w:rFonts w:hint="eastAsia" w:ascii="Times New Roman" w:hAnsi="Times New Roman"/>
          <w:b/>
          <w:color w:val="000000"/>
          <w:kern w:val="0"/>
          <w:sz w:val="24"/>
          <w:szCs w:val="24"/>
        </w:rPr>
        <w:t>期末基金资产组合情况</w:t>
      </w:r>
      <w:bookmarkEnd w:id="34"/>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433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占基金总资产的比例（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权益投资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66,865,279.32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66,865,279.32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固定收益投资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445,967,000.00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445,967,000.00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金融衍生品投资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其中：买断式回购的买入返售金融资产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银行存款和结算备付金合计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7,837,439.45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其他各项资产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9,480,565.66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530,150,284.43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8.2 </w:t>
      </w:r>
      <w:r>
        <w:rPr>
          <w:rFonts w:hint="eastAsia" w:ascii="Times New Roman" w:hAnsi="Times New Roman"/>
          <w:b/>
          <w:color w:val="000000"/>
          <w:kern w:val="0"/>
          <w:sz w:val="24"/>
          <w:szCs w:val="24"/>
        </w:rPr>
        <w:t>报告期末按行业分类的股票投资组合</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3973"/>
        <w:gridCol w:w="2168"/>
        <w:gridCol w:w="2167"/>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代码</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行业类别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A</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农、林、牧、渔业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B</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采矿业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186,089.00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C</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制造业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45,133,256.29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D</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电力、热力、燃气及水生产和供应业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3,616,376.80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0.72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E</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建筑业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384,372.23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F</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批发和零售业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5,819,970.00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G</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交通运输、仓储和邮政业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2,348,754.00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H</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住宿和餐饮业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563,007.00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I</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信息传输、软件和信息技术服务业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2,255,563.00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J</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379,136.00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K</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房地产业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2,294,825.00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L</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租赁和商务服务业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1,260,980.00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M</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科学研究和技术服务业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555,686.00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N</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水利、环境和公共设施管理业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945,818.00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O</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居民服务、修理和其他服务业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P</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教育</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270,085.00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Q</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卫生和社会工作</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R</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文化、体育和娱乐业</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851,361.00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S</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综合</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66,865,279.32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13.39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5" w:name="_Toc477955750"/>
      <w:r>
        <w:rPr>
          <w:rFonts w:ascii="Times New Roman" w:hAnsi="Times New Roman"/>
          <w:b/>
          <w:color w:val="000000"/>
          <w:kern w:val="0"/>
          <w:sz w:val="24"/>
          <w:szCs w:val="24"/>
        </w:rPr>
        <w:t xml:space="preserve">8.3 </w:t>
      </w:r>
      <w:r>
        <w:rPr>
          <w:rFonts w:hint="eastAsia" w:ascii="Times New Roman" w:hAnsi="Times New Roman"/>
          <w:b/>
          <w:color w:val="000000"/>
          <w:kern w:val="0"/>
          <w:sz w:val="24"/>
          <w:szCs w:val="24"/>
        </w:rPr>
        <w:t>期末按公允价值占基金资产净值比例大小排序的所有股票投资明细</w:t>
      </w:r>
      <w:bookmarkEnd w:id="35"/>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084"/>
        <w:gridCol w:w="1806"/>
        <w:gridCol w:w="144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新奥股份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357,926.00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华鲁恒升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340,525.00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风神股份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340,340.00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杭州解百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339,963.00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上柴股份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337,906.00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大晟文化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336,733.00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广深铁路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331,578.00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耀皮玻璃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319,555.00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神马股份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318,990.00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317,940.00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ST</w:t>
            </w:r>
            <w:r>
              <w:rPr>
                <w:rFonts w:hint="eastAsia" w:ascii="Times New Roman" w:hAnsi="Times New Roman"/>
                <w:color w:val="000000"/>
                <w:kern w:val="0"/>
                <w:sz w:val="24"/>
                <w:szCs w:val="24"/>
              </w:rPr>
              <w:t>明科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317,676.51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轻纺城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314,640.00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国电南自</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313,896.00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济川药业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312,600.00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安徽合力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310,368.00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华菱星马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310,356.00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*ST</w:t>
            </w:r>
            <w:r>
              <w:rPr>
                <w:rFonts w:hint="eastAsia" w:ascii="Times New Roman" w:hAnsi="Times New Roman"/>
                <w:color w:val="000000"/>
                <w:kern w:val="0"/>
                <w:sz w:val="24"/>
                <w:szCs w:val="24"/>
              </w:rPr>
              <w:t>星湖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310,104.00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九牧王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309,575.00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华光股份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309,225.00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601965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中国汽研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307,785.00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百大集团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307,586.00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标准股份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307,288.00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郴电国际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306,866.00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303,646.00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*ST</w:t>
            </w:r>
            <w:r>
              <w:rPr>
                <w:rFonts w:hint="eastAsia" w:ascii="Times New Roman" w:hAnsi="Times New Roman"/>
                <w:color w:val="000000"/>
                <w:kern w:val="0"/>
                <w:sz w:val="24"/>
                <w:szCs w:val="24"/>
              </w:rPr>
              <w:t>百花</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302,528.00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电子城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302,509.00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联环药业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302,058.00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中牧股份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301,750.00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银座股份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301,392.00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300,674.00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美克家居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601007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金陵饭店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300,117.00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惠泉啤酒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龙江交通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299,744.00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四川成渝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298,540.00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歌力思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298,437.00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博汇纸业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298,078.00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600990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四创电子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298,070.00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好莱客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297,804.00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恒顺醋业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296,672.00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象屿股份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295,550.00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603306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华懋科技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294,759.00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羚锐制药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294,756.00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金晶科技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293,079.00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建设机械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292,790.00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会稽山</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292,740.00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苏州高新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292,572.00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通威股份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292,383.00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曲江文旅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291,648.00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兰州民百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291,618.00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603369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今世缘</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291,264.00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开滦股份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291,005.00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恒丰纸业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290,598.00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伊力特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289,800.00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601799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星宇股份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288,750.00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603123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翠微股份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288,750.00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长江通信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288,544.00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深高速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288,150.00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首商股份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287,806.00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博威合金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287,540.00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福建高速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287,180.00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天地源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286,740.00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瀚蓝环境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285,764.00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福日电子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285,282.00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广电电气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285,138.00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284,886.00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国机汽车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284,310.00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健民集团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284,177.00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新疆天业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283,632.00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重庆百货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283,503.00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雷鸣科化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283,290.00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通宝能源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282,583.00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安阳钢铁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282,256.00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三元股份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281,815.00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嘉应制药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281,216.00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洪城水业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280,656.80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江中药业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280,462.00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华北制药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280,448.00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武汉控股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280,328.00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天华院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279,630.00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黑牡丹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279,612.00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春兰股份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278,980.00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603588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高能环境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278,570.00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京能电力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277,200.00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广日股份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276,134.00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千金药业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275,975.00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合锻智能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275,806.00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渤海活塞</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275,546.00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山东高速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275,400.00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城市传媒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274,258.00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禾嘉股份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274,050.00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阳光照明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272,916.00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南京医药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272,685.00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西水股份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272,356.00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江南嘉捷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271,860.00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603609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禾丰牧业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271,530.00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上海机电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271,328.00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云赛智联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270,652.00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新南洋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270,085.00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益丰药房</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269,724.00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华东电脑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268,398.00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桂冠电力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267,790.00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京投发展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266,385.00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香江控股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264,799.00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国新能源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263,550.00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喜临门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263,520.00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首旅酒店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262,890.00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闽东电力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262,885.00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交大昂立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三星医疗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261,744.00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明泰铝业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260,480.00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603456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九洲药业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258,840.00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宝信软件</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252,252.00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鄂尔多斯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251,485.00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北巴传媒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250,980.00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智光电气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230,280.00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奥普光电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227,480.00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江海股份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223,448.00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卫星石化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219,960.00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中钢天源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218,913.00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天虹商场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217,790.00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阳光股份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216,177.00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新乡化纤</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216,108.00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中百集团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215,296.00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利</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214,368.00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太阳电缆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212,742.00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合力泰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209,430.00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必康股份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208,285.00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荣盛石化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208,170.00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当代东方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207,900.00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云内动力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207,612.00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万年青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207,174.00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中金环境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206,190.00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鲁阳节能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206,170.00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华映科技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206,145.00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苏常柴Ａ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205,640.00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红</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太</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阳</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204,918.00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五洋科技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204,836.00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茂业通信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204,618.00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泰胜风能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203,875.00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000159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国际实业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203,150.00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日科化学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202,950.00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巴士在线</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202,515.00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精艺股份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201,936.00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联化科技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200,632.00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东方日升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200,446.00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豪迈科技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199,975.00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广百股份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199,092.00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康弘药业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198,765.00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大冶特钢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198,744.00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海大集团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198,660.00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大金重工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198,660.00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森远股份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198,653.00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大亚圣象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奥克股份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198,575.00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烟台冰轮</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197,868.00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大冷股份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197,652.00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天海防务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197,559.00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伊之密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197,274.00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天保基建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196,765.00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毅昌股份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196,755.00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常铝股份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196,524.00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*ST</w:t>
            </w:r>
            <w:r>
              <w:rPr>
                <w:rFonts w:hint="eastAsia" w:ascii="Times New Roman" w:hAnsi="Times New Roman"/>
                <w:color w:val="000000"/>
                <w:kern w:val="0"/>
                <w:sz w:val="24"/>
                <w:szCs w:val="24"/>
              </w:rPr>
              <w:t>创疗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196,490.00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新野纺织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华孚色纺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195,966.00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广博股份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195,829.00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嘉事堂</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195,638.00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漳泽电力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195,580.00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回天新材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194,844.00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京威股份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194,110.00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金圆股份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193,572.00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精锻科技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193,512.00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新界泵业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193,280.00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广济药业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193,060.00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中顺洁柔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193,030.00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盈峰环境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192,924.00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张家界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192,918.00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建研集团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192,836.00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轴研科技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192,700.00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银河电子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裕兴股份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192,210.00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高升控股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191,565.00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深桑达Ａ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191,232.00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誉衡药业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191,037.00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亚太药业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190,450.00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天桥起重</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190,280.00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德联集团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190,152.00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*ST</w:t>
            </w:r>
            <w:r>
              <w:rPr>
                <w:rFonts w:hint="eastAsia" w:ascii="Times New Roman" w:hAnsi="Times New Roman"/>
                <w:color w:val="000000"/>
                <w:kern w:val="0"/>
                <w:sz w:val="24"/>
                <w:szCs w:val="24"/>
              </w:rPr>
              <w:t>蓝丰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190,008.00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西部创业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189,856.00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粤高速Ａ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189,468.00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东旭蓝天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189,266.00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中材科技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189,216.00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太阳纸业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189,044.00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现代投资</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188,838.00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北化股份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188,652.00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苏</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泊</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188,568.00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湖北广电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188,496.00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富安娜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188,320.00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赞宇科技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188,270.00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粤</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水</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187,880.00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晨光生物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187,769.00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旷达科技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187,616.00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天威视讯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187,520.00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德美化工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187,416.00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联发股份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187,408.00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国药一致</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187,320.00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永新股份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唐人神</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187,072.00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富奥股份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未名医药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186,879.00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福安药业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186,730.00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孚日股份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186,648.00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洲明科技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辉煌科技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186,322.00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伟星股份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186,290.00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蓝帆医疗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186,201.00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中利集团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186,151.00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云海金属</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靖远煤电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186,089.00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山东威达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185,955.00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金河生物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185,840.00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华润三九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185,475.00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黔源电力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185,320.00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西部建设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185,256.00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普洛药业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185,238.00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潍柴重机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184,932.00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九强生物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184,716.00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众业达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184,644.00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184,531.00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亚太科技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184,475.00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众生药业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184,015.00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华意压缩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天康生物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183,885.00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通润装备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183,705.00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伟星新材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183,617.00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华西股份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183,073.00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烽火电子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182,850.00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柳</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峨眉山Ａ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182,682.00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恒华科技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聚飞光电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182,574.00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中通客车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182,505.00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艾比森</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182,280.00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远方光电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182,105.00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太阳能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181,704.00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洽洽食品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181,478.00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建投能源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181,152.00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扬杰科技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181,056.00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小天鹅Ａ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180,992.00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新宝股份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180,937.00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宏润建设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180,900.00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捷顺科技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森马服饰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180,752.00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大地传媒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180,707.00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000421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南京公用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180,467.00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捷成股份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180,425.00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安控科技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180,180.00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通光线缆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179,950.00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松芝股份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179,916.00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康力电梯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179,656.00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汇冠股份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179,645.00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长荣股份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179,118.00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炬华科技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178,932.00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000951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中国重汽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178,885.00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新国都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178,776.00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菲利华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178,409.00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新天科技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178,192.00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汉钟精机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178,017.00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华通医药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177,840.00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金达威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177,792.00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002534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杭锅股份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177,444.00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金城医药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176,658.13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太阳鸟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176,436.00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三鑫医疗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175,898.00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双环传动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175,770.00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东华测试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175,680.00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我武生物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合康新能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175,086.00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瑞丰高材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174,570.00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凯撒旅游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174,225.00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广电运通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173,968.00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好想你</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172,529.00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楚天科技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170,676.00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瑞丰光电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169,365.00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新研股份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167,034.00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博济医药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165,291.00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迪瑞医疗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163,501.26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雷曼股份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163,020.00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中原证券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106,780.00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杭叉集团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88,403.48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日月股份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68,805.80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太平鸟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67,734.00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603416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信捷电气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53,886.08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元祖股份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39,665.70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英飞特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35,157.33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浙江仙通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29,059.80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同为股份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24,220.26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常熟汽饰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24,179.04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亚翔集成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15,592.23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华统股份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11,881.70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道恩股份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10,405.68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美联新材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9,355.80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万里马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7,355.72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6" w:name="_Toc477955751"/>
      <w:r>
        <w:rPr>
          <w:rFonts w:ascii="Times New Roman" w:hAnsi="Times New Roman"/>
          <w:b/>
          <w:color w:val="000000"/>
          <w:kern w:val="0"/>
          <w:sz w:val="24"/>
          <w:szCs w:val="24"/>
        </w:rPr>
        <w:t xml:space="preserve">8.4 </w:t>
      </w:r>
      <w:r>
        <w:rPr>
          <w:rFonts w:hint="eastAsia" w:ascii="Times New Roman" w:hAnsi="Times New Roman"/>
          <w:b/>
          <w:color w:val="000000"/>
          <w:kern w:val="0"/>
          <w:sz w:val="24"/>
          <w:szCs w:val="24"/>
        </w:rPr>
        <w:t>报告期内股票投资组合的重大变动</w:t>
      </w:r>
      <w:bookmarkEnd w:id="36"/>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8.4.1 </w:t>
      </w:r>
      <w:r>
        <w:rPr>
          <w:rFonts w:hint="eastAsia" w:ascii="Times New Roman" w:hAnsi="Times New Roman"/>
          <w:b/>
          <w:color w:val="000000"/>
          <w:kern w:val="0"/>
          <w:sz w:val="24"/>
          <w:szCs w:val="24"/>
        </w:rPr>
        <w:t>累计买入金额超出期末基金资产净值</w:t>
      </w:r>
      <w:r>
        <w:rPr>
          <w:rFonts w:ascii="Times New Roman" w:hAnsi="Times New Roman"/>
          <w:b/>
          <w:color w:val="000000"/>
          <w:kern w:val="0"/>
          <w:sz w:val="24"/>
          <w:szCs w:val="24"/>
        </w:rPr>
        <w:t>2%</w:t>
      </w:r>
      <w:r>
        <w:rPr>
          <w:rFonts w:hint="eastAsia" w:ascii="Times New Roman" w:hAnsi="Times New Roman"/>
          <w:b/>
          <w:color w:val="000000"/>
          <w:kern w:val="0"/>
          <w:sz w:val="24"/>
          <w:szCs w:val="24"/>
        </w:rPr>
        <w:t>或前</w:t>
      </w:r>
      <w:r>
        <w:rPr>
          <w:rFonts w:ascii="Times New Roman" w:hAnsi="Times New Roman"/>
          <w:b/>
          <w:color w:val="000000"/>
          <w:kern w:val="0"/>
          <w:sz w:val="24"/>
          <w:szCs w:val="24"/>
        </w:rPr>
        <w:t>20</w:t>
      </w:r>
      <w:r>
        <w:rPr>
          <w:rFonts w:hint="eastAsia" w:ascii="Times New Roman" w:hAnsi="Times New Roman"/>
          <w:b/>
          <w:color w:val="000000"/>
          <w:kern w:val="0"/>
          <w:sz w:val="24"/>
          <w:szCs w:val="24"/>
        </w:rPr>
        <w:t>名的股票明细</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084"/>
        <w:gridCol w:w="1806"/>
        <w:gridCol w:w="2528"/>
        <w:gridCol w:w="2890"/>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本期累计买入金额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占期末基金资产净值比例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600258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首旅酒店</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608,285.00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600475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华光股份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596,836.00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海立股份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589,106.00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600261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阳光照明</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585,454.00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601218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吉鑫科技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583,377.00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九牧王</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581,215.00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601965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中国汽研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581,184.00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603006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联明股份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580,416.00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601579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会稽山</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579,764.00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600761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安徽合力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578,109.41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600345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长江通信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578,022.00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600561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江西长运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577,859.00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600479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千金药业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577,651.00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600438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通威股份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576,298.81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600985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雷鸣科化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576,081.77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603123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翠微股份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575,551.00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乐山电力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575,487.00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601799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星宇股份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574,849.00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601007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金陵饭店</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574,840.00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600835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上海机电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574,260.00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注：本期累计买入金额按买卖成交金额</w:t>
      </w:r>
      <w:r>
        <w:rPr>
          <w:rFonts w:ascii="Times New Roman" w:hAnsi="Times New Roman"/>
          <w:color w:val="000000"/>
          <w:kern w:val="0"/>
          <w:szCs w:val="24"/>
        </w:rPr>
        <w:t>,</w:t>
      </w:r>
      <w:r>
        <w:rPr>
          <w:rFonts w:hint="eastAsia" w:ascii="Times New Roman" w:hAnsi="Times New Roman"/>
          <w:color w:val="000000"/>
          <w:kern w:val="0"/>
          <w:szCs w:val="24"/>
        </w:rPr>
        <w:t>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8.4.2 </w:t>
      </w:r>
      <w:r>
        <w:rPr>
          <w:rFonts w:hint="eastAsia" w:ascii="Times New Roman" w:hAnsi="Times New Roman"/>
          <w:b/>
          <w:color w:val="000000"/>
          <w:kern w:val="0"/>
          <w:sz w:val="24"/>
          <w:szCs w:val="24"/>
        </w:rPr>
        <w:t>累计卖出金额超出期末基金资产净值</w:t>
      </w:r>
      <w:r>
        <w:rPr>
          <w:rFonts w:ascii="Times New Roman" w:hAnsi="Times New Roman"/>
          <w:b/>
          <w:color w:val="000000"/>
          <w:kern w:val="0"/>
          <w:sz w:val="24"/>
          <w:szCs w:val="24"/>
        </w:rPr>
        <w:t>2%</w:t>
      </w:r>
      <w:r>
        <w:rPr>
          <w:rFonts w:hint="eastAsia" w:ascii="Times New Roman" w:hAnsi="Times New Roman"/>
          <w:b/>
          <w:color w:val="000000"/>
          <w:kern w:val="0"/>
          <w:sz w:val="24"/>
          <w:szCs w:val="24"/>
        </w:rPr>
        <w:t>或前</w:t>
      </w:r>
      <w:r>
        <w:rPr>
          <w:rFonts w:ascii="Times New Roman" w:hAnsi="Times New Roman"/>
          <w:b/>
          <w:color w:val="000000"/>
          <w:kern w:val="0"/>
          <w:sz w:val="24"/>
          <w:szCs w:val="24"/>
        </w:rPr>
        <w:t>20</w:t>
      </w:r>
      <w:r>
        <w:rPr>
          <w:rFonts w:hint="eastAsia" w:ascii="Times New Roman" w:hAnsi="Times New Roman"/>
          <w:b/>
          <w:color w:val="000000"/>
          <w:kern w:val="0"/>
          <w:sz w:val="24"/>
          <w:szCs w:val="24"/>
        </w:rPr>
        <w:t>名的股票明细</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084"/>
        <w:gridCol w:w="1806"/>
        <w:gridCol w:w="2528"/>
        <w:gridCol w:w="2890"/>
      </w:tblGrid>
      <w:tr>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本期累计卖出金额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占期末基金资产净值比例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上海凤凰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727,645.00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601116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三江购物</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666,960.00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600558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大西洋</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645,375.00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神奇制药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612,144.83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600114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东睦股份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611,008.00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海立股份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599,549.00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汇通能源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592,126.95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603688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石英股份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589,450.00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600561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江西长运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586,914.00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600982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宁波热电</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583,403.00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603088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宁波精达</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581,522.00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乐山电力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581,172.00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600888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新疆众和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580,351.40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601218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吉鑫科技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579,543.00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600909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华安证券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568,288.08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603858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步长制药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566,876.40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601126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四方股份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561,837.00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0.11</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000822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山东海化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472,526.00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300107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建新股份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464,960.00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300283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温州宏丰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460,068.84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注：本期累计卖出金额按买卖成交金额</w:t>
      </w:r>
      <w:r>
        <w:rPr>
          <w:rFonts w:ascii="Times New Roman" w:hAnsi="Times New Roman"/>
          <w:color w:val="000000"/>
          <w:kern w:val="0"/>
          <w:szCs w:val="24"/>
        </w:rPr>
        <w:t>,</w:t>
      </w:r>
      <w:r>
        <w:rPr>
          <w:rFonts w:hint="eastAsia" w:ascii="Times New Roman" w:hAnsi="Times New Roman"/>
          <w:color w:val="000000"/>
          <w:kern w:val="0"/>
          <w:szCs w:val="24"/>
        </w:rPr>
        <w:t>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8.4.3 </w:t>
      </w:r>
      <w:r>
        <w:rPr>
          <w:rFonts w:hint="eastAsia" w:ascii="Times New Roman" w:hAnsi="Times New Roman"/>
          <w:b/>
          <w:color w:val="000000"/>
          <w:kern w:val="0"/>
          <w:sz w:val="24"/>
          <w:szCs w:val="24"/>
        </w:rPr>
        <w:t>买入股票的成本总额及卖出股票的收入总额</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552"/>
        <w:gridCol w:w="5418"/>
      </w:tblGrid>
      <w:tr>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买入股票成本（成交）总额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176,495,743.13</w:t>
            </w:r>
          </w:p>
        </w:tc>
      </w:tr>
      <w:tr>
        <w:tblPrEx>
          <w:tblCellMar>
            <w:top w:w="0" w:type="dxa"/>
            <w:left w:w="108" w:type="dxa"/>
            <w:bottom w:w="0" w:type="dxa"/>
            <w:right w:w="108" w:type="dxa"/>
          </w:tblCellMar>
        </w:tblPrEx>
        <w:trPr>
          <w:wBefore w:w="0" w:type="auto"/>
        </w:trPr>
        <w:tc>
          <w:tcPr>
            <w:tcW w:w="35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卖出股票收入（成交）总额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114,630,212.40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注：买入股票成本、卖出股票收入均按买卖成交金额填列，不考虑相关交易费用。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7" w:name="_Toc477955752"/>
      <w:r>
        <w:rPr>
          <w:rFonts w:ascii="Times New Roman" w:hAnsi="Times New Roman"/>
          <w:b/>
          <w:color w:val="000000"/>
          <w:kern w:val="0"/>
          <w:sz w:val="24"/>
          <w:szCs w:val="24"/>
        </w:rPr>
        <w:t xml:space="preserve">8.5 </w:t>
      </w:r>
      <w:r>
        <w:rPr>
          <w:rFonts w:hint="eastAsia" w:ascii="Times New Roman" w:hAnsi="Times New Roman"/>
          <w:b/>
          <w:color w:val="000000"/>
          <w:kern w:val="0"/>
          <w:sz w:val="24"/>
          <w:szCs w:val="24"/>
        </w:rPr>
        <w:t>期末按债券品种分类的债券投资组合</w:t>
      </w:r>
      <w:bookmarkEnd w:id="37"/>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4335"/>
        <w:gridCol w:w="2167"/>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债券品种</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国家债券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央行票据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70,360,000.00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14.09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其中：政策性金融债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40,088,000.00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企业债券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24,849,000.00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企业短期融资券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中期票据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350,758,000.00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70.22</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可转债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同业存单</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445,967,000.00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89.28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8" w:name="_Toc477955753"/>
      <w:r>
        <w:rPr>
          <w:rFonts w:ascii="Times New Roman" w:hAnsi="Times New Roman"/>
          <w:b/>
          <w:color w:val="000000"/>
          <w:kern w:val="0"/>
          <w:sz w:val="24"/>
          <w:szCs w:val="24"/>
        </w:rPr>
        <w:t xml:space="preserve">8.6 </w:t>
      </w:r>
      <w:r>
        <w:rPr>
          <w:rFonts w:hint="eastAsia" w:ascii="Times New Roman" w:hAnsi="Times New Roman"/>
          <w:b/>
          <w:color w:val="000000"/>
          <w:kern w:val="0"/>
          <w:sz w:val="24"/>
          <w:szCs w:val="24"/>
        </w:rPr>
        <w:t>期末按公允价值占基金资产净值比例大小排序的前五名债券投资明细</w:t>
      </w:r>
      <w:bookmarkEnd w:id="38"/>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445"/>
        <w:gridCol w:w="1445"/>
        <w:gridCol w:w="1806"/>
        <w:gridCol w:w="1806"/>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101460001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闽电信</w:t>
            </w:r>
            <w:r>
              <w:rPr>
                <w:rFonts w:ascii="Times New Roman" w:hAnsi="Times New Roman"/>
                <w:color w:val="000000"/>
                <w:kern w:val="0"/>
                <w:sz w:val="24"/>
                <w:szCs w:val="24"/>
              </w:rPr>
              <w:t>MTN001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42,260,000.00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101575004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金融街</w:t>
            </w:r>
            <w:r>
              <w:rPr>
                <w:rFonts w:ascii="Times New Roman" w:hAnsi="Times New Roman"/>
                <w:color w:val="000000"/>
                <w:kern w:val="0"/>
                <w:sz w:val="24"/>
                <w:szCs w:val="24"/>
              </w:rPr>
              <w:t>MTN002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41,412,000.00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8.29</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1382243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粤城建</w:t>
            </w:r>
            <w:r>
              <w:rPr>
                <w:rFonts w:ascii="Times New Roman" w:hAnsi="Times New Roman"/>
                <w:color w:val="000000"/>
                <w:kern w:val="0"/>
                <w:sz w:val="24"/>
                <w:szCs w:val="24"/>
              </w:rPr>
              <w:t>MTN1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40,676,000.00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101465008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苏交通</w:t>
            </w:r>
            <w:r>
              <w:rPr>
                <w:rFonts w:ascii="Times New Roman" w:hAnsi="Times New Roman"/>
                <w:color w:val="000000"/>
                <w:kern w:val="0"/>
                <w:sz w:val="24"/>
                <w:szCs w:val="24"/>
              </w:rPr>
              <w:t>MTN001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31,380,000.00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6.28</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101575002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沪城控</w:t>
            </w:r>
            <w:r>
              <w:rPr>
                <w:rFonts w:ascii="Times New Roman" w:hAnsi="Times New Roman"/>
                <w:color w:val="000000"/>
                <w:kern w:val="0"/>
                <w:sz w:val="24"/>
                <w:szCs w:val="24"/>
              </w:rPr>
              <w:t>MTN001(3</w:t>
            </w:r>
            <w:r>
              <w:rPr>
                <w:rFonts w:hint="eastAsia" w:ascii="Times New Roman" w:hAnsi="Times New Roman"/>
                <w:color w:val="000000"/>
                <w:kern w:val="0"/>
                <w:sz w:val="24"/>
                <w:szCs w:val="24"/>
              </w:rPr>
              <w:t>年期</w:t>
            </w:r>
            <w:r>
              <w:rPr>
                <w:rFonts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30,435,000.00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9" w:name="_Toc477955754"/>
      <w:r>
        <w:rPr>
          <w:rFonts w:ascii="Times New Roman" w:hAnsi="Times New Roman"/>
          <w:b/>
          <w:color w:val="000000"/>
          <w:kern w:val="0"/>
          <w:sz w:val="24"/>
          <w:szCs w:val="24"/>
        </w:rPr>
        <w:t xml:space="preserve">8.7 </w:t>
      </w:r>
      <w:r>
        <w:rPr>
          <w:rFonts w:hint="eastAsia" w:ascii="Times New Roman" w:hAnsi="Times New Roman"/>
          <w:b/>
          <w:color w:val="000000"/>
          <w:kern w:val="0"/>
          <w:sz w:val="24"/>
          <w:szCs w:val="24"/>
        </w:rPr>
        <w:t>期末按公允价值占基金资产净值比例大小排序的所有资产支持证券投资明细</w:t>
      </w:r>
      <w:bookmarkEnd w:id="39"/>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本基金本报告期末未持有资产支持证券。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0" w:name="_Toc477955755"/>
      <w:r>
        <w:rPr>
          <w:rFonts w:ascii="Times New Roman" w:hAnsi="Times New Roman"/>
          <w:b/>
          <w:color w:val="000000"/>
          <w:kern w:val="0"/>
          <w:sz w:val="24"/>
          <w:szCs w:val="24"/>
        </w:rPr>
        <w:t xml:space="preserve">8.8 </w:t>
      </w:r>
      <w:r>
        <w:rPr>
          <w:rFonts w:hint="eastAsia" w:ascii="Times New Roman" w:hAnsi="Times New Roman"/>
          <w:b/>
          <w:color w:val="000000"/>
          <w:kern w:val="0"/>
          <w:sz w:val="24"/>
          <w:szCs w:val="24"/>
        </w:rPr>
        <w:t>报告期末按公允价值占基金资产净值比例大小排序的前五名贵金属投资明细</w:t>
      </w:r>
      <w:bookmarkEnd w:id="40"/>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本基金本报告期末未持有贵金属。</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1" w:name="_Toc477955756"/>
      <w:r>
        <w:rPr>
          <w:rFonts w:ascii="Times New Roman" w:hAnsi="Times New Roman"/>
          <w:b/>
          <w:color w:val="000000"/>
          <w:kern w:val="0"/>
          <w:sz w:val="24"/>
          <w:szCs w:val="24"/>
        </w:rPr>
        <w:t xml:space="preserve">8.9 </w:t>
      </w:r>
      <w:r>
        <w:rPr>
          <w:rFonts w:hint="eastAsia" w:ascii="Times New Roman" w:hAnsi="Times New Roman"/>
          <w:b/>
          <w:color w:val="000000"/>
          <w:kern w:val="0"/>
          <w:sz w:val="24"/>
          <w:szCs w:val="24"/>
        </w:rPr>
        <w:t>期末按公允价值占基金资产净值比例大小排序的前五名权证投资明细</w:t>
      </w:r>
      <w:bookmarkEnd w:id="41"/>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本基金本报告期末未持有权证。</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2" w:name="_Toc477955757"/>
      <w:r>
        <w:rPr>
          <w:rFonts w:ascii="Times New Roman" w:hAnsi="Times New Roman"/>
          <w:b/>
          <w:color w:val="000000"/>
          <w:kern w:val="0"/>
          <w:sz w:val="24"/>
          <w:szCs w:val="24"/>
        </w:rPr>
        <w:t xml:space="preserve">8.10 </w:t>
      </w:r>
      <w:r>
        <w:rPr>
          <w:rFonts w:hint="eastAsia" w:ascii="Times New Roman" w:hAnsi="Times New Roman"/>
          <w:b/>
          <w:color w:val="000000"/>
          <w:kern w:val="0"/>
          <w:sz w:val="24"/>
          <w:szCs w:val="24"/>
        </w:rPr>
        <w:t>报告期末本基金投资的股指期货交易情况说明</w:t>
      </w:r>
      <w:bookmarkEnd w:id="42"/>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本基金本报告期未投资股指期货。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3" w:name="_Toc477955758"/>
      <w:r>
        <w:rPr>
          <w:rFonts w:ascii="Times New Roman" w:hAnsi="Times New Roman"/>
          <w:b/>
          <w:color w:val="000000"/>
          <w:kern w:val="0"/>
          <w:sz w:val="24"/>
          <w:szCs w:val="24"/>
        </w:rPr>
        <w:t xml:space="preserve">8.11 </w:t>
      </w:r>
      <w:r>
        <w:rPr>
          <w:rFonts w:hint="eastAsia" w:ascii="Times New Roman" w:hAnsi="Times New Roman"/>
          <w:b/>
          <w:color w:val="000000"/>
          <w:kern w:val="0"/>
          <w:sz w:val="24"/>
          <w:szCs w:val="24"/>
        </w:rPr>
        <w:t>报告期末本基金投资的国债期货交易情况说明</w:t>
      </w:r>
      <w:bookmarkEnd w:id="43"/>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本基金本报告期未投资国债期货。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4" w:name="_Toc477955759"/>
      <w:r>
        <w:rPr>
          <w:rFonts w:ascii="Times New Roman" w:hAnsi="Times New Roman"/>
          <w:b/>
          <w:color w:val="000000"/>
          <w:kern w:val="0"/>
          <w:sz w:val="24"/>
          <w:szCs w:val="24"/>
        </w:rPr>
        <w:t xml:space="preserve">8.12 </w:t>
      </w:r>
      <w:r>
        <w:rPr>
          <w:rFonts w:hint="eastAsia" w:ascii="Times New Roman" w:hAnsi="Times New Roman"/>
          <w:b/>
          <w:color w:val="000000"/>
          <w:kern w:val="0"/>
          <w:sz w:val="24"/>
          <w:szCs w:val="24"/>
        </w:rPr>
        <w:t>投资组合报告附注</w:t>
      </w:r>
      <w:bookmarkEnd w:id="44"/>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8.12.1</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本报告期内本基金投资的前十名证券发行主体未被监管部门立案调查，也未在编制日前一年内受到公开谴责和处罚。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8.12.2</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本基金投资的前十名股票未超出基金合同规定的备选股票库。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8.12.3 </w:t>
      </w:r>
      <w:r>
        <w:rPr>
          <w:rFonts w:hint="eastAsia" w:ascii="Times New Roman" w:hAnsi="Times New Roman"/>
          <w:b/>
          <w:color w:val="000000"/>
          <w:kern w:val="0"/>
          <w:sz w:val="24"/>
          <w:szCs w:val="24"/>
        </w:rPr>
        <w:t>期末其他各项资产构成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662"/>
        <w:gridCol w:w="4335"/>
        <w:gridCol w:w="3973"/>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金额</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22,215.16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105,866.23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应收股利</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9,352,484.27</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其他应收款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待摊费用</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9,480,565.66</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8.12.4 </w:t>
      </w:r>
      <w:r>
        <w:rPr>
          <w:rFonts w:hint="eastAsia" w:ascii="Times New Roman" w:hAnsi="Times New Roman"/>
          <w:b/>
          <w:color w:val="000000"/>
          <w:kern w:val="0"/>
          <w:sz w:val="24"/>
          <w:szCs w:val="24"/>
        </w:rPr>
        <w:t>期末持有的处于转股期的可转换债券明细</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本基金本报告期末未持有处于转股期的可转换债券。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8.12.5 </w:t>
      </w:r>
      <w:r>
        <w:rPr>
          <w:rFonts w:hint="eastAsia" w:ascii="Times New Roman" w:hAnsi="Times New Roman"/>
          <w:b/>
          <w:color w:val="000000"/>
          <w:kern w:val="0"/>
          <w:sz w:val="24"/>
          <w:szCs w:val="24"/>
        </w:rPr>
        <w:t>期末前十名股票中存在流通受限情况的说明</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662"/>
        <w:gridCol w:w="1445"/>
        <w:gridCol w:w="1445"/>
        <w:gridCol w:w="1806"/>
        <w:gridCol w:w="1806"/>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流通受限部分的公允价值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流通受限情况说明</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杭州解百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339,963.00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大晟文化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336,733.00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重大事项停牌</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5" w:name="_Toc477955760"/>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9 </w:t>
      </w:r>
      <w:r>
        <w:rPr>
          <w:rFonts w:hint="eastAsia" w:ascii="Times New Roman" w:hAnsi="Times New Roman"/>
          <w:b/>
          <w:color w:val="000000"/>
          <w:kern w:val="0"/>
          <w:sz w:val="24"/>
          <w:szCs w:val="24"/>
        </w:rPr>
        <w:t>基金份额持有人信息</w:t>
      </w:r>
      <w:bookmarkEnd w:id="45"/>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6" w:name="_Toc477955761"/>
      <w:r>
        <w:rPr>
          <w:rFonts w:ascii="Times New Roman" w:hAnsi="Times New Roman"/>
          <w:b/>
          <w:color w:val="000000"/>
          <w:kern w:val="0"/>
          <w:sz w:val="24"/>
          <w:szCs w:val="24"/>
        </w:rPr>
        <w:t xml:space="preserve">9.1 </w:t>
      </w:r>
      <w:r>
        <w:rPr>
          <w:rFonts w:hint="eastAsia" w:ascii="Times New Roman" w:hAnsi="Times New Roman"/>
          <w:b/>
          <w:color w:val="000000"/>
          <w:kern w:val="0"/>
          <w:sz w:val="24"/>
          <w:szCs w:val="24"/>
        </w:rPr>
        <w:t>期末基金份额持有人户数及持有人结构</w:t>
      </w:r>
      <w:bookmarkEnd w:id="46"/>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份额单位：份</w:t>
      </w:r>
    </w:p>
    <w:tbl>
      <w:tblPr>
        <w:tblStyle w:val="8"/>
        <w:tblW w:w="0" w:type="auto"/>
        <w:tblInd w:w="108" w:type="dxa"/>
        <w:tblLayout w:type="fixed"/>
        <w:tblCellMar>
          <w:top w:w="0" w:type="dxa"/>
          <w:left w:w="108" w:type="dxa"/>
          <w:bottom w:w="0" w:type="dxa"/>
          <w:right w:w="108" w:type="dxa"/>
        </w:tblCellMar>
      </w:tblPr>
      <w:tblGrid>
        <w:gridCol w:w="1023"/>
        <w:gridCol w:w="1445"/>
        <w:gridCol w:w="1445"/>
        <w:gridCol w:w="1445"/>
        <w:gridCol w:w="1083"/>
        <w:gridCol w:w="1445"/>
        <w:gridCol w:w="1084"/>
      </w:tblGrid>
      <w:tr>
        <w:tblPrEx>
          <w:tblCellMar>
            <w:top w:w="0" w:type="dxa"/>
            <w:left w:w="108" w:type="dxa"/>
            <w:bottom w:w="0" w:type="dxa"/>
            <w:right w:w="108" w:type="dxa"/>
          </w:tblCellMar>
        </w:tblPrEx>
        <w:trPr>
          <w:wBefore w:w="0" w:type="auto"/>
        </w:trPr>
        <w:tc>
          <w:tcPr>
            <w:tcW w:w="102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级别</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持有人户数</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户</w:t>
            </w:r>
            <w:r>
              <w:rPr>
                <w:rFonts w:ascii="Times New Roman" w:hAnsi="Times New Roman"/>
                <w:color w:val="000000"/>
                <w:kern w:val="0"/>
                <w:sz w:val="24"/>
                <w:szCs w:val="24"/>
              </w:rPr>
              <w:t>)</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户均持有的基金份额</w:t>
            </w:r>
          </w:p>
        </w:tc>
        <w:tc>
          <w:tcPr>
            <w:tcW w:w="5057"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持有人结构</w:t>
            </w:r>
          </w:p>
        </w:tc>
      </w:tr>
      <w:tr>
        <w:tblPrEx>
          <w:tblCellMar>
            <w:top w:w="0" w:type="dxa"/>
            <w:left w:w="108" w:type="dxa"/>
            <w:bottom w:w="0" w:type="dxa"/>
            <w:right w:w="108" w:type="dxa"/>
          </w:tblCellMar>
        </w:tblPrEx>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机构投资者</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个人投资者</w:t>
            </w:r>
          </w:p>
        </w:tc>
      </w:tr>
      <w:tr>
        <w:trPr>
          <w:wBefore w:w="0" w:type="auto"/>
        </w:trPr>
        <w:tc>
          <w:tcPr>
            <w:tcW w:w="102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占总份额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占总份额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比例</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A</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2,380,365.20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497,212,925.04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99.94%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283,400.79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C</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2,034.87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164,824.33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r>
        <w:tblPrEx>
          <w:tblCellMar>
            <w:top w:w="0" w:type="dxa"/>
            <w:left w:w="108" w:type="dxa"/>
            <w:bottom w:w="0" w:type="dxa"/>
            <w:right w:w="108" w:type="dxa"/>
          </w:tblCellMar>
        </w:tblPrEx>
        <w:trPr>
          <w:wBefore w:w="0" w:type="auto"/>
        </w:trPr>
        <w:tc>
          <w:tcPr>
            <w:tcW w:w="10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1,764,755.85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497,212,925.04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99.91%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448,225.12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0.09%</w:t>
            </w:r>
          </w:p>
        </w:tc>
      </w:tr>
    </w:tbl>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7" w:name="_Toc477955762"/>
      <w:r>
        <w:rPr>
          <w:rFonts w:ascii="Times New Roman" w:hAnsi="Times New Roman"/>
          <w:b/>
          <w:color w:val="000000"/>
          <w:kern w:val="0"/>
          <w:sz w:val="24"/>
          <w:szCs w:val="24"/>
        </w:rPr>
        <w:t xml:space="preserve">9.2 </w:t>
      </w:r>
      <w:r>
        <w:rPr>
          <w:rFonts w:hint="eastAsia" w:ascii="Times New Roman" w:hAnsi="Times New Roman"/>
          <w:b/>
          <w:color w:val="000000"/>
          <w:kern w:val="0"/>
          <w:sz w:val="24"/>
          <w:szCs w:val="24"/>
        </w:rPr>
        <w:t>期末基金管理人的从业人员持有本基金的情况</w:t>
      </w:r>
      <w:bookmarkEnd w:id="47"/>
    </w:p>
    <w:tbl>
      <w:tblPr>
        <w:tblStyle w:val="8"/>
        <w:tblW w:w="0" w:type="auto"/>
        <w:tblInd w:w="108" w:type="dxa"/>
        <w:tblLayout w:type="fixed"/>
        <w:tblCellMar>
          <w:top w:w="0" w:type="dxa"/>
          <w:left w:w="108" w:type="dxa"/>
          <w:bottom w:w="0" w:type="dxa"/>
          <w:right w:w="108" w:type="dxa"/>
        </w:tblCellMar>
      </w:tblPr>
      <w:tblGrid>
        <w:gridCol w:w="3191"/>
        <w:gridCol w:w="1444"/>
        <w:gridCol w:w="2168"/>
        <w:gridCol w:w="2167"/>
      </w:tblGrid>
      <w:tr>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份额级别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持有份额总数（份）</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占基金总份额比例</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基金管理人所有从业人员持有本基金</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29,352.55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0.005900%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2.427190%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33,353.15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0.006702%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8" w:name="_Toc477955763"/>
      <w:r>
        <w:rPr>
          <w:rFonts w:ascii="Times New Roman" w:hAnsi="Times New Roman"/>
          <w:b/>
          <w:color w:val="000000"/>
          <w:kern w:val="0"/>
          <w:sz w:val="24"/>
          <w:szCs w:val="24"/>
        </w:rPr>
        <w:t xml:space="preserve">9.3 </w:t>
      </w:r>
      <w:r>
        <w:rPr>
          <w:rFonts w:hint="eastAsia" w:ascii="Times New Roman" w:hAnsi="Times New Roman"/>
          <w:b/>
          <w:color w:val="000000"/>
          <w:kern w:val="0"/>
          <w:sz w:val="24"/>
          <w:szCs w:val="24"/>
        </w:rPr>
        <w:t>期末基金管理人的从业人员持有本开放式基金份额总量区间情况</w:t>
      </w:r>
      <w:bookmarkEnd w:id="48"/>
    </w:p>
    <w:tbl>
      <w:tblPr>
        <w:tblStyle w:val="8"/>
        <w:tblW w:w="0" w:type="auto"/>
        <w:tblInd w:w="108" w:type="dxa"/>
        <w:tblLayout w:type="fixed"/>
        <w:tblCellMar>
          <w:top w:w="0" w:type="dxa"/>
          <w:left w:w="108" w:type="dxa"/>
          <w:bottom w:w="0" w:type="dxa"/>
          <w:right w:w="108" w:type="dxa"/>
        </w:tblCellMar>
      </w:tblPr>
      <w:tblGrid>
        <w:gridCol w:w="3191"/>
        <w:gridCol w:w="2167"/>
        <w:gridCol w:w="3612"/>
      </w:tblGrid>
      <w:tr>
        <w:tblPrEx>
          <w:tblCellMar>
            <w:top w:w="0" w:type="dxa"/>
            <w:left w:w="108" w:type="dxa"/>
            <w:bottom w:w="0" w:type="dxa"/>
            <w:right w:w="108" w:type="dxa"/>
          </w:tblCellMar>
        </w:tblPrEx>
        <w:trPr>
          <w:wBefore w:w="0" w:type="auto"/>
        </w:trPr>
        <w:tc>
          <w:tcPr>
            <w:tcW w:w="319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份额级别</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持有基金份额总量的数量区间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（万份）</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本公司高级管理人员、基金投资和研究部门负责人持有本开放式基金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本基金基金经理持有本开放式基金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19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9" w:name="_Toc477955764"/>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10 </w:t>
      </w:r>
      <w:r>
        <w:rPr>
          <w:rFonts w:hint="eastAsia" w:ascii="Times New Roman" w:hAnsi="Times New Roman"/>
          <w:b/>
          <w:color w:val="000000"/>
          <w:kern w:val="0"/>
          <w:sz w:val="24"/>
          <w:szCs w:val="24"/>
        </w:rPr>
        <w:t>开放式基金份额变动</w:t>
      </w:r>
      <w:bookmarkEnd w:id="49"/>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单位：份</w:t>
      </w:r>
    </w:p>
    <w:tbl>
      <w:tblPr>
        <w:tblStyle w:val="8"/>
        <w:tblW w:w="0" w:type="auto"/>
        <w:tblInd w:w="108" w:type="dxa"/>
        <w:tblLayout w:type="fixed"/>
        <w:tblCellMar>
          <w:top w:w="0" w:type="dxa"/>
          <w:left w:w="108" w:type="dxa"/>
          <w:bottom w:w="0" w:type="dxa"/>
          <w:right w:w="108" w:type="dxa"/>
        </w:tblCellMar>
      </w:tblPr>
      <w:tblGrid>
        <w:gridCol w:w="3913"/>
        <w:gridCol w:w="2528"/>
        <w:gridCol w:w="2529"/>
      </w:tblGrid>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A</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08</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500,349,524.01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431,722.30</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本报告期期初基金份额总额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本报告期基金总申购份额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497,358,539.68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33,905.76</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减：本报告期基金总赎回份额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500,211,737.86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300,803.73</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本报告期基金拆分变动份额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本报告期期末基金份额总额</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497,496,325.83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164,824.33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50" w:name="_Toc477955765"/>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11 </w:t>
      </w:r>
      <w:r>
        <w:rPr>
          <w:rFonts w:hint="eastAsia" w:ascii="Times New Roman" w:hAnsi="Times New Roman"/>
          <w:b/>
          <w:color w:val="000000"/>
          <w:kern w:val="0"/>
          <w:sz w:val="24"/>
          <w:szCs w:val="24"/>
        </w:rPr>
        <w:t>重大事件揭示</w:t>
      </w:r>
      <w:bookmarkEnd w:id="50"/>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1" w:name="_Toc477955766"/>
      <w:r>
        <w:rPr>
          <w:rFonts w:ascii="Times New Roman" w:hAnsi="Times New Roman"/>
          <w:b/>
          <w:color w:val="000000"/>
          <w:kern w:val="0"/>
          <w:sz w:val="24"/>
          <w:szCs w:val="24"/>
        </w:rPr>
        <w:t xml:space="preserve">11.1 </w:t>
      </w:r>
      <w:r>
        <w:rPr>
          <w:rFonts w:hint="eastAsia" w:ascii="Times New Roman" w:hAnsi="Times New Roman"/>
          <w:b/>
          <w:color w:val="000000"/>
          <w:kern w:val="0"/>
          <w:sz w:val="24"/>
          <w:szCs w:val="24"/>
        </w:rPr>
        <w:t>基金份额持有人大会决议</w:t>
      </w:r>
      <w:bookmarkEnd w:id="51"/>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本报告期内未召开基金份额持有人大会。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2" w:name="_Toc477955767"/>
      <w:r>
        <w:rPr>
          <w:rFonts w:ascii="Times New Roman" w:hAnsi="Times New Roman"/>
          <w:b/>
          <w:color w:val="000000"/>
          <w:kern w:val="0"/>
          <w:sz w:val="24"/>
          <w:szCs w:val="24"/>
        </w:rPr>
        <w:t xml:space="preserve">11.2 </w:t>
      </w:r>
      <w:r>
        <w:rPr>
          <w:rFonts w:hint="eastAsia" w:ascii="Times New Roman" w:hAnsi="Times New Roman"/>
          <w:b/>
          <w:color w:val="000000"/>
          <w:kern w:val="0"/>
          <w:sz w:val="24"/>
          <w:szCs w:val="24"/>
        </w:rPr>
        <w:t>基金管理人、基金托管人的专门基金托管部门的重大人事变动</w:t>
      </w:r>
      <w:bookmarkEnd w:id="52"/>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本报告期内基金管理人、基金托管人的专门基金托管部门无重大人事变动。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3" w:name="_Toc477955768"/>
      <w:r>
        <w:rPr>
          <w:rFonts w:ascii="Times New Roman" w:hAnsi="Times New Roman"/>
          <w:b/>
          <w:color w:val="000000"/>
          <w:kern w:val="0"/>
          <w:sz w:val="24"/>
          <w:szCs w:val="24"/>
        </w:rPr>
        <w:t xml:space="preserve">11.3 </w:t>
      </w:r>
      <w:r>
        <w:rPr>
          <w:rFonts w:hint="eastAsia" w:ascii="Times New Roman" w:hAnsi="Times New Roman"/>
          <w:b/>
          <w:color w:val="000000"/>
          <w:kern w:val="0"/>
          <w:sz w:val="24"/>
          <w:szCs w:val="24"/>
        </w:rPr>
        <w:t>涉及基金管理人、基金财产、基金托管业务的诉讼</w:t>
      </w:r>
      <w:bookmarkEnd w:id="53"/>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本报告期内，无涉及基金管理人、基金财产、基金托管业务的诉讼。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4" w:name="_Toc477955769"/>
      <w:r>
        <w:rPr>
          <w:rFonts w:ascii="Times New Roman" w:hAnsi="Times New Roman"/>
          <w:b/>
          <w:color w:val="000000"/>
          <w:kern w:val="0"/>
          <w:sz w:val="24"/>
          <w:szCs w:val="24"/>
        </w:rPr>
        <w:t xml:space="preserve">11.4 </w:t>
      </w:r>
      <w:r>
        <w:rPr>
          <w:rFonts w:hint="eastAsia" w:ascii="Times New Roman" w:hAnsi="Times New Roman"/>
          <w:b/>
          <w:color w:val="000000"/>
          <w:kern w:val="0"/>
          <w:sz w:val="24"/>
          <w:szCs w:val="24"/>
        </w:rPr>
        <w:t>基金投资策略的改变</w:t>
      </w:r>
      <w:bookmarkEnd w:id="54"/>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本报告期内基金投资策略无重大改变。</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5" w:name="_Toc477955770"/>
      <w:r>
        <w:rPr>
          <w:rFonts w:ascii="Times New Roman" w:hAnsi="Times New Roman"/>
          <w:b/>
          <w:color w:val="000000"/>
          <w:kern w:val="0"/>
          <w:sz w:val="24"/>
          <w:szCs w:val="24"/>
        </w:rPr>
        <w:t xml:space="preserve">11.5 </w:t>
      </w:r>
      <w:r>
        <w:rPr>
          <w:rFonts w:hint="eastAsia" w:ascii="Times New Roman" w:hAnsi="Times New Roman"/>
          <w:b/>
          <w:color w:val="000000"/>
          <w:kern w:val="0"/>
          <w:sz w:val="24"/>
          <w:szCs w:val="24"/>
        </w:rPr>
        <w:t>为基金进行审计的会计师事务所情况</w:t>
      </w:r>
      <w:bookmarkEnd w:id="55"/>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本报告期内本基金未更换会计师事务所，本年度支付给普华永道中天会计师事务所</w:t>
      </w:r>
      <w:r>
        <w:rPr>
          <w:rFonts w:ascii="Times New Roman" w:hAnsi="Times New Roman"/>
          <w:color w:val="000000"/>
          <w:kern w:val="0"/>
          <w:sz w:val="24"/>
          <w:szCs w:val="24"/>
        </w:rPr>
        <w:t>(</w:t>
      </w:r>
      <w:r>
        <w:rPr>
          <w:rFonts w:hint="eastAsia" w:ascii="Times New Roman" w:hAnsi="Times New Roman"/>
          <w:color w:val="000000"/>
          <w:kern w:val="0"/>
          <w:sz w:val="24"/>
          <w:szCs w:val="24"/>
        </w:rPr>
        <w:t>特殊普通合伙</w:t>
      </w:r>
      <w:r>
        <w:rPr>
          <w:rFonts w:ascii="Times New Roman" w:hAnsi="Times New Roman"/>
          <w:color w:val="000000"/>
          <w:kern w:val="0"/>
          <w:sz w:val="24"/>
          <w:szCs w:val="24"/>
        </w:rPr>
        <w:t>)</w:t>
      </w:r>
      <w:r>
        <w:rPr>
          <w:rFonts w:hint="eastAsia" w:ascii="Times New Roman" w:hAnsi="Times New Roman"/>
          <w:color w:val="000000"/>
          <w:kern w:val="0"/>
          <w:sz w:val="24"/>
          <w:szCs w:val="24"/>
        </w:rPr>
        <w:t>审计费用</w:t>
      </w:r>
      <w:r>
        <w:rPr>
          <w:rFonts w:ascii="Times New Roman" w:hAnsi="Times New Roman"/>
          <w:color w:val="000000"/>
          <w:kern w:val="0"/>
          <w:sz w:val="24"/>
          <w:szCs w:val="24"/>
        </w:rPr>
        <w:t>65,000.00</w:t>
      </w:r>
      <w:r>
        <w:rPr>
          <w:rFonts w:hint="eastAsia" w:ascii="Times New Roman" w:hAnsi="Times New Roman"/>
          <w:color w:val="000000"/>
          <w:kern w:val="0"/>
          <w:sz w:val="24"/>
          <w:szCs w:val="24"/>
        </w:rPr>
        <w:t>元，该审计机构连续提供审计服务的年限为</w:t>
      </w:r>
      <w:r>
        <w:rPr>
          <w:rFonts w:ascii="Times New Roman" w:hAnsi="Times New Roman"/>
          <w:color w:val="000000"/>
          <w:kern w:val="0"/>
          <w:sz w:val="24"/>
          <w:szCs w:val="24"/>
        </w:rPr>
        <w:t>1</w:t>
      </w:r>
      <w:r>
        <w:rPr>
          <w:rFonts w:hint="eastAsia" w:ascii="Times New Roman" w:hAnsi="Times New Roman"/>
          <w:color w:val="000000"/>
          <w:kern w:val="0"/>
          <w:sz w:val="24"/>
          <w:szCs w:val="24"/>
        </w:rPr>
        <w:t>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6" w:name="_Toc477955771"/>
      <w:r>
        <w:rPr>
          <w:rFonts w:ascii="Times New Roman" w:hAnsi="Times New Roman"/>
          <w:b/>
          <w:color w:val="000000"/>
          <w:kern w:val="0"/>
          <w:sz w:val="24"/>
          <w:szCs w:val="24"/>
        </w:rPr>
        <w:t xml:space="preserve">11.6 </w:t>
      </w:r>
      <w:r>
        <w:rPr>
          <w:rFonts w:hint="eastAsia" w:ascii="Times New Roman" w:hAnsi="Times New Roman"/>
          <w:b/>
          <w:color w:val="000000"/>
          <w:kern w:val="0"/>
          <w:sz w:val="24"/>
          <w:szCs w:val="24"/>
        </w:rPr>
        <w:t>管理人、托管人及其高级管理人员受稽查或处罚等情况</w:t>
      </w:r>
      <w:bookmarkEnd w:id="56"/>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本报告期内，基金管理人、基金托管人及其高级管理人员没有受到监管部门稽查或处罚等情况。</w:t>
      </w: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7" w:name="_Toc477955772"/>
      <w:r>
        <w:rPr>
          <w:rFonts w:ascii="Times New Roman" w:hAnsi="Times New Roman"/>
          <w:b/>
          <w:color w:val="000000"/>
          <w:kern w:val="0"/>
          <w:sz w:val="24"/>
          <w:szCs w:val="24"/>
        </w:rPr>
        <w:t xml:space="preserve">11.7 </w:t>
      </w:r>
      <w:r>
        <w:rPr>
          <w:rFonts w:hint="eastAsia" w:ascii="Times New Roman" w:hAnsi="Times New Roman"/>
          <w:b/>
          <w:color w:val="000000"/>
          <w:kern w:val="0"/>
          <w:sz w:val="24"/>
          <w:szCs w:val="24"/>
        </w:rPr>
        <w:t>基金租用证券公司交易单元的有关情况</w:t>
      </w:r>
      <w:bookmarkEnd w:id="57"/>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11.7.1 </w:t>
      </w:r>
      <w:r>
        <w:rPr>
          <w:rFonts w:hint="eastAsia" w:ascii="Times New Roman" w:hAnsi="Times New Roman"/>
          <w:b/>
          <w:color w:val="000000"/>
          <w:kern w:val="0"/>
          <w:sz w:val="24"/>
          <w:szCs w:val="24"/>
        </w:rPr>
        <w:t>基金租用证券公司交易单元进行股票投资及佣金支付情况</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385"/>
        <w:gridCol w:w="1083"/>
        <w:gridCol w:w="1084"/>
        <w:gridCol w:w="1445"/>
        <w:gridCol w:w="1083"/>
        <w:gridCol w:w="1445"/>
        <w:gridCol w:w="1445"/>
      </w:tblGrid>
      <w:tr>
        <w:tblPrEx>
          <w:tblCellMar>
            <w:top w:w="0" w:type="dxa"/>
            <w:left w:w="108" w:type="dxa"/>
            <w:bottom w:w="0" w:type="dxa"/>
            <w:right w:w="108" w:type="dxa"/>
          </w:tblCellMar>
        </w:tblPrEx>
        <w:trPr>
          <w:wBefore w:w="0" w:type="auto"/>
        </w:trPr>
        <w:tc>
          <w:tcPr>
            <w:tcW w:w="138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券商名称</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交易单元</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数量</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股票交易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应支付该券商的佣金</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备注</w:t>
            </w:r>
          </w:p>
        </w:tc>
      </w:tr>
      <w:tr>
        <w:tblPrEx>
          <w:tblCellMar>
            <w:top w:w="0" w:type="dxa"/>
            <w:left w:w="108" w:type="dxa"/>
            <w:bottom w:w="0" w:type="dxa"/>
            <w:right w:w="108" w:type="dxa"/>
          </w:tblCellMar>
        </w:tblPrEx>
        <w:trPr>
          <w:wBefore w:w="0" w:type="auto"/>
        </w:trPr>
        <w:tc>
          <w:tcPr>
            <w:tcW w:w="138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占股票</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占当期佣金</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总量的比例</w:t>
            </w: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125,506,630.74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43.35%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90,631.43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37.51%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光大证券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164,027,960.51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56.65%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150,982.76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62.49%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注：交易单元的选择标准和程序：</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1</w:t>
      </w:r>
      <w:r>
        <w:rPr>
          <w:rFonts w:hint="eastAsia" w:ascii="Times New Roman" w:hAnsi="Times New Roman"/>
          <w:color w:val="000000"/>
          <w:kern w:val="0"/>
          <w:szCs w:val="24"/>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2</w:t>
      </w:r>
      <w:r>
        <w:rPr>
          <w:rFonts w:hint="eastAsia" w:ascii="Times New Roman" w:hAnsi="Times New Roman"/>
          <w:color w:val="000000"/>
          <w:kern w:val="0"/>
          <w:szCs w:val="24"/>
        </w:rPr>
        <w:t>）财务状况良好，各项财务指标显示公司经营状况稳定；</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3</w:t>
      </w:r>
      <w:r>
        <w:rPr>
          <w:rFonts w:hint="eastAsia" w:ascii="Times New Roman" w:hAnsi="Times New Roman"/>
          <w:color w:val="000000"/>
          <w:kern w:val="0"/>
          <w:szCs w:val="24"/>
        </w:rPr>
        <w:t>）经营行为规范，内部管理规范、严格，具备健全的内部控制制度，并能满足基金运作高度保密的要求；</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4</w:t>
      </w:r>
      <w:r>
        <w:rPr>
          <w:rFonts w:hint="eastAsia" w:ascii="Times New Roman" w:hAnsi="Times New Roman"/>
          <w:color w:val="000000"/>
          <w:kern w:val="0"/>
          <w:szCs w:val="24"/>
        </w:rPr>
        <w:t>）具备基金运作所需的高效、安全的通讯条件，交易设施符合代理基金进行证券交易的需要，并能为基金提供全面的信息服务。</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基金管理人根据以上标准进行考察后确定租用券商的交易单元，并与被选中的证券经营机构签订交易单元租用协议。</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本基金在报告期内成立，交易单元均于本期内新增。</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11.7.2 </w:t>
      </w:r>
      <w:r>
        <w:rPr>
          <w:rFonts w:hint="eastAsia" w:ascii="Times New Roman" w:hAnsi="Times New Roman"/>
          <w:b/>
          <w:color w:val="000000"/>
          <w:kern w:val="0"/>
          <w:sz w:val="24"/>
          <w:szCs w:val="24"/>
        </w:rPr>
        <w:t>基金租用证券公司交易单元进行其他证券投资的情况</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385"/>
        <w:gridCol w:w="1083"/>
        <w:gridCol w:w="1445"/>
        <w:gridCol w:w="1084"/>
        <w:gridCol w:w="1444"/>
        <w:gridCol w:w="1084"/>
        <w:gridCol w:w="1445"/>
      </w:tblGrid>
      <w:tr>
        <w:tblPrEx>
          <w:tblCellMar>
            <w:top w:w="0" w:type="dxa"/>
            <w:left w:w="108" w:type="dxa"/>
            <w:bottom w:w="0" w:type="dxa"/>
            <w:right w:w="108" w:type="dxa"/>
          </w:tblCellMar>
        </w:tblPrEx>
        <w:trPr>
          <w:wBefore w:w="0" w:type="auto"/>
        </w:trPr>
        <w:tc>
          <w:tcPr>
            <w:tcW w:w="138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券商名称</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债券交易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债券回购交易</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权证交易</w:t>
            </w:r>
          </w:p>
        </w:tc>
      </w:tr>
      <w:tr>
        <w:tblPrEx>
          <w:tblCellMar>
            <w:top w:w="0" w:type="dxa"/>
            <w:left w:w="108" w:type="dxa"/>
            <w:bottom w:w="0" w:type="dxa"/>
            <w:right w:w="108" w:type="dxa"/>
          </w:tblCellMar>
        </w:tblPrEx>
        <w:trPr>
          <w:wBefore w:w="0" w:type="auto"/>
        </w:trPr>
        <w:tc>
          <w:tcPr>
            <w:tcW w:w="138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占债券</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占债券回购</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占权证</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375,000,000.00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38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光大证券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8" w:name="_Toc477955773"/>
      <w:r>
        <w:rPr>
          <w:rFonts w:ascii="Times New Roman" w:hAnsi="Times New Roman"/>
          <w:b/>
          <w:color w:val="000000"/>
          <w:kern w:val="0"/>
          <w:sz w:val="24"/>
          <w:szCs w:val="24"/>
        </w:rPr>
        <w:t xml:space="preserve">11.8 </w:t>
      </w:r>
      <w:r>
        <w:rPr>
          <w:rFonts w:hint="eastAsia" w:ascii="Times New Roman" w:hAnsi="Times New Roman"/>
          <w:b/>
          <w:color w:val="000000"/>
          <w:kern w:val="0"/>
          <w:sz w:val="24"/>
          <w:szCs w:val="24"/>
        </w:rPr>
        <w:t>其他重大事件</w:t>
      </w:r>
      <w:bookmarkEnd w:id="58"/>
    </w:p>
    <w:tbl>
      <w:tblPr>
        <w:tblStyle w:val="8"/>
        <w:tblW w:w="0" w:type="auto"/>
        <w:tblInd w:w="108" w:type="dxa"/>
        <w:tblLayout w:type="fixed"/>
        <w:tblCellMar>
          <w:top w:w="0" w:type="dxa"/>
          <w:left w:w="108" w:type="dxa"/>
          <w:bottom w:w="0" w:type="dxa"/>
          <w:right w:w="108" w:type="dxa"/>
        </w:tblCellMar>
      </w:tblPr>
      <w:tblGrid>
        <w:gridCol w:w="662"/>
        <w:gridCol w:w="3612"/>
        <w:gridCol w:w="2890"/>
        <w:gridCol w:w="1806"/>
      </w:tblGrid>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公告事项</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法定披露方式</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法定披露日期</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创金合信鑫回报灵活配置混合型证券投资基金基金份额发售公告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公司官网、中国证券报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创金合信鑫回报灵活配置混合型证券投资基金基金合同</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创金合信鑫回报灵活配置混合型证券投资基金基金合同摘要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创金合信鑫回报灵活配置混合型证券投资基金托管协议</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创金合信鑫回报灵活配置混合型证券投资基金招募说明书</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创金合信鑫回报灵活配置混合型证券投资基金基金合同生效公告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2016-08-23</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创金合信鑫回报灵活配置混合型证券投资基金开放日常申购（赎回和定期定额投资）业务公告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创金合信鑫回报灵活配置混合型证券投资基金暂停（大额）申购（转换转入、赎回、转换转出、定期定额投资）公告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2016-08-25</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创金合信鑫回报灵活配置混合型证券投资基金基金经理变更公告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2016-09-06</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创金合信鑫回报灵活配置混合型证券投资基金恢复大额申购公告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2016-09-14</w:t>
            </w:r>
          </w:p>
        </w:tc>
      </w:tr>
      <w:tr>
        <w:tblPrEx>
          <w:tblCellMar>
            <w:top w:w="0" w:type="dxa"/>
            <w:left w:w="108" w:type="dxa"/>
            <w:bottom w:w="0" w:type="dxa"/>
            <w:right w:w="108" w:type="dxa"/>
          </w:tblCellMar>
        </w:tblPrEx>
        <w:trPr>
          <w:wBefore w:w="0" w:type="auto"/>
        </w:trPr>
        <w:tc>
          <w:tcPr>
            <w:tcW w:w="66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创金合信鑫回报灵活配置混合型证券投资基金暂停大额申购公告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2016-10-13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59" w:name="_Toc477955774"/>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12 </w:t>
      </w:r>
      <w:r>
        <w:rPr>
          <w:rFonts w:hint="eastAsia" w:ascii="Times New Roman" w:hAnsi="Times New Roman"/>
          <w:b/>
          <w:color w:val="000000"/>
          <w:kern w:val="0"/>
          <w:sz w:val="24"/>
          <w:szCs w:val="24"/>
        </w:rPr>
        <w:t>影响投资者决策的其他重要信息</w:t>
      </w:r>
      <w:bookmarkEnd w:id="59"/>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本报告期内，未出现影响投资者决策的其他重要信息。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60" w:name="_Toc477955775"/>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13 </w:t>
      </w:r>
      <w:r>
        <w:rPr>
          <w:rFonts w:hint="eastAsia" w:ascii="Times New Roman" w:hAnsi="Times New Roman"/>
          <w:b/>
          <w:color w:val="000000"/>
          <w:kern w:val="0"/>
          <w:sz w:val="24"/>
          <w:szCs w:val="24"/>
        </w:rPr>
        <w:t>备查文件目录</w:t>
      </w:r>
      <w:bookmarkEnd w:id="60"/>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1" w:name="_Toc477955776"/>
      <w:r>
        <w:rPr>
          <w:rFonts w:ascii="Times New Roman" w:hAnsi="Times New Roman"/>
          <w:b/>
          <w:color w:val="000000"/>
          <w:kern w:val="0"/>
          <w:sz w:val="24"/>
          <w:szCs w:val="24"/>
        </w:rPr>
        <w:t xml:space="preserve">13.1 </w:t>
      </w:r>
      <w:r>
        <w:rPr>
          <w:rFonts w:hint="eastAsia" w:ascii="Times New Roman" w:hAnsi="Times New Roman"/>
          <w:b/>
          <w:color w:val="000000"/>
          <w:kern w:val="0"/>
          <w:sz w:val="24"/>
          <w:szCs w:val="24"/>
        </w:rPr>
        <w:t>备查文件目录</w:t>
      </w:r>
      <w:bookmarkEnd w:id="61"/>
    </w:p>
    <w:p>
      <w:pPr>
        <w:autoSpaceDE w:val="0"/>
        <w:autoSpaceDN w:val="0"/>
        <w:adjustRightInd w:val="0"/>
        <w:spacing w:before="29" w:line="288" w:lineRule="auto"/>
        <w:ind w:left="15" w:leftChars="7" w:firstLine="480" w:firstLineChars="200"/>
        <w:jc w:val="left"/>
        <w:rPr>
          <w:rFonts w:hint="eastAsia"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、《创金合信鑫回报灵活配置混合型证券投资基金基金合同》；</w:t>
      </w:r>
    </w:p>
    <w:p>
      <w:pPr>
        <w:autoSpaceDE w:val="0"/>
        <w:autoSpaceDN w:val="0"/>
        <w:adjustRightInd w:val="0"/>
        <w:spacing w:before="29" w:line="288" w:lineRule="auto"/>
        <w:ind w:left="15" w:leftChars="7" w:firstLine="480" w:firstLineChars="200"/>
        <w:jc w:val="left"/>
        <w:rPr>
          <w:rFonts w:hint="eastAsia"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、《创金合信鑫回报灵活配置混合型证券投资基金招募说明书》；</w:t>
      </w:r>
    </w:p>
    <w:p>
      <w:pPr>
        <w:autoSpaceDE w:val="0"/>
        <w:autoSpaceDN w:val="0"/>
        <w:adjustRightInd w:val="0"/>
        <w:spacing w:before="29" w:line="288" w:lineRule="auto"/>
        <w:ind w:left="15" w:leftChars="7" w:firstLine="480" w:firstLineChars="200"/>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、创金合信鑫回报灵活配置混合型证券投资基金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年年度报告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2" w:name="_Toc477955777"/>
      <w:r>
        <w:rPr>
          <w:rFonts w:ascii="Times New Roman" w:hAnsi="Times New Roman"/>
          <w:b/>
          <w:color w:val="000000"/>
          <w:kern w:val="0"/>
          <w:sz w:val="24"/>
          <w:szCs w:val="24"/>
        </w:rPr>
        <w:t xml:space="preserve">13.2 </w:t>
      </w:r>
      <w:r>
        <w:rPr>
          <w:rFonts w:hint="eastAsia" w:ascii="Times New Roman" w:hAnsi="Times New Roman"/>
          <w:b/>
          <w:color w:val="000000"/>
          <w:kern w:val="0"/>
          <w:sz w:val="24"/>
          <w:szCs w:val="24"/>
        </w:rPr>
        <w:t>存放地点</w:t>
      </w:r>
      <w:bookmarkEnd w:id="62"/>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深圳市福田中心区福华一路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3" w:name="_Toc477955778"/>
      <w:r>
        <w:rPr>
          <w:rFonts w:ascii="Times New Roman" w:hAnsi="Times New Roman"/>
          <w:b/>
          <w:color w:val="000000"/>
          <w:kern w:val="0"/>
          <w:sz w:val="24"/>
          <w:szCs w:val="24"/>
        </w:rPr>
        <w:t xml:space="preserve">13.3 </w:t>
      </w:r>
      <w:r>
        <w:rPr>
          <w:rFonts w:hint="eastAsia" w:ascii="Times New Roman" w:hAnsi="Times New Roman"/>
          <w:b/>
          <w:color w:val="000000"/>
          <w:kern w:val="0"/>
          <w:sz w:val="24"/>
          <w:szCs w:val="24"/>
        </w:rPr>
        <w:t>查阅方式</w:t>
      </w:r>
      <w:bookmarkEnd w:id="63"/>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www.cjhxfund.com</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firstLine="482"/>
        <w:jc w:val="right"/>
        <w:rPr>
          <w:rFonts w:ascii="Times New Roman" w:hAnsi="Times New Roman"/>
          <w:b/>
          <w:color w:val="000000"/>
          <w:kern w:val="0"/>
          <w:sz w:val="24"/>
          <w:szCs w:val="24"/>
        </w:rPr>
      </w:pPr>
      <w:r>
        <w:rPr>
          <w:rFonts w:hint="eastAsia" w:ascii="Times New Roman" w:hAnsi="Times New Roman"/>
          <w:b/>
          <w:color w:val="000000"/>
          <w:kern w:val="0"/>
          <w:sz w:val="24"/>
          <w:szCs w:val="24"/>
        </w:rPr>
        <w:t>创金合信基金管理有限公司</w:t>
      </w:r>
    </w:p>
    <w:p>
      <w:pPr>
        <w:autoSpaceDE w:val="0"/>
        <w:autoSpaceDN w:val="0"/>
        <w:adjustRightInd w:val="0"/>
        <w:spacing w:before="29" w:line="288" w:lineRule="auto"/>
        <w:ind w:left="15" w:firstLine="482"/>
        <w:jc w:val="right"/>
        <w:rPr>
          <w:rFonts w:ascii="Times New Roman" w:hAnsi="Times New Roman"/>
          <w:b/>
          <w:color w:val="000000"/>
          <w:kern w:val="0"/>
          <w:sz w:val="24"/>
          <w:szCs w:val="24"/>
        </w:rPr>
      </w:pPr>
      <w:r>
        <w:rPr>
          <w:rFonts w:hint="eastAsia" w:ascii="Times New Roman" w:hAnsi="Times New Roman"/>
          <w:b/>
          <w:color w:val="000000"/>
          <w:kern w:val="0"/>
          <w:sz w:val="24"/>
          <w:szCs w:val="24"/>
        </w:rPr>
        <w:t>二〇一七年三月二十七日</w:t>
      </w:r>
    </w:p>
    <w:sectPr>
      <w:pgSz w:w="11926" w:h="15840"/>
      <w:pgMar w:top="1420" w:right="1420" w:bottom="852" w:left="142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宋体" w:hAnsi="宋体" w:cs="宋体"/>
      </w:rPr>
    </w:pPr>
    <w:r>
      <w:rPr>
        <w:rFonts w:ascii="宋体"/>
        <w:sz w:val="24"/>
        <w:szCs w:val="24"/>
      </w:rPr>
      <w:t xml:space="preserve"> </w:t>
    </w:r>
    <w:r>
      <w:rPr>
        <w:rFonts w:hint="eastAsia" w:ascii="宋体" w:hAnsi="宋体" w:cs="宋体"/>
        <w:szCs w:val="21"/>
      </w:rPr>
      <w:t>第</w:t>
    </w:r>
    <w:r>
      <w:rPr>
        <w:rFonts w:ascii="宋体" w:hAnsi="宋体" w:cs="宋体"/>
        <w:szCs w:val="21"/>
      </w:rPr>
      <w:t xml:space="preserve"> </w:t>
    </w:r>
    <w:r>
      <w:rPr>
        <w:rFonts w:ascii="宋体" w:hAnsi="宋体" w:cs="宋体"/>
        <w:szCs w:val="21"/>
      </w:rPr>
      <w:fldChar w:fldCharType="begin"/>
    </w:r>
    <w:r>
      <w:rPr>
        <w:rFonts w:ascii="宋体" w:hAnsi="宋体" w:cs="宋体"/>
        <w:szCs w:val="21"/>
      </w:rPr>
      <w:instrText xml:space="preserve"> PAGE </w:instrText>
    </w:r>
    <w:r>
      <w:rPr>
        <w:rFonts w:ascii="宋体" w:hAnsi="宋体" w:cs="宋体"/>
        <w:szCs w:val="21"/>
      </w:rPr>
      <w:fldChar w:fldCharType="separate"/>
    </w:r>
    <w:r>
      <w:rPr>
        <w:rFonts w:ascii="宋体" w:hAnsi="宋体" w:cs="宋体"/>
        <w:szCs w:val="21"/>
        <w:lang/>
      </w:rPr>
      <w:t>6</w:t>
    </w:r>
    <w:r>
      <w:rPr>
        <w:rFonts w:ascii="宋体" w:hAnsi="宋体" w:cs="宋体"/>
        <w:szCs w:val="21"/>
      </w:rPr>
      <w:fldChar w:fldCharType="end"/>
    </w:r>
    <w:r>
      <w:rPr>
        <w:rFonts w:ascii="宋体" w:hAnsi="宋体" w:cs="宋体"/>
        <w:szCs w:val="21"/>
      </w:rPr>
      <w:t xml:space="preserve"> </w:t>
    </w:r>
    <w:r>
      <w:rPr>
        <w:rFonts w:hint="eastAsia" w:ascii="宋体" w:hAnsi="宋体" w:cs="宋体"/>
        <w:szCs w:val="21"/>
      </w:rPr>
      <w:t>页</w:t>
    </w:r>
    <w:r>
      <w:rPr>
        <w:rFonts w:ascii="宋体" w:hAnsi="宋体" w:cs="宋体"/>
        <w:szCs w:val="21"/>
      </w:rPr>
      <w:t xml:space="preserve"> </w:t>
    </w:r>
    <w:r>
      <w:rPr>
        <w:rFonts w:hint="eastAsia" w:ascii="宋体" w:hAnsi="宋体" w:cs="宋体"/>
        <w:szCs w:val="21"/>
      </w:rPr>
      <w:t>共</w:t>
    </w:r>
    <w:r>
      <w:rPr>
        <w:rFonts w:ascii="宋体" w:hAnsi="宋体" w:cs="宋体"/>
        <w:szCs w:val="21"/>
      </w:rPr>
      <w:t xml:space="preserve"> </w:t>
    </w:r>
    <w:r>
      <w:rPr>
        <w:rFonts w:ascii="宋体" w:hAnsi="宋体" w:cs="宋体"/>
        <w:szCs w:val="21"/>
      </w:rPr>
      <w:fldChar w:fldCharType="begin"/>
    </w:r>
    <w:r>
      <w:rPr>
        <w:rFonts w:ascii="宋体" w:hAnsi="宋体" w:cs="宋体"/>
        <w:szCs w:val="21"/>
      </w:rPr>
      <w:instrText xml:space="preserve"> NUMPAGES </w:instrText>
    </w:r>
    <w:r>
      <w:rPr>
        <w:rFonts w:ascii="宋体" w:hAnsi="宋体" w:cs="宋体"/>
        <w:szCs w:val="21"/>
      </w:rPr>
      <w:fldChar w:fldCharType="separate"/>
    </w:r>
    <w:r>
      <w:rPr>
        <w:rFonts w:ascii="宋体" w:hAnsi="宋体" w:cs="宋体"/>
        <w:szCs w:val="21"/>
        <w:lang/>
      </w:rPr>
      <w:t>38</w:t>
    </w:r>
    <w:r>
      <w:rPr>
        <w:rFonts w:ascii="宋体" w:hAnsi="宋体" w:cs="宋体"/>
        <w:szCs w:val="21"/>
      </w:rPr>
      <w:fldChar w:fldCharType="end"/>
    </w:r>
    <w:r>
      <w:rPr>
        <w:rFonts w:ascii="宋体" w:hAnsi="宋体" w:cs="宋体"/>
        <w:szCs w:val="21"/>
      </w:rPr>
      <w:t xml:space="preserve"> </w:t>
    </w:r>
    <w:r>
      <w:rPr>
        <w:rFonts w:hint="eastAsia" w:ascii="宋体" w:hAnsi="宋体" w:cs="宋体"/>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Layout w:type="fixed"/>
      <w:tblCellMar>
        <w:top w:w="0" w:type="dxa"/>
        <w:left w:w="108" w:type="dxa"/>
        <w:bottom w:w="0" w:type="dxa"/>
        <w:right w:w="108" w:type="dxa"/>
      </w:tblCellMar>
    </w:tblPr>
    <w:tblGrid>
      <w:gridCol w:w="301"/>
      <w:gridCol w:w="8669"/>
    </w:tblGrid>
    <w:tr>
      <w:tblPrEx>
        <w:tblCellMar>
          <w:top w:w="0" w:type="dxa"/>
          <w:left w:w="108" w:type="dxa"/>
          <w:bottom w:w="0" w:type="dxa"/>
          <w:right w:w="108" w:type="dxa"/>
        </w:tblCellMar>
      </w:tblPrEx>
      <w:trPr>
        <w:wBefore w:w="0" w:type="auto"/>
      </w:trPr>
      <w:tc>
        <w:tcPr>
          <w:tcW w:w="301" w:type="dxa"/>
          <w:tcBorders>
            <w:top w:val="nil"/>
            <w:left w:val="nil"/>
            <w:bottom w:val="nil"/>
            <w:right w:val="nil"/>
          </w:tcBorders>
          <w:noWrap w:val="0"/>
          <w:vAlign w:val="top"/>
        </w:tcPr>
        <w:p>
          <w:pPr>
            <w:autoSpaceDE w:val="0"/>
            <w:autoSpaceDN w:val="0"/>
            <w:adjustRightInd w:val="0"/>
            <w:spacing w:line="240" w:lineRule="atLeast"/>
            <w:jc w:val="left"/>
            <w:rPr>
              <w:rFonts w:ascii="宋体"/>
              <w:kern w:val="0"/>
              <w:sz w:val="24"/>
              <w:szCs w:val="24"/>
            </w:rPr>
          </w:pPr>
          <w:r>
            <w:rPr>
              <w:rFonts w:ascii="宋体"/>
              <w:kern w:val="0"/>
              <w:sz w:val="24"/>
              <w:szCs w:val="24"/>
            </w:rPr>
            <w:pict>
              <v:shape id="_x0000_i1025" o:spt="75" type="#_x0000_t75" style="height:17.65pt;width:17.65pt;" filled="f" stroked="f" coordsize="21600,21600">
                <v:path/>
                <v:fill on="f" focussize="0,0"/>
                <v:stroke on="f"/>
                <v:imagedata r:id="rId1" o:title=""/>
                <o:lock v:ext="edit" aspectratio="t"/>
                <w10:wrap type="none"/>
                <w10:anchorlock/>
              </v:shape>
            </w:pict>
          </w:r>
        </w:p>
      </w:tc>
      <w:tc>
        <w:tcPr>
          <w:tcW w:w="8669" w:type="dxa"/>
          <w:tcBorders>
            <w:top w:val="nil"/>
            <w:left w:val="nil"/>
            <w:bottom w:val="nil"/>
            <w:right w:val="nil"/>
          </w:tcBorders>
          <w:noWrap w:val="0"/>
          <w:vAlign w:val="center"/>
        </w:tcPr>
        <w:p>
          <w:pPr>
            <w:autoSpaceDE w:val="0"/>
            <w:autoSpaceDN w:val="0"/>
            <w:adjustRightInd w:val="0"/>
            <w:spacing w:before="30" w:line="211" w:lineRule="exact"/>
            <w:ind w:left="15"/>
            <w:jc w:val="right"/>
            <w:rPr>
              <w:rFonts w:ascii="宋体" w:cs="宋体"/>
              <w:color w:val="000000"/>
              <w:kern w:val="0"/>
              <w:szCs w:val="21"/>
            </w:rPr>
          </w:pPr>
          <w:r>
            <w:rPr>
              <w:rFonts w:hint="eastAsia" w:ascii="宋体" w:cs="宋体"/>
              <w:color w:val="000000"/>
              <w:kern w:val="0"/>
              <w:szCs w:val="21"/>
            </w:rPr>
            <w:t>创金合信鑫回报灵活配置混合型证券投资基金</w:t>
          </w:r>
          <w:r>
            <w:rPr>
              <w:rFonts w:ascii="宋体" w:cs="宋体"/>
              <w:color w:val="000000"/>
              <w:kern w:val="0"/>
              <w:szCs w:val="21"/>
            </w:rPr>
            <w:t>2016</w:t>
          </w:r>
          <w:r>
            <w:rPr>
              <w:rFonts w:hint="eastAsia" w:ascii="宋体" w:cs="宋体"/>
              <w:color w:val="000000"/>
              <w:kern w:val="0"/>
              <w:szCs w:val="21"/>
            </w:rPr>
            <w:t>年年度报告</w:t>
          </w:r>
        </w:p>
      </w:tc>
    </w:tr>
    <w:tr>
      <w:tblPrEx>
        <w:tblCellMar>
          <w:top w:w="0" w:type="dxa"/>
          <w:left w:w="108" w:type="dxa"/>
          <w:bottom w:w="0" w:type="dxa"/>
          <w:right w:w="108" w:type="dxa"/>
        </w:tblCellMar>
      </w:tblPrEx>
      <w:trPr>
        <w:wBefore w:w="0" w:type="auto"/>
      </w:trPr>
      <w:tc>
        <w:tcPr>
          <w:tcW w:w="8970" w:type="dxa"/>
          <w:gridSpan w:val="2"/>
          <w:tcBorders>
            <w:top w:val="single" w:color="000000" w:sz="8" w:space="0"/>
            <w:left w:val="nil"/>
            <w:bottom w:val="nil"/>
            <w:right w:val="nil"/>
          </w:tcBorders>
          <w:noWrap w:val="0"/>
          <w:vAlign w:val="top"/>
        </w:tcPr>
        <w:p>
          <w:pPr>
            <w:autoSpaceDE w:val="0"/>
            <w:autoSpaceDN w:val="0"/>
            <w:adjustRightInd w:val="0"/>
            <w:jc w:val="left"/>
            <w:rPr>
              <w:rFonts w:ascii="Arial" w:hAnsi="Arial" w:cs="Arial"/>
              <w:color w:val="000000"/>
              <w:kern w:val="0"/>
              <w:szCs w:val="21"/>
            </w:rPr>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trackRevisions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3CDE"/>
    <w:rsid w:val="00025A27"/>
    <w:rsid w:val="00052CA4"/>
    <w:rsid w:val="00207231"/>
    <w:rsid w:val="0051194C"/>
    <w:rsid w:val="00592E74"/>
    <w:rsid w:val="005A22BD"/>
    <w:rsid w:val="005F1737"/>
    <w:rsid w:val="00627F9B"/>
    <w:rsid w:val="00647AF8"/>
    <w:rsid w:val="006F295D"/>
    <w:rsid w:val="007723FD"/>
    <w:rsid w:val="00883762"/>
    <w:rsid w:val="009A4E3B"/>
    <w:rsid w:val="009E5D9A"/>
    <w:rsid w:val="00A635FA"/>
    <w:rsid w:val="00BD5D9B"/>
    <w:rsid w:val="00C55174"/>
    <w:rsid w:val="00C90FEE"/>
    <w:rsid w:val="00CA0C6D"/>
    <w:rsid w:val="00CD3CDE"/>
    <w:rsid w:val="00DB4F53"/>
    <w:rsid w:val="00E94C9F"/>
    <w:rsid w:val="00FC709C"/>
    <w:rsid w:val="186D06D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Style w:val="8"/>
      <w:tblCellMar>
        <w:top w:w="0" w:type="dxa"/>
        <w:left w:w="108" w:type="dxa"/>
        <w:bottom w:w="0" w:type="dxa"/>
        <w:right w:w="108" w:type="dxa"/>
      </w:tblCellMar>
    </w:tblPr>
    <w:trPr>
      <w:wBefore w:w="0" w:type="dxa"/>
    </w:trPr>
  </w:style>
  <w:style w:type="paragraph" w:styleId="2">
    <w:name w:val="Document Map"/>
    <w:basedOn w:val="1"/>
    <w:link w:val="11"/>
    <w:semiHidden/>
    <w:unhideWhenUsed/>
    <w:uiPriority w:val="99"/>
    <w:rPr>
      <w:rFonts w:ascii="宋体"/>
      <w:kern w:val="0"/>
      <w:sz w:val="18"/>
      <w:szCs w:val="18"/>
    </w:rPr>
  </w:style>
  <w:style w:type="paragraph" w:styleId="3">
    <w:name w:val="Balloon Text"/>
    <w:basedOn w:val="1"/>
    <w:link w:val="14"/>
    <w:semiHidden/>
    <w:unhideWhenUsed/>
    <w:uiPriority w:val="99"/>
    <w:rPr>
      <w:kern w:val="0"/>
      <w:sz w:val="18"/>
      <w:szCs w:val="18"/>
    </w:rPr>
  </w:style>
  <w:style w:type="paragraph" w:styleId="4">
    <w:name w:val="footer"/>
    <w:basedOn w:val="1"/>
    <w:link w:val="13"/>
    <w:semiHidden/>
    <w:unhideWhenUsed/>
    <w:uiPriority w:val="99"/>
    <w:pPr>
      <w:tabs>
        <w:tab w:val="center" w:pos="4153"/>
        <w:tab w:val="right" w:pos="8306"/>
      </w:tabs>
      <w:snapToGrid w:val="0"/>
      <w:jc w:val="left"/>
    </w:pPr>
    <w:rPr>
      <w:kern w:val="0"/>
      <w:sz w:val="18"/>
      <w:szCs w:val="18"/>
    </w:rPr>
  </w:style>
  <w:style w:type="paragraph" w:styleId="5">
    <w:name w:val="header"/>
    <w:basedOn w:val="1"/>
    <w:link w:val="12"/>
    <w:semiHidden/>
    <w:unhideWhenUsed/>
    <w:uiPriority w:val="99"/>
    <w:pPr>
      <w:pBdr>
        <w:bottom w:val="single" w:color="auto" w:sz="6" w:space="1"/>
      </w:pBdr>
      <w:tabs>
        <w:tab w:val="center" w:pos="4153"/>
        <w:tab w:val="right" w:pos="8306"/>
      </w:tabs>
      <w:snapToGrid w:val="0"/>
      <w:jc w:val="center"/>
    </w:pPr>
    <w:rPr>
      <w:kern w:val="0"/>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character" w:styleId="10">
    <w:name w:val="Hyperlink"/>
    <w:unhideWhenUsed/>
    <w:uiPriority w:val="99"/>
    <w:rPr>
      <w:rFonts w:cs="Times New Roman"/>
      <w:color w:val="0000FF"/>
      <w:u w:val="single"/>
    </w:rPr>
  </w:style>
  <w:style w:type="character" w:customStyle="1" w:styleId="11">
    <w:name w:val="文档结构图 Char"/>
    <w:link w:val="2"/>
    <w:semiHidden/>
    <w:locked/>
    <w:uiPriority w:val="99"/>
    <w:rPr>
      <w:rFonts w:ascii="宋体" w:eastAsia="宋体" w:cs="Times New Roman"/>
      <w:sz w:val="18"/>
      <w:szCs w:val="18"/>
    </w:rPr>
  </w:style>
  <w:style w:type="character" w:customStyle="1" w:styleId="12">
    <w:name w:val="页眉 Char"/>
    <w:link w:val="5"/>
    <w:semiHidden/>
    <w:locked/>
    <w:uiPriority w:val="99"/>
    <w:rPr>
      <w:rFonts w:cs="Times New Roman"/>
      <w:sz w:val="18"/>
      <w:szCs w:val="18"/>
    </w:rPr>
  </w:style>
  <w:style w:type="character" w:customStyle="1" w:styleId="13">
    <w:name w:val="页脚 Char"/>
    <w:link w:val="4"/>
    <w:semiHidden/>
    <w:locked/>
    <w:uiPriority w:val="99"/>
    <w:rPr>
      <w:rFonts w:cs="Times New Roman"/>
      <w:sz w:val="18"/>
      <w:szCs w:val="18"/>
    </w:rPr>
  </w:style>
  <w:style w:type="character" w:customStyle="1" w:styleId="14">
    <w:name w:val="批注框文本 Char"/>
    <w:link w:val="3"/>
    <w:semiHidden/>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8277</Words>
  <Characters>47182</Characters>
  <Lines>393</Lines>
  <Paragraphs>110</Paragraphs>
  <TotalTime>0</TotalTime>
  <ScaleCrop>false</ScaleCrop>
  <LinksUpToDate>false</LinksUpToDate>
  <CharactersWithSpaces>55349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2017-03-22T05:59:00Z</dcterms:created>
  <dc:creator>FastReport</dc:creator>
  <cp:lastModifiedBy>Administrator</cp:lastModifiedBy>
  <dcterms:modified xsi:type="dcterms:W3CDTF">2019-12-26T14:06:44Z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