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创金合信消费主题股票型证券投资基金</w:t>
      </w:r>
    </w:p>
    <w:p>
      <w:pPr>
        <w:widowControl/>
        <w:spacing w:before="240" w:after="120"/>
        <w:jc w:val="center"/>
        <w:rPr>
          <w:rFonts w:ascii="宋体" w:hAnsi="宋体"/>
          <w:b/>
          <w:color w:val="000000"/>
          <w:sz w:val="36"/>
        </w:rPr>
      </w:pPr>
      <w:r>
        <w:rPr>
          <w:rFonts w:ascii="宋体" w:hAnsi="宋体"/>
          <w:b/>
          <w:color w:val="000000"/>
          <w:sz w:val="36"/>
        </w:rPr>
        <w:t>（原创金合信鑫回报灵活配置混合型证券投资基金转型）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hint="eastAsia" w:ascii="宋体" w:hAnsi="宋体"/>
          <w:b/>
          <w:color w:val="000000"/>
          <w:sz w:val="24"/>
        </w:rPr>
        <w:t>2</w:t>
      </w:r>
      <w:r>
        <w:rPr>
          <w:rFonts w:ascii="宋体" w:hAnsi="宋体"/>
          <w:b/>
          <w:color w:val="000000"/>
          <w:sz w:val="24"/>
        </w:rPr>
        <w:t>018年</w:t>
      </w:r>
      <w:r>
        <w:rPr>
          <w:rFonts w:hint="eastAsia" w:ascii="宋体" w:hAnsi="宋体"/>
          <w:b/>
          <w:color w:val="000000"/>
          <w:sz w:val="24"/>
        </w:rPr>
        <w:t>1</w:t>
      </w:r>
      <w:r>
        <w:rPr>
          <w:rFonts w:ascii="宋体" w:hAnsi="宋体"/>
          <w:b/>
          <w:color w:val="000000"/>
          <w:sz w:val="24"/>
        </w:rPr>
        <w:t>2</w:t>
      </w:r>
      <w:r>
        <w:rPr>
          <w:rFonts w:hint="eastAsia" w:ascii="宋体" w:hAnsi="宋体"/>
          <w:b/>
          <w:color w:val="000000"/>
          <w:sz w:val="24"/>
        </w:rPr>
        <w:t>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77067"/>
      <w:r>
        <w:rPr>
          <w:rFonts w:hint="eastAsia" w:hAnsi="Calibri"/>
          <w:b/>
          <w:color w:val="000000"/>
        </w:rPr>
        <w:t>§1  重要提示及目录</w:t>
      </w:r>
      <w:bookmarkEnd w:id="0"/>
      <w:r>
        <w:rPr>
          <w:rFonts w:hint="eastAsia"/>
        </w:rPr>
        <w:t xml:space="preserve"> </w:t>
      </w:r>
    </w:p>
    <w:p>
      <w:pPr>
        <w:pStyle w:val="21"/>
        <w:rPr>
          <w:rFonts w:hint="eastAsia"/>
        </w:rPr>
      </w:pPr>
      <w:bookmarkStart w:id="1" w:name="_Toc4677068"/>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10月11日起，创金合信鑫回报灵活配置混合型证券投资基金正式变更为创金合信消费主题股票型证券投资基金，原创金合信鑫回报灵活配置混合型证券投资基金报告期自2018年01月01日起至2018年10月10日止，创金合信消费主题股票型证券投资基金报告期自2018年10月11日起至2018年12月31日止。</w:t>
            </w:r>
          </w:p>
        </w:tc>
      </w:tr>
    </w:tbl>
    <w:p>
      <w:pPr>
        <w:pStyle w:val="21"/>
        <w:rPr>
          <w:rFonts w:hint="eastAsia"/>
        </w:rPr>
      </w:pPr>
      <w:r>
        <w:rPr>
          <w:rFonts w:ascii="Times New Roman" w:hAnsi="Times New Roman"/>
        </w:rPr>
        <w:br w:type="page"/>
      </w:r>
      <w:bookmarkStart w:id="2" w:name="_Toc4677069"/>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"_Toc4677067"</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_Toc4677067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"_Toc4677068"</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_Toc4677068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"_Toc4677069"</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_Toc4677069 \h </w:instrText>
      </w:r>
      <w:r>
        <w:rPr>
          <w:lang/>
        </w:rPr>
        <w:fldChar w:fldCharType="separate"/>
      </w:r>
      <w:r>
        <w:rPr>
          <w:lang/>
        </w:rPr>
        <w:t>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"_Toc4677070"</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_Toc4677070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"_Toc4677071"</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_Toc4677071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"_Toc4677072"</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_Toc4677072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"_Toc4677073"</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_Toc4677073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"_Toc4677074"</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_Toc4677074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"_Toc4677075"</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_Toc4677075 \h </w:instrText>
      </w:r>
      <w:r>
        <w:rPr>
          <w:lang/>
        </w:rPr>
        <w:fldChar w:fldCharType="separate"/>
      </w:r>
      <w:r>
        <w:rPr>
          <w:lang/>
        </w:rPr>
        <w:t>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"_Toc4677076"</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_Toc4677076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"_Toc4677077"</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_Toc4677077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"_Toc4677078"</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_Toc4677078 \h </w:instrText>
      </w:r>
      <w:r>
        <w:rPr>
          <w:lang/>
        </w:rPr>
        <w:fldChar w:fldCharType="separate"/>
      </w:r>
      <w:r>
        <w:rPr>
          <w:lang/>
        </w:rPr>
        <w:t>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"_Toc4677079"</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_Toc4677079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"_Toc4677080"</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_Toc4677080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"_Toc4677081"</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_Toc4677081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"_Toc4677082"</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_Toc4677082 \h </w:instrText>
      </w:r>
      <w:r>
        <w:rPr>
          <w:lang/>
        </w:rPr>
        <w:fldChar w:fldCharType="separate"/>
      </w:r>
      <w:r>
        <w:rPr>
          <w:lang/>
        </w:rPr>
        <w:t>12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"_Toc4677083"</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_Toc4677083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"_Toc4677084"</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_Toc4677084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"_Toc4677085"</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_Toc4677085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"_Toc4677086"</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_Toc4677086 \h </w:instrText>
      </w:r>
      <w:r>
        <w:rPr>
          <w:lang/>
        </w:rPr>
        <w:fldChar w:fldCharType="separate"/>
      </w:r>
      <w:r>
        <w:rPr>
          <w:lang/>
        </w:rPr>
        <w:t>17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"_Toc4677087"</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_Toc4677087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"_Toc4677088"</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_Toc4677088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"_Toc4677089"</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_Toc4677089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"_Toc4677090"</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_Toc4677090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"_Toc4677091"</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_Toc4677091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"_Toc4677092"</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_Toc4677092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"_Toc4677093"</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_Toc4677093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"_Toc4677094"</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_Toc4677094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"_Toc4677095"</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_Toc4677095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"_Toc4677096"</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_Toc4677096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"_Toc4677097"</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_Toc4677097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"_Toc4677098"</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_Toc4677098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"_Toc4677099"</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_Toc4677099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"_Toc4677100"</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_Toc4677100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"_Toc4677101"</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_Toc4677101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"_Toc4677102"</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_Toc4677102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"_Toc4677103"</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_Toc4677103 \h </w:instrText>
      </w:r>
      <w:r>
        <w:rPr>
          <w:lang/>
        </w:rPr>
        <w:fldChar w:fldCharType="separate"/>
      </w:r>
      <w:r>
        <w:rPr>
          <w:lang/>
        </w:rPr>
        <w:t>24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"_Toc4677104"</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_Toc4677104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"_Toc4677105"</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_Toc4677105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"_Toc4677106"</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_Toc4677106 \h </w:instrText>
      </w:r>
      <w:r>
        <w:rPr>
          <w:lang/>
        </w:rPr>
        <w:fldChar w:fldCharType="separate"/>
      </w:r>
      <w:r>
        <w:rPr>
          <w:lang/>
        </w:rPr>
        <w:t>27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"_Toc4677107"</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_Toc4677107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"_Toc4677108"</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_Toc4677108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"_Toc4677109"</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_Toc4677109 \h </w:instrText>
      </w:r>
      <w:r>
        <w:rPr>
          <w:lang/>
        </w:rPr>
        <w:fldChar w:fldCharType="separate"/>
      </w:r>
      <w:r>
        <w:rPr>
          <w:lang/>
        </w:rPr>
        <w:t>31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"_Toc4677110"</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_Toc4677110 \h </w:instrText>
      </w:r>
      <w:r>
        <w:rPr>
          <w:lang/>
        </w:rPr>
        <w:fldChar w:fldCharType="separate"/>
      </w:r>
      <w:r>
        <w:rPr>
          <w:lang/>
        </w:rPr>
        <w:t>32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"_Toc4677111"</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_Toc4677111 \h </w:instrText>
      </w:r>
      <w:r>
        <w:rPr>
          <w:lang/>
        </w:rPr>
        <w:fldChar w:fldCharType="separate"/>
      </w:r>
      <w:r>
        <w:rPr>
          <w:lang/>
        </w:rPr>
        <w:t>33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"_Toc4677112"</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_Toc4677112 \h </w:instrText>
      </w:r>
      <w:r>
        <w:rPr>
          <w:lang/>
        </w:rPr>
        <w:fldChar w:fldCharType="separate"/>
      </w:r>
      <w:r>
        <w:rPr>
          <w:lang/>
        </w:rPr>
        <w:t>59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"_Toc4677113"</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_Toc4677113 \h </w:instrText>
      </w:r>
      <w:r>
        <w:rPr>
          <w:lang/>
        </w:rPr>
        <w:fldChar w:fldCharType="separate"/>
      </w:r>
      <w:r>
        <w:rPr>
          <w:lang/>
        </w:rPr>
        <w:t>59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"_Toc4677114"</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_Toc4677114 \h </w:instrText>
      </w:r>
      <w:r>
        <w:rPr>
          <w:lang/>
        </w:rPr>
        <w:fldChar w:fldCharType="separate"/>
      </w:r>
      <w:r>
        <w:rPr>
          <w:lang/>
        </w:rPr>
        <w:t>61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"_Toc4677115"</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_Toc4677115 \h </w:instrText>
      </w:r>
      <w:r>
        <w:rPr>
          <w:lang/>
        </w:rPr>
        <w:fldChar w:fldCharType="separate"/>
      </w:r>
      <w:r>
        <w:rPr>
          <w:lang/>
        </w:rPr>
        <w:t>63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"_Toc4677116"</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_Toc4677116 \h </w:instrText>
      </w:r>
      <w:r>
        <w:rPr>
          <w:lang/>
        </w:rPr>
        <w:fldChar w:fldCharType="separate"/>
      </w:r>
      <w:r>
        <w:rPr>
          <w:lang/>
        </w:rPr>
        <w:t>64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"_Toc4677117"</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_Toc4677117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"_Toc4677118"</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_Toc4677118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"_Toc4677119"</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_Toc4677119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"_Toc4677120"</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_Toc4677120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"_Toc4677121"</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_Toc4677121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"_Toc4677122"</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_Toc4677122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"_Toc4677123"</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_Toc4677123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"_Toc4677124"</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_Toc4677124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"_Toc4677125"</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_Toc4677125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"_Toc4677126"</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_Toc4677126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"_Toc4677127"</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_Toc4677127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"_Toc4677128"</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_Toc4677128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"_Toc4677129"</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_Toc4677129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"_Toc4677130"</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_Toc4677130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"_Toc4677131"</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_Toc4677131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"_Toc4677132"</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_Toc4677132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"_Toc4677133"</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_Toc4677133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"_Toc4677134"</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_Toc4677134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"_Toc4677135"</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_Toc4677135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"_Toc4677136"</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_Toc4677136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"_Toc4677137"</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_Toc4677137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"_Toc4677138"</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_Toc4677138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"_Toc4677139"</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_Toc4677139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"_Toc4677140"</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_Toc4677140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"_Toc4677141"</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_Toc4677141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"_Toc4677142"</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_Toc4677142 \h </w:instrText>
      </w:r>
      <w:r>
        <w:rPr>
          <w:lang/>
        </w:rPr>
        <w:fldChar w:fldCharType="separate"/>
      </w:r>
      <w:r>
        <w:rPr>
          <w:lang/>
        </w:rPr>
        <w:t>103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"_Toc4677143"</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_Toc4677143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"_Toc4677144"</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_Toc4677144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"_Toc4677145"</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_Toc4677145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"_Toc4677146"</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_Toc4677146 \h </w:instrText>
      </w:r>
      <w:r>
        <w:rPr>
          <w:lang/>
        </w:rPr>
        <w:fldChar w:fldCharType="separate"/>
      </w:r>
      <w:r>
        <w:rPr>
          <w:lang/>
        </w:rPr>
        <w:t>105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"_Toc4677147"</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_Toc4677147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"_Toc4677148"</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_Toc4677148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"_Toc4677149"</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_Toc4677149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"_Toc4677150"</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_Toc4677150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"_Toc4677151"</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_Toc4677151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"_Toc4677152"</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_Toc4677152 \h </w:instrText>
      </w:r>
      <w:r>
        <w:rPr>
          <w:lang/>
        </w:rPr>
        <w:fldChar w:fldCharType="separate"/>
      </w:r>
      <w:r>
        <w:rPr>
          <w:lang/>
        </w:rPr>
        <w:t>107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"_Toc4677153"</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_Toc4677153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"_Toc4677154"</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_Toc4677154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"_Toc4677155"</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_Toc4677155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"_Toc4677156"</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_Toc4677156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"_Toc4677157"</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_Toc4677157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"_Toc4677158"</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_Toc4677158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"_Toc4677159"</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_Toc4677159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"_Toc4677160"</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_Toc4677160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"_Toc4677161"</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_Toc4677161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"_Toc4677162"</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_Toc4677162 \h </w:instrText>
      </w:r>
      <w:r>
        <w:rPr>
          <w:lang/>
        </w:rPr>
        <w:fldChar w:fldCharType="separate"/>
      </w:r>
      <w:r>
        <w:rPr>
          <w:lang/>
        </w:rPr>
        <w:t>110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"_Toc4677163"</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_Toc4677163 \h </w:instrText>
      </w:r>
      <w:r>
        <w:rPr>
          <w:lang/>
        </w:rPr>
        <w:fldChar w:fldCharType="separate"/>
      </w:r>
      <w:r>
        <w:rPr>
          <w:lang/>
        </w:rPr>
        <w:t>110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"_Toc4677164"</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_Toc4677164 \h </w:instrText>
      </w:r>
      <w:r>
        <w:rPr>
          <w:lang/>
        </w:rPr>
        <w:fldChar w:fldCharType="separate"/>
      </w:r>
      <w:r>
        <w:rPr>
          <w:lang/>
        </w:rPr>
        <w:t>112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"_Toc4677165"</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_Toc4677165 \h </w:instrText>
      </w:r>
      <w:r>
        <w:rPr>
          <w:lang/>
        </w:rPr>
        <w:fldChar w:fldCharType="separate"/>
      </w:r>
      <w:r>
        <w:rPr>
          <w:lang/>
        </w:rPr>
        <w:t>115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"_Toc4677166"</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_Toc4677166 \h </w:instrText>
      </w:r>
      <w:r>
        <w:rPr>
          <w:lang/>
        </w:rPr>
        <w:fldChar w:fldCharType="separate"/>
      </w:r>
      <w:r>
        <w:rPr>
          <w:lang/>
        </w:rPr>
        <w:t>115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"_Toc4677167"</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_Toc4677167 \h </w:instrText>
      </w:r>
      <w:r>
        <w:rPr>
          <w:lang/>
        </w:rPr>
        <w:fldChar w:fldCharType="separate"/>
      </w:r>
      <w:r>
        <w:rPr>
          <w:lang/>
        </w:rPr>
        <w:t>116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"_Toc4677168"</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_Toc4677168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"_Toc4677169"</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_Toc4677169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"_Toc4677170"</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_Toc4677170 \h </w:instrText>
      </w:r>
      <w:r>
        <w:rPr>
          <w:lang/>
        </w:rPr>
        <w:fldChar w:fldCharType="separate"/>
      </w:r>
      <w:r>
        <w:rPr>
          <w:lang/>
        </w:rPr>
        <w:t>117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"_Toc4677171"</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_Toc4677171 \h </w:instrText>
      </w:r>
      <w:r>
        <w:rPr>
          <w:lang/>
        </w:rPr>
        <w:fldChar w:fldCharType="separate"/>
      </w:r>
      <w:r>
        <w:rPr>
          <w:lang/>
        </w:rPr>
        <w:t>117</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77070"/>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77071"/>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2018年10月11日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1,291,560.83份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1,087,681.56份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203,879.27份</w:t>
            </w:r>
          </w:p>
        </w:tc>
      </w:tr>
    </w:tbl>
    <w:p>
      <w:pPr>
        <w:pStyle w:val="27"/>
        <w:rPr>
          <w:rFonts w:hint="eastAsia"/>
        </w:rPr>
      </w:pPr>
      <w:r>
        <w:rPr>
          <w:rFonts w:hint="eastAsia"/>
        </w:rPr>
        <w:t>注：本基金于2018年8月22日至2018年9月21日期间以通讯方式召开基金份额持有人大会，并于2018年9月25日表决通过了《关于创金合信鑫回报灵活配置混合型证券投资基金转型有关事项的议案》，自该日起本次持有人大会决议生效。自2018年10月11日起，创金合信鑫回报灵活配置混合型证券投资基金正式变更为创金合信消费主题股票型证券投资基金。</w:t>
      </w:r>
    </w:p>
    <w:p>
      <w:pPr>
        <w:widowControl/>
        <w:jc w:val="left"/>
        <w:rPr>
          <w:rFonts w:hint="eastAsia" w:ascii="宋体" w:hAnsi="宋体" w:cs="宋体"/>
          <w:kern w:val="0"/>
          <w:sz w:val="24"/>
          <w:szCs w:val="24"/>
        </w:rPr>
      </w:pPr>
    </w:p>
    <w:p>
      <w:pPr>
        <w:pStyle w:val="21"/>
        <w:rPr>
          <w:rFonts w:hint="eastAsia"/>
        </w:rPr>
      </w:pPr>
      <w:bookmarkStart w:id="5" w:name="_Toc4677072"/>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本基金主要投资于消费主题相关的优质上市公司，在严格控制投资组合风险的前提下，通过积极主动的资产配置，力争取得超越业绩比较基准的收益。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中证内地消费主题指数收益率*90%+人民币活期存款利率（税后）*10%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1"/>
        <w:rPr>
          <w:rFonts w:hint="eastAsia"/>
        </w:rPr>
      </w:pPr>
      <w:bookmarkStart w:id="6" w:name="_Toc4677073"/>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21"/>
        <w:rPr>
          <w:rFonts w:hint="eastAsia"/>
        </w:rPr>
      </w:pPr>
      <w:bookmarkStart w:id="7" w:name="_Toc4677074"/>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pStyle w:val="27"/>
        <w:rPr>
          <w:rFonts w:hint="eastAsia"/>
        </w:rPr>
      </w:pPr>
      <w:r>
        <w:rPr>
          <w:rFonts w:hint="eastAsia"/>
        </w:rPr>
        <w:t>注：本基金自2019年1月19日起信息披露报纸由《中国证券报》变更为《证券时报》。</w:t>
      </w:r>
    </w:p>
    <w:p>
      <w:pPr>
        <w:widowControl/>
        <w:jc w:val="left"/>
        <w:rPr>
          <w:rFonts w:hint="eastAsia" w:ascii="宋体" w:hAnsi="宋体" w:cs="宋体"/>
          <w:kern w:val="0"/>
          <w:sz w:val="24"/>
          <w:szCs w:val="24"/>
        </w:rPr>
      </w:pPr>
    </w:p>
    <w:p>
      <w:pPr>
        <w:pStyle w:val="21"/>
        <w:rPr>
          <w:rFonts w:hint="eastAsia"/>
        </w:rPr>
      </w:pPr>
      <w:bookmarkStart w:id="8" w:name="_Toc4677075"/>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77076"/>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77077"/>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2016年08月22日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247,476.46份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003191</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39,034.53份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208,441.93份</w:t>
            </w:r>
          </w:p>
        </w:tc>
      </w:tr>
    </w:tbl>
    <w:p>
      <w:pPr>
        <w:widowControl/>
        <w:jc w:val="left"/>
        <w:rPr>
          <w:rFonts w:hint="eastAsia" w:ascii="宋体" w:hAnsi="宋体" w:cs="宋体"/>
          <w:kern w:val="0"/>
          <w:sz w:val="24"/>
          <w:szCs w:val="24"/>
        </w:rPr>
      </w:pPr>
    </w:p>
    <w:p>
      <w:pPr>
        <w:pStyle w:val="21"/>
        <w:rPr>
          <w:rFonts w:hint="eastAsia"/>
        </w:rPr>
      </w:pPr>
      <w:bookmarkStart w:id="11" w:name="_Toc4677078"/>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0"/>
        <w:rPr>
          <w:rFonts w:hint="eastAsia"/>
        </w:rPr>
      </w:pPr>
      <w:bookmarkStart w:id="12" w:name="_Toc4677079"/>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77080"/>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3033"/>
        <w:gridCol w:w="3006"/>
        <w:gridCol w:w="300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2018年10月11日（基金合同生效日）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-3,718.28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-40,245.86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-10,069.20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-108,624.86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-22,370.88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1,034,182.15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193,562.37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-5.14%</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4、本基金转型日为2018年10月11日。</w:t>
      </w:r>
    </w:p>
    <w:p>
      <w:pPr>
        <w:widowControl/>
        <w:jc w:val="left"/>
        <w:rPr>
          <w:rFonts w:hint="eastAsia" w:ascii="宋体" w:hAnsi="宋体" w:cs="宋体"/>
          <w:kern w:val="0"/>
          <w:sz w:val="24"/>
          <w:szCs w:val="24"/>
        </w:rPr>
      </w:pPr>
    </w:p>
    <w:p>
      <w:pPr>
        <w:pStyle w:val="21"/>
        <w:rPr>
          <w:rFonts w:hint="eastAsia"/>
        </w:rPr>
      </w:pPr>
      <w:bookmarkStart w:id="14" w:name="_Toc4677081"/>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创金合信消费主题股票A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-1.40%</w:t>
            </w:r>
          </w:p>
        </w:tc>
      </w:tr>
    </w:tbl>
    <w:p>
      <w:pPr>
        <w:pStyle w:val="24"/>
        <w:rPr>
          <w:rFonts w:hint="eastAsia"/>
        </w:rPr>
      </w:pPr>
      <w:r>
        <w:rPr>
          <w:rFonts w:hint="eastAsia" w:hAnsi="Calibri"/>
          <w:color w:val="000000"/>
        </w:rPr>
        <w:t>创金合信消费主题股票C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-1.39%</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3190_FB010010_20190002_5.jpg" type="#_x0000_t75" style="height:286.5pt;width:441pt;" filled="f" stroked="f" coordsize="21600,21600">
            <v:path/>
            <v:fill on="f" focussize="0,0"/>
            <v:stroke on="f"/>
            <v:imagedata r:id="rId7" grayscale="f" bilevel="f" o:title="CN_50990000_003190_FB010010_20190002_5"/>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注：1、本基金于2018年10月11日由创金合信鑫回报灵活配置混合型证券投资基金转型而来。截至报告期末，本基金转型不满一年。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2、按照本基金的基金合同规定，自基金合同生效之日起六个月内使基金的投资组合比例符合本基金合同（第十二部分二、投资范围，三、投资策略和四、投资限制）的有关约定。本报告期本基金处于建仓期内。 </w:t>
      </w:r>
    </w:p>
    <w:p>
      <w:pPr>
        <w:pStyle w:val="24"/>
        <w:rPr>
          <w:rFonts w:hint="eastAsia"/>
        </w:rPr>
      </w:pPr>
      <w:r>
        <w:rPr>
          <w:rFonts w:hAnsi="Calibri"/>
          <w:color w:val="000000"/>
          <w:lang/>
        </w:rPr>
        <w:pict>
          <v:shape id="_x0000_i1026" o:spt="75" alt="E:\Bin-0326新客户端\MOD\TMP\CN_50990000_003190_FB010010_20190002_6.jpg" type="#_x0000_t75" style="height:286.5pt;width:441pt;" filled="f" stroked="f" coordsize="21600,21600">
            <v:path/>
            <v:fill on="f" focussize="0,0"/>
            <v:stroke on="f"/>
            <v:imagedata r:id="rId8" grayscale="f" bilevel="f" o:title="CN_50990000_003190_FB010010_20190002_6"/>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3190_FB010010_20190002_12.jpg" type="#_x0000_t75" style="height:286.5pt;width:441pt;" filled="f" stroked="f" coordsize="21600,21600">
            <v:path/>
            <v:fill on="f" focussize="0,0"/>
            <v:stroke on="f"/>
            <v:imagedata r:id="rId9" grayscale="f" bilevel="f" o:title="CN_50990000_003190_FB010010_20190002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3190_FB010010_20190002_13.jpg" type="#_x0000_t75" style="height:286.5pt;width:441pt;" filled="f" stroked="f" coordsize="21600,21600">
            <v:path/>
            <v:fill on="f" focussize="0,0"/>
            <v:stroke on="f"/>
            <v:imagedata r:id="rId10" grayscale="f" bilevel="f" o:title="CN_50990000_003190_FB010010_20190002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77082"/>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本基金自基金合同生效日（2018年10月11日）至本报告期末未发生利润分配。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77083"/>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77084"/>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462"/>
        <w:gridCol w:w="1236"/>
        <w:gridCol w:w="1236"/>
        <w:gridCol w:w="1236"/>
        <w:gridCol w:w="1236"/>
        <w:gridCol w:w="1396"/>
        <w:gridCol w:w="139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2016年08月22日（基金合同生效日）-2016年12月31日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创金合信鑫回报混合C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-19,896,846.20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-22,274.10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15,722,450.95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14,083,869.70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6,280.88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2,166,642.66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-18,662.67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6,704,345.70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1,042,510.61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-2,149.52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-13,016.74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8,546,331.41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1,841,339.02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37,165.69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196,896.10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505,801,653.30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71,181.43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499,337,664.85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164,313.12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-0.30%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77085"/>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创金合信鑫回报混合A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-0.12%</w:t>
            </w:r>
          </w:p>
        </w:tc>
      </w:tr>
    </w:tbl>
    <w:p>
      <w:pPr>
        <w:pStyle w:val="24"/>
        <w:rPr>
          <w:rFonts w:hint="eastAsia"/>
        </w:rPr>
      </w:pPr>
      <w:r>
        <w:rPr>
          <w:rFonts w:hint="eastAsia" w:hAnsi="Calibri"/>
          <w:color w:val="000000"/>
        </w:rPr>
        <w:t>创金合信鑫回报混合C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-0.12%</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3190_FB010010_20190002_2.jpg" type="#_x0000_t75" style="height:286.5pt;width:441pt;" filled="f" stroked="f" coordsize="21600,21600">
            <v:path/>
            <v:fill on="f" focussize="0,0"/>
            <v:stroke on="f"/>
            <v:imagedata r:id="rId11" grayscale="f" bilevel="f" o:title="CN_50990000_003190_FB010010_20190002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3190_FB010010_20190002_3.jpg" type="#_x0000_t75" style="height:286.5pt;width:441pt;" filled="f" stroked="f" coordsize="21600,21600">
            <v:path/>
            <v:fill on="f" focussize="0,0"/>
            <v:stroke on="f"/>
            <v:imagedata r:id="rId12" grayscale="f" bilevel="f" o:title="CN_50990000_003190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3190_FB010010_20190002_9.jpg" type="#_x0000_t75" style="height:286.5pt;width:441pt;" filled="f" stroked="f" coordsize="21600,21600">
            <v:path/>
            <v:fill on="f" focussize="0,0"/>
            <v:stroke on="f"/>
            <v:imagedata r:id="rId13" grayscale="f" bilevel="f" o:title="CN_50990000_003190_FB010010_20190002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3190_FB010010_20190002_10.jpg" type="#_x0000_t75" style="height:286.5pt;width:441pt;" filled="f" stroked="f" coordsize="21600,21600">
            <v:path/>
            <v:fill on="f" focussize="0,0"/>
            <v:stroke on="f"/>
            <v:imagedata r:id="rId14" grayscale="f" bilevel="f" o:title="CN_50990000_003190_FB010010_20190002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77086"/>
      <w:r>
        <w:rPr>
          <w:rFonts w:hint="eastAsia" w:hAnsi="Calibri"/>
          <w:b/>
          <w:color w:val="000000"/>
        </w:rPr>
        <w:t>3.3 过去三年基金的利润分配情况</w:t>
      </w:r>
      <w:bookmarkEnd w:id="19"/>
    </w:p>
    <w:p>
      <w:pPr>
        <w:pStyle w:val="27"/>
        <w:rPr>
          <w:rFonts w:hint="eastAsia"/>
        </w:rPr>
      </w:pPr>
      <w:r>
        <w:rPr>
          <w:rFonts w:hint="eastAsia"/>
        </w:rPr>
        <w:t>本基金自基金合同生效日（2016年8月22日）至本报告期末未发生利润分配。</w:t>
      </w:r>
    </w:p>
    <w:p>
      <w:pPr>
        <w:widowControl/>
        <w:jc w:val="left"/>
        <w:rPr>
          <w:rFonts w:hint="eastAsia" w:ascii="宋体" w:hAnsi="宋体" w:cs="宋体"/>
          <w:kern w:val="0"/>
          <w:sz w:val="24"/>
          <w:szCs w:val="24"/>
        </w:rPr>
      </w:pPr>
    </w:p>
    <w:p>
      <w:pPr>
        <w:pStyle w:val="20"/>
        <w:rPr>
          <w:rFonts w:hint="eastAsia"/>
        </w:rPr>
      </w:pPr>
      <w:bookmarkStart w:id="20" w:name="_Toc4677087"/>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77088"/>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3、2018年10月11日创金合信鑫回报灵活配置混合型证券投资基金转型为创金合信消费主题股票型证券投资基金，基金经理由李晗、蒋小玲变更为李晗。</w:t>
      </w:r>
    </w:p>
    <w:p>
      <w:pPr>
        <w:widowControl/>
        <w:jc w:val="left"/>
        <w:rPr>
          <w:rFonts w:hint="eastAsia" w:ascii="宋体" w:hAnsi="宋体" w:cs="宋体"/>
          <w:kern w:val="0"/>
          <w:sz w:val="24"/>
          <w:szCs w:val="24"/>
        </w:rPr>
      </w:pPr>
    </w:p>
    <w:p>
      <w:pPr>
        <w:pStyle w:val="21"/>
        <w:rPr>
          <w:rFonts w:hint="eastAsia"/>
        </w:rPr>
      </w:pPr>
      <w:bookmarkStart w:id="22" w:name="_Toc4677089"/>
      <w:r>
        <w:rPr>
          <w:rFonts w:hint="eastAsia" w:hAnsi="Calibri"/>
          <w:b/>
          <w:color w:val="000000"/>
        </w:rPr>
        <w:t>4.2 管理人对报告期内本基金运作遵规守信情况的说明</w:t>
      </w:r>
      <w:bookmarkEnd w:id="22"/>
    </w:p>
    <w:p>
      <w:pPr>
        <w:pStyle w:val="27"/>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21"/>
        <w:rPr>
          <w:rFonts w:hint="eastAsia"/>
        </w:rPr>
      </w:pPr>
      <w:bookmarkStart w:id="23" w:name="_Toc4677090"/>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hAnsi="Calibri"/>
          <w:color w:val="000000"/>
        </w:rPr>
      </w:pPr>
      <w:r>
        <w:rPr>
          <w:rFonts w:hint="eastAsia" w:hAnsi="Calibri"/>
          <w:color w:val="000000"/>
        </w:rPr>
        <w:t>本基金转型前，公司旗下所有投资组合参与的交易所公开竞价交易中，本基金与其他基金构成同日反向且交易成交较少的单边交易量超过该证券当日成交量的5%的交易共8次，本基金（“创金合信鑫回报”）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7"/>
        <w:spacing w:before="0"/>
        <w:ind w:left="0" w:firstLine="480"/>
        <w:rPr>
          <w:rFonts w:hint="eastAsia"/>
        </w:rPr>
      </w:pPr>
      <w:r>
        <w:rPr>
          <w:rFonts w:hint="eastAsia" w:hAnsi="Calibri"/>
          <w:color w:val="000000"/>
        </w:rPr>
        <w:t>本报告期内(基金转型前及转型后)，未发现本基金有可能导致不公平交易和利益输送的异常交易。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77091"/>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hAnsi="Calibri"/>
          <w:color w:val="000000"/>
        </w:rPr>
      </w:pPr>
      <w:r>
        <w:rPr>
          <w:rFonts w:hint="eastAsia" w:hAnsi="Calibri"/>
          <w:color w:val="000000"/>
        </w:rPr>
        <w:t>消费行业的后周期属性在2018年得到了充分体现，年初伊始各行业短暂延续2017年的增长势头，然而到2018年4月份开始，消费数据整体掉头往下，股价也逐渐开始反应行业的基本面变化，再叠加贸易摩擦阴影，大消费行业绝对收益并不尽如人意。我们认为消费低迷这种大趋势短期内不会改变，但并不以此认为消费行业没有机会，相反在行业低迷中，才有利于优秀的公司淘汰竞争对手提升自身的市场份额，所以我们相信：在未来较长一段时间内很多传统行业中都将进入马太效应阶段，市场份额和行业利润主要由行业中头部公司占有。此外，大消费版块内大多数公司具有较好的盈利模式，稳定的ROE，充沛的现金流，在经过消费低迷的逆境洗礼后龙头将会建立更加深厚的护城河，这些是我们长期跟踪和投资的重点标的。</w:t>
      </w:r>
    </w:p>
    <w:p>
      <w:pPr>
        <w:pStyle w:val="27"/>
        <w:spacing w:before="0"/>
        <w:ind w:left="0" w:firstLine="480"/>
        <w:rPr>
          <w:rFonts w:hint="eastAsia" w:hAnsi="Calibri"/>
          <w:color w:val="000000"/>
        </w:rPr>
      </w:pPr>
      <w:r>
        <w:rPr>
          <w:rFonts w:hint="eastAsia" w:hAnsi="Calibri"/>
          <w:color w:val="000000"/>
        </w:rPr>
        <w:t>本消费主题基金于2018年10月11日正式由原"创金合信鑫回报灵活配置混合型证券投资基金"转型而成，转型后建仓时间始于2018年12月。短期内，我们对经过充分演绎的行业和个股保持一定的谨慎，比如大家都知道在经济增速放缓的环境下理论上应该超配必需消费，但我们认为如果怀着敬畏市场的心，逻辑不应该如此简单，事实上我们认为，目前必需消费品的标的，选择余地并不是很大，避免过于拥挤的交易才能为更长期的稳健业绩表现做铺垫。相比于消费指数（000942）集中配置1-2行业，我们对行业配置进行了适当均衡，对于经过过去几年充分调整的行业，比如传媒，我们已经略超配。另外对和宏观经济波动相关性较小的行业比如消费类中游制造和有一定逆周期的农业养殖进行了增配。</w:t>
      </w:r>
    </w:p>
    <w:p>
      <w:pPr>
        <w:pStyle w:val="27"/>
        <w:spacing w:before="0"/>
        <w:ind w:left="0" w:firstLine="480"/>
        <w:rPr>
          <w:rFonts w:hint="eastAsia"/>
        </w:rPr>
      </w:pPr>
      <w:r>
        <w:rPr>
          <w:rFonts w:hint="eastAsia" w:hAnsi="Calibri"/>
          <w:color w:val="000000"/>
        </w:rPr>
        <w:t>我们行业主题基金的宗旨是为投资者寻找阿尔法，投资策略的初衷始终是寻找具有核心竞争力、能够持续创造丰厚现金流回报的、估值有吸引力的企业，使得投资者能够享受到优秀公司成长的超额收益。</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截至2018年10月10日，创金合信鑫回报混合A基金份额净值为0.9520元；自2018年1月1日至2018年10月10日本基金份额净值增长率为-6.39%，同期业绩比较基准收益率为-4.9%。</w:t>
      </w:r>
    </w:p>
    <w:p>
      <w:pPr>
        <w:pStyle w:val="27"/>
        <w:spacing w:before="0"/>
        <w:ind w:left="0" w:firstLine="480"/>
        <w:rPr>
          <w:rFonts w:hint="eastAsia" w:hAnsi="Calibri"/>
          <w:color w:val="000000"/>
        </w:rPr>
      </w:pPr>
      <w:r>
        <w:rPr>
          <w:rFonts w:hint="eastAsia" w:hAnsi="Calibri"/>
          <w:color w:val="000000"/>
        </w:rPr>
        <w:t>截至2018年10月10日，创金合信鑫回报混合C基金份额净值为0.9450元；自2018年1月1日至2018年10月10日本基金份额净值增长率为-6.25%，同期业绩比较基准收益率为-4.9%。</w:t>
      </w:r>
    </w:p>
    <w:p>
      <w:pPr>
        <w:pStyle w:val="27"/>
        <w:spacing w:before="0"/>
        <w:ind w:left="0" w:firstLine="480"/>
        <w:rPr>
          <w:rFonts w:hint="eastAsia" w:hAnsi="Calibri"/>
          <w:color w:val="000000"/>
        </w:rPr>
      </w:pPr>
      <w:r>
        <w:rPr>
          <w:rFonts w:hint="eastAsia" w:hAnsi="Calibri"/>
          <w:color w:val="000000"/>
        </w:rPr>
        <w:t>截至2018年12月31日，创金合信消费主题股票A基金份额净值为0.9508元；自2018年10月11日至2018年12月31日本基金份额净值增长率为-4.95%，同期业绩比较基准收益率为-8.52%。</w:t>
      </w:r>
    </w:p>
    <w:p>
      <w:pPr>
        <w:pStyle w:val="27"/>
        <w:spacing w:before="0"/>
        <w:ind w:left="0" w:firstLine="480"/>
        <w:rPr>
          <w:rFonts w:hint="eastAsia"/>
        </w:rPr>
      </w:pPr>
      <w:r>
        <w:rPr>
          <w:rFonts w:hint="eastAsia" w:hAnsi="Calibri"/>
          <w:color w:val="000000"/>
        </w:rPr>
        <w:t>截至2018年12月31日，创金合信消费主题股票C基金份额净值为0.9494元；自2018年10月11日至2018年12月31日本基金份额净值增长率为-5.14%，同期业绩比较基准收益率为-8.52%。</w:t>
      </w:r>
    </w:p>
    <w:p>
      <w:pPr>
        <w:widowControl/>
        <w:jc w:val="left"/>
        <w:rPr>
          <w:rFonts w:hint="eastAsia" w:ascii="宋体" w:hAnsi="宋体" w:cs="宋体"/>
          <w:kern w:val="0"/>
          <w:sz w:val="24"/>
          <w:szCs w:val="24"/>
        </w:rPr>
      </w:pPr>
    </w:p>
    <w:p>
      <w:pPr>
        <w:pStyle w:val="21"/>
        <w:rPr>
          <w:rFonts w:hint="eastAsia"/>
        </w:rPr>
      </w:pPr>
      <w:bookmarkStart w:id="25" w:name="_Toc4677092"/>
      <w:r>
        <w:rPr>
          <w:rFonts w:hint="eastAsia" w:hAnsi="Calibri"/>
          <w:b/>
          <w:color w:val="000000"/>
        </w:rPr>
        <w:t>4.5 管理人对宏观经济、证券市场及行业走势的简要展望</w:t>
      </w:r>
      <w:bookmarkEnd w:id="25"/>
    </w:p>
    <w:p>
      <w:pPr>
        <w:pStyle w:val="27"/>
        <w:spacing w:before="0"/>
        <w:ind w:left="0" w:firstLine="480"/>
        <w:rPr>
          <w:rFonts w:hint="eastAsia"/>
        </w:rPr>
      </w:pPr>
      <w:r>
        <w:rPr>
          <w:rFonts w:hint="eastAsia" w:hAnsi="Calibri"/>
          <w:color w:val="000000"/>
        </w:rPr>
        <w:t>我们预计，2019年1季度和2季度，在2018年较高基数上，宏观经济各项指标可能不断走低，贸易摩擦预计能获得短期缓和，但长期形势并不能乐观。在经济增速放缓的大环境下，消费需求增速也将随之放缓，在换挡到低速过程，在一开始，消费大部分行业和个股可能都泥沙俱下，但是优秀的公司在困境中会不断提升自我，降低成本，提升效率，将低效竞争对手淘汰，从而分享剩余的市场蛋糕。我们关注但并不恐惧宏观经济的短期波动，持续研究并选择各个行业内竞争力最优秀的公司，我们可以寄望用时间来保护组合的回报。而且，站在中长期的角度，我们依然不可低估中国经济增长的潜力和韧性。同时，从市场的角度，始终是涨跌相生，长期的超额收益很大一部分应该是来自于下跌。</w:t>
      </w:r>
    </w:p>
    <w:p>
      <w:pPr>
        <w:widowControl/>
        <w:jc w:val="left"/>
        <w:rPr>
          <w:rFonts w:hint="eastAsia" w:ascii="宋体" w:hAnsi="宋体" w:cs="宋体"/>
          <w:kern w:val="0"/>
          <w:sz w:val="24"/>
          <w:szCs w:val="24"/>
        </w:rPr>
      </w:pPr>
    </w:p>
    <w:p>
      <w:pPr>
        <w:pStyle w:val="21"/>
        <w:rPr>
          <w:rFonts w:hint="eastAsia"/>
        </w:rPr>
      </w:pPr>
      <w:bookmarkStart w:id="26" w:name="_Toc4677093"/>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77094"/>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77095"/>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77096"/>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创金合信鑫回报灵活配置混合型证券投资基金自2018年10月11日起，正式变更为创金合信消费主题股票型证券投资基金。</w:t>
      </w:r>
    </w:p>
    <w:p>
      <w:pPr>
        <w:pStyle w:val="27"/>
        <w:spacing w:before="0"/>
        <w:ind w:left="0" w:firstLine="480"/>
        <w:rPr>
          <w:rFonts w:hint="eastAsia"/>
        </w:rPr>
      </w:pPr>
      <w:r>
        <w:rPr>
          <w:rFonts w:hint="eastAsia"/>
        </w:rPr>
        <w:t>本基金转型前，已连续60个工作日基金份额持有人不满二百人且基金资产净值低于五千万元，根据《公开募集证券投资基金运作管理办法》的有关规定，本基金管理人已向中国证监会报告并提出解决方案。</w:t>
      </w:r>
    </w:p>
    <w:p>
      <w:pPr>
        <w:pStyle w:val="27"/>
        <w:spacing w:before="0"/>
        <w:ind w:left="0" w:firstLine="480"/>
        <w:rPr>
          <w:rFonts w:hint="eastAsia"/>
        </w:rPr>
      </w:pPr>
      <w:r>
        <w:rPr>
          <w:rFonts w:hint="eastAsia"/>
        </w:rPr>
        <w:t>本基金转型后，已出现连续20个工作日基金份额持有人不满二百人且资产净值低于五千万元的情形，该情形发生的时间范围为2018年10月11日起，并延续至报告期末。</w:t>
      </w:r>
    </w:p>
    <w:p>
      <w:pPr>
        <w:widowControl/>
        <w:jc w:val="left"/>
        <w:rPr>
          <w:rFonts w:hint="eastAsia" w:ascii="宋体" w:hAnsi="宋体" w:cs="宋体"/>
          <w:kern w:val="0"/>
          <w:sz w:val="24"/>
          <w:szCs w:val="24"/>
        </w:rPr>
      </w:pPr>
    </w:p>
    <w:p>
      <w:pPr>
        <w:pStyle w:val="20"/>
        <w:rPr>
          <w:rFonts w:hint="eastAsia"/>
        </w:rPr>
      </w:pPr>
      <w:bookmarkStart w:id="30" w:name="_Toc4677097"/>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77098"/>
      <w:r>
        <w:rPr>
          <w:rFonts w:hint="eastAsia"/>
          <w:b/>
          <w:bCs/>
        </w:rPr>
        <w:t>5.1 报告期内本基金托管人遵规守信情况声明</w:t>
      </w:r>
      <w:bookmarkEnd w:id="31"/>
    </w:p>
    <w:p>
      <w:pPr>
        <w:pStyle w:val="27"/>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21"/>
        <w:rPr>
          <w:rFonts w:hint="eastAsia"/>
        </w:rPr>
      </w:pPr>
      <w:bookmarkStart w:id="32" w:name="_Toc4677099"/>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7"/>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7"/>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21"/>
        <w:rPr>
          <w:rFonts w:hint="eastAsia"/>
        </w:rPr>
      </w:pPr>
      <w:bookmarkStart w:id="33" w:name="_Toc4677100"/>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20"/>
        <w:rPr>
          <w:rFonts w:hint="eastAsia"/>
        </w:rPr>
      </w:pPr>
      <w:bookmarkStart w:id="34" w:name="_Toc4677101"/>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77102"/>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普华永道中天审字(2019)第24798号</w:t>
            </w:r>
          </w:p>
        </w:tc>
      </w:tr>
    </w:tbl>
    <w:p>
      <w:pPr>
        <w:widowControl/>
        <w:jc w:val="left"/>
        <w:rPr>
          <w:rFonts w:hint="eastAsia" w:ascii="宋体" w:hAnsi="宋体" w:cs="宋体"/>
          <w:kern w:val="0"/>
          <w:sz w:val="24"/>
          <w:szCs w:val="24"/>
        </w:rPr>
      </w:pPr>
    </w:p>
    <w:p>
      <w:pPr>
        <w:pStyle w:val="21"/>
        <w:rPr>
          <w:rFonts w:hint="eastAsia"/>
        </w:rPr>
      </w:pPr>
      <w:bookmarkStart w:id="36" w:name="_Toc4677103"/>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创金合信消费主题股票型证券投资基金(原创金合信鑫回报灵活配置混合型证券投资基金)全体基金份额持有人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我们审计了创金合信消费主题股票型证券投资基金 (原创金合信鑫回报灵活配置混合型证券投资基金，以下简称“ 创金合信消费主题股票基金 ”)的财务报表，包括2018年12月31日的资产负债表，2018年10月11日(基金合同生效日)至2018年12月31日的利润表和所有者权益(基金净值)变动表以及财务报表附注。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消费主题股票基金2018年12月31日的财务状况以及2018年10月11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按照中国注册会计师职业道德守则，我们独立于创金合信消费主题股票基金，并履行了职业道德方面的其他责任。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消费主题股票基金的持续经营能力，披露与持续经营相关的事项(如适用)，并运用持续经营假设，除非基金管理人管理层计划清算创金合信消费主题股票基金、终止运营或别无其他现实的选择。 基金管理人治理层负责监督创金合信消费主题股票基金的财务报告过程。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消费主题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消费主题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77104"/>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77105"/>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普华永道中天审字(2019)第24811号</w:t>
            </w:r>
          </w:p>
        </w:tc>
      </w:tr>
    </w:tbl>
    <w:p>
      <w:pPr>
        <w:widowControl/>
        <w:jc w:val="left"/>
        <w:rPr>
          <w:rFonts w:hint="eastAsia" w:ascii="宋体" w:hAnsi="宋体" w:cs="宋体"/>
          <w:kern w:val="0"/>
          <w:sz w:val="24"/>
          <w:szCs w:val="24"/>
        </w:rPr>
      </w:pPr>
    </w:p>
    <w:p>
      <w:pPr>
        <w:pStyle w:val="21"/>
        <w:rPr>
          <w:rFonts w:hint="eastAsia"/>
        </w:rPr>
      </w:pPr>
      <w:bookmarkStart w:id="39" w:name="_Toc4677106"/>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回报灵活配置混合型证券投资基金(以下简称“创金合信鑫回报混合基金”)的财务报表，包括2018年10月10日(基金合同失效前日)的资产负债表，2018年1月1日至2018年10月10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回报混合基金2018年10月10日(基金合同失效前日)的财务状况以及 2018年1月1日至2018年10月10日(基金合同失效前日)止期间的经营成果和基金净值变动情况。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按照中国注册会计师职业道德守则，我们独立于创金合信鑫回报混合基金，并履行了职业道德方面的其他责任。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回报混合基金的持续经营能力，披露与持续经营相关的事项(如适用)，并运用持续经营假设，除非基金管理人管理层计划清算创金合信鑫回报混合基金、终止运营或别无其他现实的选择。 基金管理人治理层负责监督创金合信鑫回报混合基金的财务报告过程。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回报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回报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77107"/>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77108"/>
      <w:r>
        <w:rPr>
          <w:rFonts w:hint="eastAsia"/>
          <w:b/>
          <w:bCs/>
        </w:rPr>
        <w:t>7.1 资产负债表</w:t>
      </w:r>
      <w:bookmarkEnd w:id="41"/>
    </w:p>
    <w:p>
      <w:pPr>
        <w:pStyle w:val="24"/>
        <w:rPr>
          <w:rFonts w:hint="eastAsia"/>
        </w:rPr>
      </w:pPr>
      <w:r>
        <w:rPr>
          <w:rFonts w:hint="eastAsia"/>
        </w:rPr>
        <w:t>会计主体：创金合信消费主题股票型证券投资基金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7,193.01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1,000,573.80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574.40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1,310,171.03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880.98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1,585.03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78,615.34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82,426.51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1,358,740.26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-130,995.74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1,227,744.52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1,310,171.03</w:t>
            </w:r>
          </w:p>
        </w:tc>
      </w:tr>
    </w:tbl>
    <w:p>
      <w:pPr>
        <w:pStyle w:val="27"/>
        <w:rPr>
          <w:rFonts w:hint="eastAsia"/>
        </w:rPr>
      </w:pPr>
      <w:r>
        <w:rPr>
          <w:rFonts w:hint="eastAsia"/>
        </w:rPr>
        <w:t>注：1.报告截止日2018年12月31日，基金份额总额1,291,560.83份，其中下属A类基金份额1,087,681.56份，C类基金份额203,879.27份。下属A类基金份额净值0.9508元，C类基金份额净值0.9494元。</w:t>
      </w:r>
      <w:r>
        <w:rPr>
          <w:rFonts w:hint="eastAsia"/>
        </w:rPr>
        <w:br w:type="textWrapping"/>
      </w:r>
      <w:r>
        <w:rPr>
          <w:rFonts w:hint="eastAsia"/>
        </w:rPr>
        <w:t>2.本财务报表的实际报告期间为2018年10月11日(基金合同生效日)至2018年12月31日。截至报告期末本基金合同生效未满1年,本报告期的财务报表及报表附注均无同期对比数据。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77109"/>
      <w:r>
        <w:rPr>
          <w:rFonts w:hint="eastAsia"/>
          <w:b/>
          <w:bCs/>
        </w:rPr>
        <w:t>7.2 利润表</w:t>
      </w:r>
      <w:bookmarkEnd w:id="42"/>
    </w:p>
    <w:p>
      <w:pPr>
        <w:pStyle w:val="24"/>
        <w:rPr>
          <w:rFonts w:hint="eastAsia"/>
        </w:rPr>
      </w:pPr>
      <w:r>
        <w:rPr>
          <w:rFonts w:hint="eastAsia"/>
        </w:rPr>
        <w:t>会计主体：创金合信消费主题股票型证券投资基金</w:t>
      </w:r>
    </w:p>
    <w:p>
      <w:pPr>
        <w:pStyle w:val="24"/>
        <w:rPr>
          <w:rFonts w:hint="eastAsia"/>
        </w:rPr>
      </w:pPr>
      <w:r>
        <w:rPr>
          <w:rFonts w:hint="eastAsia"/>
        </w:rPr>
        <w:t>本报告期：2018年10月11日（基金合同生效日）至2018年12月31日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-39,641.27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1,620.84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967.85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561.13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-348.98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10,673.79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2,974.59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5,656.80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r>
    </w:tbl>
    <w:p>
      <w:pPr>
        <w:pStyle w:val="27"/>
        <w:rPr>
          <w:rFonts w:hint="eastAsia"/>
        </w:rPr>
      </w:pPr>
      <w:r>
        <w:rPr>
          <w:rFonts w:hint="eastAsia"/>
        </w:rPr>
        <w:t>注：本财务报表的实际报告期间为2018年10月11日(基金合同生效日)至2018年12月31日。截至报告期末本基金合同生效未满1年,本报告期的财务报表及报表附注均无同期对比数据。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77110"/>
      <w:r>
        <w:rPr>
          <w:rFonts w:hint="eastAsia"/>
          <w:b/>
          <w:bCs/>
        </w:rPr>
        <w:t>7.3 所有者权益（基金净值）变动表</w:t>
      </w:r>
      <w:bookmarkEnd w:id="43"/>
    </w:p>
    <w:p>
      <w:pPr>
        <w:pStyle w:val="24"/>
        <w:rPr>
          <w:rFonts w:hint="eastAsia"/>
        </w:rPr>
      </w:pPr>
      <w:r>
        <w:rPr>
          <w:rFonts w:hint="eastAsia"/>
        </w:rPr>
        <w:t>会计主体：创金合信消费主题股票型证券投资基金</w:t>
      </w:r>
    </w:p>
    <w:p>
      <w:pPr>
        <w:pStyle w:val="24"/>
        <w:rPr>
          <w:rFonts w:hint="eastAsia"/>
        </w:rPr>
      </w:pPr>
      <w:r>
        <w:rPr>
          <w:rFonts w:hint="eastAsia"/>
        </w:rPr>
        <w:t>本报告期：2018年10月11日（基金合同生效日）至2018年12月31日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247,476.46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234,061.79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-50,315.06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1,111,263.80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-67,266.01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1,043,997.79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1,114,710.69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-67,507.16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1,047,203.53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-3,446.89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241.15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-3,205.74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1,358,740.26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-130,995.74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1,227,744.52</w:t>
            </w:r>
          </w:p>
        </w:tc>
      </w:tr>
    </w:tbl>
    <w:p>
      <w:pPr>
        <w:pStyle w:val="27"/>
        <w:rPr>
          <w:rFonts w:hint="eastAsia"/>
        </w:rPr>
      </w:pPr>
      <w:r>
        <w:rPr>
          <w:rFonts w:hint="eastAsia"/>
        </w:rPr>
        <w:t>注：本财务报表的实际报告期间为2018年10月11日(基金合同生效日)至2018年12月31日。截至报告期末本基金合同生效未满1年,本报告期的财务报表及报表附注均无同期对比数据。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77111"/>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消费主题股票型证券投资基金是由原创金合信鑫回报灵活配置混合型证券投资基金(以下简称"创金合信鑫回报混合基金")转型而来。根据原创金合信鑫回报混合基金基金份额持有人大会以通讯方式审议通过的《关于创金合信鑫回报灵活配置混合型证券投资基金转型有关事项的议案》，创金合信鑫回报混合基金的基金管理人创金合信基金管理有限公司于2018年9月27日发布了《创金合信鑫回报灵活配置混合型证券投资基金基金份额持有人大会表决结果暨决议生效公告》。根据《关于创金合信鑫回报灵活配置混合型证券投资基金转型有关事项的议案》以及相关法律法规的规定，经与基金托管人招商银行股份有限公司(以下简称"招商银行")协商一致，自2018年10月11日起，原创金合信鑫回报混合基金名称变更为创金合信消费主题股票型证券投资基金(以下简称"本基金"），《创金合信消费主题股票型证券投资基金基金合同》于同日生效。本基金为契约型开放式，存续期限不定。本基金的基金管理人为创金合信基金管理有限公司，基金托管人为招商银行。</w:t>
      </w:r>
    </w:p>
    <w:p>
      <w:pPr>
        <w:pStyle w:val="27"/>
        <w:spacing w:before="0"/>
        <w:ind w:left="0" w:firstLine="480"/>
        <w:rPr>
          <w:rFonts w:hint="eastAsia"/>
        </w:rPr>
      </w:pPr>
      <w:r>
        <w:rPr>
          <w:rFonts w:hint="eastAsia"/>
        </w:rPr>
        <w:t>根据《创金合信消费主题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消费主题股票型证券投资基金基金合同》的有关规定，本基金的投资范围包括国内依法发行上市的股票(包括主板、中小板、创业板以及其他经中国证监会允许基金投资的股票)、债券(包括国债、央行票据、地方政府债、金融债、企业债、公司债、公开发行的次级债、中期票据、短期融资券、超短期融资券、可转换债券、可交换债券等)、资产支持证券、货币市场工具(含同业存单等)、金融衍生品(包括权证、股指期货、股票期权等)及法律法规或中国证监会允许基金投资的其他金融工具(但须符合中国证监会相关规定)。本基金的业绩比较基准为：中证内地消费主题指数收益率×90%+人民币活期存款利率(税后)×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消费主题股票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10月11日(基金合同生效日)至2018年12月31日止期间的财务报表符合企业会计准则的要求，真实、完整地反映了本基金2018年12月31日的财务状况以及2018年10月11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本基金会计年度为公历1月1日起至12月31日止。本期财务报表的实际编制期间为2018年10月11日(基金合同生效日)至2018年12月31日。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本基金持有的股票投资、债券投资、资产支持证券投资和衍生工具按如下原则确定公允价值并进行估值：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本基金收益分配方式分两种：现金分红与红利再投资，投资者可选择现金红利或将现金红利自动转为该类基金份额进行再投资；若投资者不选择，本基金默认的收益分配方式是现金分红；(2) 基金收益分配后基金份额净值不能低于面值，即基金收益分配基准日的基金份额净值减去每单位该类基金份额收益分配金额后不能低于面值；(3)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在对基金份额持有人利益无实质不利影响的前提下，基金管理人经与基金托管人协商一致后可调整基金收益的分配原则和支付方式，不需召开基金份额持有人大会审议；(5)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 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1,025,895.66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-41,334.66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1,041,942.46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1,000,573.80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574.40</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1,019.98</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78,615.34</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创金合信消费主题股票A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-1,884.57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37,149.96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1,053,221.39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1,106,598.61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-2,689.79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-2,826.13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1,087,681.56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1,142,807.01</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创金合信消费主题股票C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-11,635.61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196,806.32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7,659.06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8,112.08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-586.11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203,879.27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215,933.25</w:t>
            </w:r>
          </w:p>
        </w:tc>
      </w:tr>
    </w:tbl>
    <w:p>
      <w:pPr>
        <w:pStyle w:val="27"/>
        <w:rPr>
          <w:rFonts w:hint="eastAsia"/>
        </w:rPr>
      </w:pPr>
      <w:r>
        <w:rPr>
          <w:rFonts w:hint="eastAsia"/>
        </w:rPr>
        <w:t>注：1. 申购含转换入份额；赎回含转换出份额。</w:t>
      </w:r>
      <w:r>
        <w:rPr>
          <w:rFonts w:hint="eastAsia"/>
        </w:rPr>
        <w:br w:type="textWrapping"/>
      </w:r>
      <w:r>
        <w:rPr>
          <w:rFonts w:hint="eastAsia"/>
        </w:rPr>
        <w:t>2.根据《关于创金合信鑫回报灵活配置混合型证券投资基金转型为创金合信消费主题股票型证券投资基金基金份额转换及折算结果的公告》，本基金由创金合信鑫回报灵活配置混合型证券投资基金转型而来。转型方案实施后，基金份额持有人持有的创金合信鑫回报灵活配置混合型证券投资基金份额转为创金合信消费主题股票型证券投资基金份额。</w:t>
      </w:r>
      <w:r>
        <w:rPr>
          <w:rFonts w:hint="eastAsia"/>
        </w:rPr>
        <w:br w:type="textWrapping"/>
      </w:r>
      <w:r>
        <w:rPr>
          <w:rFonts w:hint="eastAsia"/>
        </w:rPr>
        <w:t>3. 根据《创金合信消费主题股票型证券投资基金基金合同》、《创金合信消费主题股票型证券投资基金招募说明书》和《创金合信消费主题股票型证券投资基金开放日常申购、赎回、转换及定投业务的公告》，本基金于2018年10月11日(基金合同生效日)至2018年10月15日止期间暂不向投资人开放基金交易。申购、赎回及转换业务自2018年10月16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创金合信消费主题股票A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-1,868.84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-5,228.12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-35,017.74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-40,245.86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-74,426.92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7,916.76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-66,510.16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-74,615.99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-66,705.08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-81,804.56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-26,820.30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-108,624.86</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创金合信消费主题股票C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(创金合信消费主题股票C)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-13,016.74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-11,545.83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-6,350.92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-755.85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-802.08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-5,036.36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-22,370.88</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967.85</w:t>
            </w:r>
          </w:p>
        </w:tc>
      </w:tr>
    </w:tbl>
    <w:p>
      <w:pPr>
        <w:widowControl/>
        <w:jc w:val="left"/>
        <w:rPr>
          <w:rFonts w:hint="eastAsia" w:ascii="宋体" w:hAnsi="宋体" w:cs="宋体"/>
          <w:kern w:val="0"/>
          <w:sz w:val="24"/>
          <w:szCs w:val="24"/>
        </w:rPr>
      </w:pPr>
    </w:p>
    <w:p>
      <w:pPr>
        <w:pStyle w:val="22"/>
        <w:rPr>
          <w:rFonts w:hint="eastAsia"/>
        </w:rPr>
      </w:pPr>
      <w:r>
        <w:rPr>
          <w:rFonts w:hint="eastAsia"/>
          <w:b/>
          <w:bCs/>
        </w:rPr>
        <w:t>7.4.7.12 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195,705.00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196,053.98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-348.98</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债券投资收益</w:t>
      </w:r>
    </w:p>
    <w:p>
      <w:pPr>
        <w:pStyle w:val="27"/>
        <w:rPr>
          <w:rFonts w:hint="eastAsia"/>
        </w:rPr>
      </w:pPr>
      <w:r>
        <w:rPr>
          <w:rFonts w:hint="eastAsia"/>
        </w:rPr>
        <w:t>本基金于本期未发生债券投资收益。</w:t>
      </w:r>
    </w:p>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2"/>
        <w:rPr>
          <w:rFonts w:hint="eastAsia"/>
        </w:rPr>
      </w:pPr>
      <w:r>
        <w:rPr>
          <w:rFonts w:hint="eastAsia"/>
          <w:b/>
          <w:bCs/>
        </w:rPr>
        <w:t>7.4.7.14.1 衍生工具收益——买卖权证差价收入</w:t>
      </w:r>
    </w:p>
    <w:p>
      <w:pPr>
        <w:pStyle w:val="27"/>
        <w:rPr>
          <w:rFonts w:hint="eastAsia"/>
        </w:rPr>
      </w:pPr>
      <w:r>
        <w:rPr>
          <w:rFonts w:hint="eastAsia"/>
        </w:rPr>
        <w:t>本基金于本期未发生衍生工具收益。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-41,334.66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-41,368.66</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1,341.44</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5,021.80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5,656.80</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截至资产负债表日，本基金并无须作披露的或有事项。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b/>
          <w:bCs/>
        </w:rPr>
      </w:pPr>
      <w:r>
        <w:rPr>
          <w:rFonts w:hint="eastAsia"/>
          <w:b/>
          <w:bCs/>
        </w:rPr>
        <w:t>7.4.9 关联方关系</w:t>
      </w:r>
    </w:p>
    <w:p>
      <w:pPr>
        <w:pStyle w:val="22"/>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22"/>
      </w:pPr>
      <w:r>
        <w:rPr>
          <w:rFonts w:hint="eastAsia"/>
        </w:rPr>
        <w:t>本报告期不存在重大关联方发生变化的情况。</w:t>
      </w:r>
    </w:p>
    <w:p>
      <w:pPr>
        <w:pStyle w:val="22"/>
        <w:rPr>
          <w:rFonts w:hint="eastAsia"/>
        </w:rPr>
      </w:pPr>
      <w:r>
        <w:rPr>
          <w:rFonts w:hint="eastAsia"/>
          <w:b/>
          <w:bCs/>
        </w:rPr>
        <w:t xml:space="preserve">7.4.9.2 </w:t>
      </w:r>
      <w:r>
        <w:rPr>
          <w:rFonts w:hint="eastAsia"/>
          <w:b/>
        </w:rPr>
        <w:t>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1,417,654.64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本基金本报告期内无通过关联方交易单元进行的权证交易。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 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 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157.76</w:t>
            </w:r>
          </w:p>
        </w:tc>
      </w:tr>
    </w:tbl>
    <w:p>
      <w:pPr>
        <w:pStyle w:val="27"/>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396.61</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8"/>
        <w:gridCol w:w="3277"/>
        <w:gridCol w:w="3277"/>
        <w:gridCol w:w="1133"/>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284.56</w:t>
            </w:r>
          </w:p>
        </w:tc>
      </w:tr>
    </w:tbl>
    <w:p>
      <w:pPr>
        <w:pStyle w:val="27"/>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创金合信消费主题股票A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949,475.39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949,475.39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87.29%</w:t>
            </w:r>
          </w:p>
        </w:tc>
      </w:tr>
    </w:tbl>
    <w:p>
      <w:pPr>
        <w:pStyle w:val="24"/>
        <w:rPr>
          <w:rFonts w:hint="eastAsia"/>
        </w:rPr>
      </w:pPr>
      <w:r>
        <w:rPr>
          <w:rFonts w:hint="eastAsia" w:hAnsi="Calibri"/>
          <w:color w:val="000000"/>
        </w:rPr>
        <w:t>创金合信消费主题股票C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194,741.97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-10,870.93</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183,871.04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90.19%</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301,777.06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958.62</w:t>
            </w:r>
          </w:p>
        </w:tc>
      </w:tr>
    </w:tbl>
    <w:p>
      <w:pPr>
        <w:pStyle w:val="27"/>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1,302,845.73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0"/>
        <w:gridCol w:w="1820"/>
        <w:gridCol w:w="1711"/>
        <w:gridCol w:w="1711"/>
        <w:gridCol w:w="1820"/>
        <w:gridCol w:w="211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301,777.06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301,777.06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7,193.01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7,193.01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52.76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16,012.80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984,561.00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1,000,573.80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574.40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325,035.63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985,135.40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1,310,171.03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880.98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1,585.03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211.33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1,019.98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78,615.34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78,615.34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82,426.51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82,426.51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325,035.63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902,708.89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1,227,744.52</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p>
      <w:pPr>
        <w:pStyle w:val="27"/>
        <w:rPr>
          <w:rFonts w:hint="eastAsia"/>
        </w:rPr>
      </w:pPr>
      <w:r>
        <w:rPr>
          <w:rFonts w:hint="eastAsia"/>
        </w:rPr>
        <w:t>于2018年12月31日，本基金持有的交易性债券投资公允价值占基金资产净值的比例为1.30%，因此市场利率的变动对于本基金资产净值无重大影响。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9"/>
        <w:jc w:val="right"/>
        <w:rPr>
          <w:rFonts w:hint="eastAsia"/>
        </w:rPr>
      </w:pPr>
      <w:r>
        <w:rPr>
          <w:rFonts w:hint="eastAsia"/>
        </w:rPr>
        <w:t>金额单位：人民币元</w:t>
      </w:r>
    </w:p>
    <w:tbl>
      <w:tblPr>
        <w:tblStyle w:val="14"/>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984,561.00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80.19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984,561.00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80.19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46,373.75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-46,373.75</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于2018年12月31日，本基金持有的以公允价值计量且其变动计入当期损益的金融资产中属于第一层次的余额为984,561.00元，属于第二层次的余额为16,012.80元，无属于第三层次的余额。</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77112"/>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77113"/>
      <w:r>
        <w:rPr>
          <w:rFonts w:hint="eastAsia"/>
          <w:b/>
          <w:bCs/>
        </w:rPr>
        <w:t>7.1 资产负债表</w:t>
      </w:r>
      <w:bookmarkEnd w:id="46"/>
    </w:p>
    <w:p>
      <w:pPr>
        <w:pStyle w:val="24"/>
        <w:rPr>
          <w:rFonts w:hint="eastAsia"/>
        </w:rPr>
      </w:pPr>
      <w:r>
        <w:rPr>
          <w:rFonts w:hint="eastAsia"/>
        </w:rPr>
        <w:t>会计主体：创金合信鑫回报灵活配置混合型证券投资基金</w:t>
      </w:r>
    </w:p>
    <w:p>
      <w:pPr>
        <w:pStyle w:val="24"/>
        <w:rPr>
          <w:rFonts w:hint="eastAsia"/>
        </w:rPr>
      </w:pPr>
      <w:r>
        <w:rPr>
          <w:rFonts w:hint="eastAsia"/>
        </w:rPr>
        <w:t>报告截止日：2018年10月10日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476,334.39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3,493.98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479,296,710.91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69,767,710.91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409,529,000.00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12,610,138.92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9,270,322.95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506,601,522.17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257,379.91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85,793.29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216,502.15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85,655.76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728,687.44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247,476.46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497,325,908.43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8,546,926.30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234,061.79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506,601,522.17</w:t>
            </w:r>
          </w:p>
        </w:tc>
      </w:tr>
    </w:tbl>
    <w:p>
      <w:pPr>
        <w:pStyle w:val="27"/>
        <w:rPr>
          <w:rFonts w:hint="eastAsia"/>
        </w:rPr>
      </w:pPr>
      <w:r>
        <w:rPr>
          <w:rFonts w:hint="eastAsia"/>
        </w:rPr>
        <w:t>注：1.报告截止日2018年10月10日，基金份额总额247,476.46份，其中下属A类基金份额39,034.53份，C类基金份额208,441.93份。下属A类基金份额净值0.952元，C类基金份额净值0.945元。</w:t>
      </w:r>
      <w:r>
        <w:rPr>
          <w:rFonts w:hint="eastAsia"/>
        </w:rPr>
        <w:br w:type="textWrapping"/>
      </w:r>
      <w:r>
        <w:rPr>
          <w:rFonts w:hint="eastAsia"/>
        </w:rPr>
        <w:t>2.本基金于2018年10月11日转型为创金合信消费主题股票型证券投资基金，2018年度实际报告期间为2018年1月1日至2018年10月10日。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7" w:name="_Toc4677114"/>
      <w:r>
        <w:rPr>
          <w:rFonts w:hint="eastAsia"/>
          <w:b/>
          <w:bCs/>
        </w:rPr>
        <w:t>7.2 利润表</w:t>
      </w:r>
      <w:bookmarkEnd w:id="47"/>
    </w:p>
    <w:p>
      <w:pPr>
        <w:pStyle w:val="24"/>
        <w:rPr>
          <w:rFonts w:hint="eastAsia"/>
        </w:rPr>
      </w:pPr>
      <w:r>
        <w:rPr>
          <w:rFonts w:hint="eastAsia"/>
        </w:rPr>
        <w:t>会计主体：创金合信鑫回报灵活配置混合型证券投资基金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3,287,138.22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13,268,475.85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1,723,921.22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21,869,551.78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87,731.78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1,608,435.67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21,647,320.84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72,515.44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134,499.16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-20,503,886.65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418,218.44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-1,112,696.47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-199,779.86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1,524,111.55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-9,019,656.44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362.07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1,139,158.23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6,563,255.39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329,552.46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3,007,040.50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109,850.83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1,002,346.93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190.65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587,053.57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1,507,841.40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840,079.85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840,079.85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4,826.21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107,591.02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205,756.06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r>
    </w:tbl>
    <w:p>
      <w:pPr>
        <w:pStyle w:val="27"/>
        <w:rPr>
          <w:rFonts w:hint="eastAsia"/>
        </w:rPr>
      </w:pPr>
      <w:r>
        <w:rPr>
          <w:rFonts w:hint="eastAsia"/>
        </w:rPr>
        <w:t>注：本基金于2018年10月11日转型为创金合信消费主题股票型证券投资基金，2018年度实际报告期间为2018年1月1日至2018年10月10日。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8" w:name="_Toc4677115"/>
      <w:r>
        <w:rPr>
          <w:rFonts w:hint="eastAsia"/>
          <w:b/>
          <w:bCs/>
        </w:rPr>
        <w:t>7.3 所有者权益（基金净值）变动表</w:t>
      </w:r>
      <w:bookmarkEnd w:id="48"/>
    </w:p>
    <w:p>
      <w:pPr>
        <w:pStyle w:val="24"/>
        <w:rPr>
          <w:rFonts w:hint="eastAsia"/>
        </w:rPr>
      </w:pPr>
      <w:r>
        <w:rPr>
          <w:rFonts w:hint="eastAsia"/>
        </w:rPr>
        <w:t>会计主体：创金合信鑫回报灵活配置混合型证券投资基金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497,325,908.43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8,546,926.30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2,147,979.99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-497,078,431.97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-10,708,320.96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-507,786,752.93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199,813.34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5,337.99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205,151.33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-497,278,245.31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-10,713,658.95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-507,991,904.26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247,476.46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234,061.79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497,661,150.16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6,705,220.46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-335,241.73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-334,363.70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14,757.29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14,873.82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-349,999.02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-349,237.52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497,325,908.43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8,546,926.30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505,872,834.73</w:t>
            </w:r>
          </w:p>
        </w:tc>
      </w:tr>
    </w:tbl>
    <w:p>
      <w:pPr>
        <w:pStyle w:val="27"/>
        <w:rPr>
          <w:rFonts w:hint="eastAsia" w:hAnsi="Calibri"/>
          <w:color w:val="000000"/>
        </w:rPr>
      </w:pPr>
      <w:r>
        <w:rPr>
          <w:rFonts w:hint="eastAsia" w:hAnsi="Calibri"/>
          <w:color w:val="000000"/>
        </w:rPr>
        <w:t>注：本基金于2018年10月11日转型为创金合信消费主题股票型证券投资基金，2018年度实际报告期间为2018年1月1日至2018年10月10日。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77116"/>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创金合信鑫回报灵活配置混合型证券投资基金(以下简称"本基金")经中国证券监督管理委员会(以下简称"中国证监会")证监许可 [2015]1644号《关于准予创金合信鑫回报灵活配置混合型证券投资基金注册的批复》和中国证监会机构部函[2016]1425号《关于创金合信鑫回报灵活配置混合型证券投资基金延期募集备案的回函》核准，由创金合信基金管理有限公司依照《中华人民共和国证券投资基金法》和《创金合信鑫回报灵活配置混合型证券投资基金基金合同》负责公开募集。本基金为契约型开放式，存续期限不定，首次设立募集不包括认购资金利息共募集人民币500,713,694.31元，业经普华永道中天会计师事务所(特殊普通合伙)普华永道中天验字(2016)第1108号验资报告予以验证。经向中国证监会备案，《创金合信鑫回报灵活配置混合型证券投资基金基金合同》于2016年8月22日正式生效，基金合同生效日的基金份额总额为500,781,246.31份基金份额，其中认购资金利息折合67,552.00份基金份额。本基金的基金管理人为创金合信基金管理有限公司，基金托管人为招商银行股份有限公司(以下简称"招商银行")。</w:t>
      </w:r>
    </w:p>
    <w:p>
      <w:pPr>
        <w:pStyle w:val="27"/>
        <w:spacing w:before="0"/>
        <w:ind w:left="0" w:firstLine="480"/>
        <w:rPr>
          <w:rFonts w:hint="eastAsia"/>
        </w:rPr>
      </w:pPr>
      <w:r>
        <w:rPr>
          <w:rFonts w:hint="eastAsia"/>
        </w:rPr>
        <w:t>根据《创金合信鑫回报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回报灵活配置混合型证券投资基金转型有关事项的议案》，本基金的基金管理人创金合信基金管理有限公司于2018年9月27日发布了《创金合信鑫回报灵活配置混合型证券投资基金基金份额持有人大会表决结果暨决议生效公告》。根据《关于创金合信鑫回报灵活配置混合型证券投资基金转型有关事项的议案》以及相关法律法规的规定，经与基金托管人招商银行协商一致，本基金的基金管理人创金合信基金管理有限公司将《创金合信鑫回报灵活配置混合型证券投资基金基金合同》、《创金合信鑫回报灵活配置混合型证券投资基金托管协议》分别修订为《创金合信消费主题股票型证券投资基金基金合同》、《创金合信消费主题股票型证券投资基金托管协议》，并已经中国证监会变更注册。《创金合信消费主题股票型证券投资基金基金合同》、《创金合信消费主题股票型证券投资基金托管协议》自2018年10月11日起生效，《创金合信鑫回报灵活配置混合型证券投资基金基金合同》、《创金合信鑫回报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回报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回报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经中国证监会批准，本基金基金管理人创金合信基金管理有限公司将本基金于基金合同失效日转型为创金合信消费主题股票型证券投资基金，存续期限不定，因此本基金财务报表仍以持续经营为基础编制。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10月10日(基金合同失效前日)止期间的财务报表符合企业会计准则的要求，真实、完整地反映了本基金2018年10月10日(基金合同失效前日)的财务状况以及2018年1月1日至2018年10月10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本基金会计年度为公历1月1日起至12月31日止。本财务报表的实际编制期间为2018年1月1日至2018年10月10日(基金合同失效前日)。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71,228,042.00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-1,460,331.09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430,081,769.20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409,475,000.00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430,135,769.20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501,363,811.20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479,296,710.91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9,247,352.48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21,672.56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9,270,322.95</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215,617.53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216,502.15</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169,000.00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创金合信鑫回报混合A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(创金合信鑫回报混合A)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497,255,321.89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2,977.03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2,977.03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-497,219,264.39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-497,219,264.39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创金合信鑫回报混合C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(创金合信鑫回报混合C)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70,586.54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196,836.31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196,836.31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-58,980.92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-58,980.92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208,441.93</w:t>
            </w:r>
          </w:p>
        </w:tc>
      </w:tr>
    </w:tbl>
    <w:p>
      <w:pPr>
        <w:pStyle w:val="27"/>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创金合信鑫回报混合A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30,739,069.53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-22,192,738.12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8,546,331.41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-19,896,846.20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22,063,488.86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2,166,642.66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-10,844,372.85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129,529.94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-10,714,842.91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-10,844,462.86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129,545.65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-10,714,917.21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-1,868.84</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创金合信鑫回报混合C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3,723.49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-3,128.60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594.89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-22,274.10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3,611.43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-18,662.67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5,533.87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6,521.95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3,885.89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5,263.69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1,647.98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-389.72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1,258.26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-13,016.74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-11,545.83</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39,744.02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79,099.29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87,731.78</w:t>
            </w:r>
          </w:p>
        </w:tc>
      </w:tr>
    </w:tbl>
    <w:p>
      <w:pPr>
        <w:widowControl/>
        <w:jc w:val="left"/>
        <w:rPr>
          <w:rFonts w:hint="eastAsia" w:ascii="宋体" w:hAnsi="宋体" w:cs="宋体"/>
          <w:kern w:val="0"/>
          <w:sz w:val="24"/>
          <w:szCs w:val="24"/>
        </w:rPr>
      </w:pPr>
    </w:p>
    <w:p>
      <w:pPr>
        <w:pStyle w:val="22"/>
        <w:rPr>
          <w:rFonts w:hint="eastAsia"/>
        </w:rPr>
      </w:pPr>
      <w:r>
        <w:rPr>
          <w:rFonts w:hint="eastAsia"/>
          <w:b/>
          <w:bCs/>
        </w:rPr>
        <w:t>7.4.7.12股票投资收益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242,814,217.07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547,663,878.14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243,926,913.54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547,863,658.00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-1,112,696.47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-199,779.86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421,641,275.68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113,280,567.86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430,135,769.20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110,852,357.16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10,896,006.46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3,334,323.95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-19,390,499.98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-906,113.25</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2"/>
        <w:rPr>
          <w:rFonts w:hint="eastAsia"/>
        </w:rPr>
      </w:pPr>
      <w:r>
        <w:rPr>
          <w:rFonts w:hint="eastAsia"/>
          <w:b/>
          <w:bCs/>
        </w:rPr>
        <w:t>7.4.7.14.1 衍生工具收益——买卖权证差价收入</w:t>
      </w:r>
    </w:p>
    <w:p>
      <w:pPr>
        <w:pStyle w:val="27"/>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1,524,111.55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1,524,111.55</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-9,019,656.44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1,460,331.09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205,026.40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20,606,769.20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-9,224,682.84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22,067,100.29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-9,019,656.44</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362.07</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1,506,741.40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587,053.57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1,507,841.40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31,232.20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44,383.14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3,097.48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107,591.02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205,756.06</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截至资产负债表日，本基金并无须作披露的或有事项。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9月27日发布的《创金合信鑫回报灵活配置混合型证券投资基金基金份额持有人大会表决结果暨决议生效公告》，《创金合信鑫回报灵活配置混合型证券投资基金基金合同》、《创金合信鑫回报灵活配置混合型证券投资基金托管协议》于2018年10月11日失效。《创金合信消费主题股票型证券投资基金基金合同》、《创金合信消费主题股票型证券投资基金托管协议》于同日生效，本基金名称变更为创金合信消费主题股票型证券投资基金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186"/>
        <w:gridCol w:w="1781"/>
        <w:gridCol w:w="1186"/>
        <w:gridCol w:w="1781"/>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414,852,239.91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774,818,267.61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70.79%</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82"/>
        <w:gridCol w:w="1997"/>
        <w:gridCol w:w="1058"/>
        <w:gridCol w:w="1997"/>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55,234.90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3,040,408.10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80.53%</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818"/>
        <w:gridCol w:w="1975"/>
        <w:gridCol w:w="1165"/>
        <w:gridCol w:w="19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92.57%</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303,377.26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565,092.75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150,662.11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69.87%</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329,552.46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3,007,040.50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591.39</w:t>
            </w:r>
          </w:p>
        </w:tc>
      </w:tr>
    </w:tbl>
    <w:p>
      <w:pPr>
        <w:pStyle w:val="27"/>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2017年01月01日至2017年12月31日</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109,850.83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1,002,346.93</w:t>
            </w:r>
          </w:p>
        </w:tc>
      </w:tr>
    </w:tbl>
    <w:p>
      <w:pPr>
        <w:pStyle w:val="27"/>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201.02</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创金合信鑫回报混合A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基金合同生效日（2016年08月22日）持有的基金份额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bl>
    <w:p>
      <w:pPr>
        <w:pStyle w:val="24"/>
        <w:rPr>
          <w:rFonts w:hint="eastAsia"/>
        </w:rPr>
      </w:pPr>
      <w:r>
        <w:rPr>
          <w:rFonts w:hint="eastAsia" w:hAnsi="Calibri"/>
          <w:color w:val="000000"/>
        </w:rPr>
        <w:t>创金合信鑫回报混合C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基金合同生效日（2016年08月22日）持有的基金份额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39,744.02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79,099.29</w:t>
            </w:r>
          </w:p>
        </w:tc>
      </w:tr>
    </w:tbl>
    <w:p>
      <w:pPr>
        <w:pStyle w:val="27"/>
        <w:rPr>
          <w:rFonts w:hint="eastAsia"/>
        </w:rPr>
      </w:pPr>
      <w:r>
        <w:rPr>
          <w:rFonts w:hint="eastAsia"/>
        </w:rPr>
        <w:t>注：本基金的银行存款由基金托管行招商银行保管，按银行同业存款利率计息。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期末（2018年10月10日）本基金持有的流通受限证券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截至本报告期末2018年10月10日止,本基金从事银行间市场债券正回购交易形成的卖出回购证券款余额为0,无抵押债券。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截至本报告期末2018年10月10日止,本基金从事交易所债券正回购交易形成的卖出回购证券款余额为0,无抵押债券。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270,577,000.00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98,922,000.00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40,030,000.00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409,529,000.00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于2018年10月10日，本基金所承担的全部金融负债的合约约定到期日均为一个月以内且不计息，可赎回基金份额净值(所有者权益)无固定到期日且不计息，因此账面余额约为未折现的合约到期现金流量。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10月10日，本基金组合资产中7个工作日可变现资产的账面价值为319,589.57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1883"/>
        <w:gridCol w:w="1882"/>
        <w:gridCol w:w="1766"/>
        <w:gridCol w:w="1766"/>
        <w:gridCol w:w="188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本期末2018年10月10日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319,717.55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85,593.54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85,593.54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85,655.76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85,655.76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319,589.57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-85,527.78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234,061.79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4,944,521.02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4,944,521.02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476,334.39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476,334.39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3,493.98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3,493.98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180,044,000.00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219,470,000.00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10,015,000.00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479,296,710.91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12,610,138.92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12,610,138.92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9,270,322.95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79,038,033.86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506,601,522.17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257,379.91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257,379.91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85,793.29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85,793.29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216,502.15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728,687.44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728,687.44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78,309,346.42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505,872,834.73</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-1,248,143.13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1,256,364.09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13.79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p>
      <w:pPr>
        <w:pStyle w:val="27"/>
        <w:rPr>
          <w:rFonts w:hint="eastAsia"/>
        </w:rPr>
      </w:pPr>
      <w:r>
        <w:rPr>
          <w:rFonts w:hint="eastAsia"/>
        </w:rPr>
        <w:t>于2018年10月10日(基金合同失效前日)，本基金未持有交易性权益类投资 (2017年12月31日：本基金持有的交易性权益类投资公允价值占基金资产净值的比例为13.79%)，因此除市场利率和外汇汇率以外的市场价格因素的变动对于本基金资产净值无重大影响(2017年12月31日：同)。</w:t>
      </w:r>
    </w:p>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于2018年10月10日(基金合同失效前日)，本基金未持有以公允价值计量且其变动计入当期损益的金融资产(2017年12月31日：第一层次68,907,490.96元，第二层次410,389,219.95元，无第三层次)。</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于2018年10月10日(基金合同失效前日)，本基金未持有非持续的以公允价值计量的金融资产(2017年12月31日：同)。</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77117"/>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77118"/>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308,970.07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1,310,171.03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77119"/>
      <w:r>
        <w:rPr>
          <w:rFonts w:hint="eastAsia"/>
          <w:b/>
          <w:bCs/>
        </w:rPr>
        <w:t>8.2 报告期末按行业分类的股票投资组合</w:t>
      </w:r>
      <w:bookmarkEnd w:id="52"/>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606,276.00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130,364.00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73,653.00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984,561.00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80.19</w:t>
            </w:r>
          </w:p>
        </w:tc>
      </w:tr>
    </w:tbl>
    <w:p>
      <w:pPr>
        <w:widowControl/>
        <w:jc w:val="left"/>
        <w:rPr>
          <w:rFonts w:hint="eastAsia" w:ascii="宋体" w:hAnsi="宋体" w:cs="宋体"/>
          <w:kern w:val="0"/>
          <w:sz w:val="24"/>
          <w:szCs w:val="24"/>
        </w:rPr>
      </w:pPr>
    </w:p>
    <w:p>
      <w:pPr>
        <w:pStyle w:val="21"/>
        <w:rPr>
          <w:rFonts w:hint="eastAsia"/>
        </w:rPr>
      </w:pPr>
      <w:bookmarkStart w:id="53" w:name="_Toc4677120"/>
      <w:r>
        <w:rPr>
          <w:rFonts w:hint="eastAsia"/>
          <w:b/>
          <w:bCs/>
        </w:rPr>
        <w:t>8.3 期末按公允价值占基金资产净值比例大小排序的所有股票投资明细</w:t>
      </w:r>
      <w:bookmarkEnd w:id="53"/>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89,225.00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44,835.00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周大生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视觉中国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欧派家居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光线传媒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0.41</w:t>
            </w:r>
          </w:p>
        </w:tc>
      </w:tr>
    </w:tbl>
    <w:p>
      <w:pPr>
        <w:widowControl/>
        <w:jc w:val="left"/>
        <w:rPr>
          <w:rFonts w:hint="eastAsia" w:ascii="宋体" w:hAnsi="宋体" w:cs="宋体"/>
          <w:kern w:val="0"/>
          <w:sz w:val="24"/>
          <w:szCs w:val="24"/>
        </w:rPr>
      </w:pPr>
    </w:p>
    <w:p>
      <w:pPr>
        <w:pStyle w:val="21"/>
        <w:rPr>
          <w:rFonts w:hint="eastAsia"/>
        </w:rPr>
      </w:pPr>
      <w:bookmarkStart w:id="54" w:name="_Toc4677121"/>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57,737.64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宋城演艺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温氏股份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45,320.00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周大生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老凤祥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牧原股份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宝钢包装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1.99</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温氏股份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牧原股份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宋城演艺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万达电影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老凤祥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周大生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0.47</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1,221,949.64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195,705.00</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55" w:name="_Toc4677122"/>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16,012.80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bl>
    <w:p>
      <w:pPr>
        <w:widowControl/>
        <w:jc w:val="left"/>
        <w:rPr>
          <w:rFonts w:hint="eastAsia" w:ascii="宋体" w:hAnsi="宋体" w:cs="宋体"/>
          <w:kern w:val="0"/>
          <w:sz w:val="24"/>
          <w:szCs w:val="24"/>
        </w:rPr>
      </w:pPr>
    </w:p>
    <w:p>
      <w:pPr>
        <w:pStyle w:val="21"/>
        <w:rPr>
          <w:rFonts w:hint="eastAsia"/>
        </w:rPr>
      </w:pPr>
      <w:bookmarkStart w:id="56" w:name="_Toc4677123"/>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16,012.80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w:t>
            </w:r>
          </w:p>
        </w:tc>
      </w:tr>
    </w:tbl>
    <w:p>
      <w:pPr>
        <w:widowControl/>
        <w:jc w:val="left"/>
        <w:rPr>
          <w:rFonts w:hint="eastAsia" w:ascii="宋体" w:hAnsi="宋体" w:cs="宋体"/>
          <w:kern w:val="0"/>
          <w:sz w:val="24"/>
          <w:szCs w:val="24"/>
        </w:rPr>
      </w:pPr>
    </w:p>
    <w:p>
      <w:pPr>
        <w:pStyle w:val="21"/>
        <w:rPr>
          <w:rFonts w:hint="eastAsia"/>
        </w:rPr>
      </w:pPr>
      <w:bookmarkStart w:id="57" w:name="_Toc4677124"/>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77125"/>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77126"/>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77127"/>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77128"/>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77129"/>
      <w:r>
        <w:rPr>
          <w:rFonts w:hint="eastAsia"/>
          <w:b/>
          <w:bCs/>
        </w:rPr>
        <w:t>8.12 投资组合报告附注</w:t>
      </w:r>
      <w:bookmarkEnd w:id="62"/>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574.40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627.16</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20"/>
        <w:rPr>
          <w:rFonts w:hint="eastAsia"/>
        </w:rPr>
      </w:pPr>
      <w:bookmarkStart w:id="63" w:name="_Toc4677130"/>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77131"/>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319,589.57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319,717.55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77132"/>
      <w:r>
        <w:rPr>
          <w:rFonts w:hint="eastAsia"/>
          <w:b/>
          <w:bCs/>
        </w:rPr>
        <w:t>8.2 报告期末按行业分类的股票投资组合</w:t>
      </w:r>
      <w:bookmarkEnd w:id="65"/>
    </w:p>
    <w:p>
      <w:pPr>
        <w:pStyle w:val="27"/>
        <w:rPr>
          <w:rFonts w:hint="eastAsia"/>
        </w:rPr>
      </w:pPr>
      <w:r>
        <w:rPr>
          <w:rFonts w:hint="eastAsia"/>
        </w:rPr>
        <w:t>本基金转型前未持有股票。</w:t>
      </w:r>
    </w:p>
    <w:p>
      <w:pPr>
        <w:widowControl/>
        <w:jc w:val="left"/>
        <w:rPr>
          <w:rFonts w:hint="eastAsia" w:ascii="宋体" w:hAnsi="宋体" w:cs="宋体"/>
          <w:kern w:val="0"/>
          <w:sz w:val="24"/>
          <w:szCs w:val="24"/>
        </w:rPr>
      </w:pPr>
    </w:p>
    <w:p>
      <w:pPr>
        <w:pStyle w:val="21"/>
        <w:rPr>
          <w:rFonts w:hint="eastAsia"/>
        </w:rPr>
      </w:pPr>
      <w:bookmarkStart w:id="66" w:name="_Toc4677133"/>
      <w:r>
        <w:rPr>
          <w:rFonts w:hint="eastAsia"/>
          <w:b/>
          <w:bCs/>
        </w:rPr>
        <w:t>8.3 期末按公允价值占基金资产净值比例大小排序的所有股票投资明细</w:t>
      </w:r>
      <w:bookmarkEnd w:id="66"/>
    </w:p>
    <w:p>
      <w:pPr>
        <w:pStyle w:val="27"/>
        <w:rPr>
          <w:rFonts w:hint="eastAsia"/>
        </w:rPr>
      </w:pPr>
      <w:r>
        <w:rPr>
          <w:rFonts w:hint="eastAsia"/>
        </w:rPr>
        <w:t>本基金转型前未持有股票。</w:t>
      </w:r>
    </w:p>
    <w:p>
      <w:pPr>
        <w:widowControl/>
        <w:jc w:val="left"/>
        <w:rPr>
          <w:rFonts w:hint="eastAsia" w:ascii="宋体" w:hAnsi="宋体" w:cs="宋体"/>
          <w:kern w:val="0"/>
          <w:sz w:val="24"/>
          <w:szCs w:val="24"/>
        </w:rPr>
      </w:pPr>
    </w:p>
    <w:p>
      <w:pPr>
        <w:pStyle w:val="21"/>
        <w:rPr>
          <w:rFonts w:hint="eastAsia"/>
        </w:rPr>
      </w:pPr>
      <w:bookmarkStart w:id="67" w:name="_Toc4677134"/>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7,406,248.00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7,283,249.00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7,161,836.00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华能国际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7,150,948.00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7,104,170.52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7,086,252.00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6,946,841.00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6,898,527.01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6,604,299.00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2,397,147.93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2,309,287.00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2,294,614.00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2,293,289.00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2,290,705.00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2,286,481.00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2,280,149.00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2,277,184.00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2,275,190.00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0.45</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7,113,526.00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华能国际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7,090,394.00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7,069,542.00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6,853,444.00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6,815,710.81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6,663,868.00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6,625,227.00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6,454,128.00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6,390,696.00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6,156,537.08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2,826,507.00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2,686,230.98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2,685,221.00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2,650,917.00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2,536,904.60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2,493,079.00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2,461,624.00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2,448,066.00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2,425,209.90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2,410,407.00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0.48</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172,698,871.54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242,814,217.07</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68" w:name="_Toc4677135"/>
      <w:r>
        <w:rPr>
          <w:rFonts w:hint="eastAsia"/>
          <w:b/>
          <w:bCs/>
        </w:rPr>
        <w:t>8.5 期末按债券品种分类的债券投资组合</w:t>
      </w:r>
      <w:bookmarkEnd w:id="68"/>
    </w:p>
    <w:p>
      <w:pPr>
        <w:pStyle w:val="27"/>
        <w:rPr>
          <w:rFonts w:hint="eastAsia"/>
        </w:rPr>
      </w:pPr>
      <w:r>
        <w:rPr>
          <w:rFonts w:hint="eastAsia"/>
        </w:rPr>
        <w:t>本基金转型前未持有债券。</w:t>
      </w:r>
    </w:p>
    <w:p>
      <w:pPr>
        <w:widowControl/>
        <w:jc w:val="left"/>
        <w:rPr>
          <w:rFonts w:hint="eastAsia" w:ascii="宋体" w:hAnsi="宋体" w:cs="宋体"/>
          <w:kern w:val="0"/>
          <w:sz w:val="24"/>
          <w:szCs w:val="24"/>
        </w:rPr>
      </w:pPr>
    </w:p>
    <w:p>
      <w:pPr>
        <w:pStyle w:val="21"/>
        <w:rPr>
          <w:rFonts w:hint="eastAsia"/>
        </w:rPr>
      </w:pPr>
      <w:bookmarkStart w:id="69" w:name="_Toc4677136"/>
      <w:r>
        <w:rPr>
          <w:rFonts w:hint="eastAsia"/>
          <w:b/>
          <w:bCs/>
        </w:rPr>
        <w:t>8.6 期末按公允价值占基金资产净值比例大小排序的前五名债券投资明细</w:t>
      </w:r>
      <w:bookmarkEnd w:id="6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本基金转型前未持有债券。</w:t>
      </w:r>
    </w:p>
    <w:p>
      <w:pPr>
        <w:widowControl/>
        <w:jc w:val="left"/>
        <w:rPr>
          <w:rFonts w:hint="eastAsia" w:ascii="宋体" w:hAnsi="宋体" w:cs="宋体"/>
          <w:kern w:val="0"/>
          <w:sz w:val="24"/>
          <w:szCs w:val="24"/>
        </w:rPr>
      </w:pPr>
    </w:p>
    <w:p>
      <w:pPr>
        <w:pStyle w:val="21"/>
        <w:rPr>
          <w:rFonts w:hint="eastAsia"/>
        </w:rPr>
      </w:pPr>
      <w:bookmarkStart w:id="70" w:name="_Toc4677137"/>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本基金转型前未持有资产支持证券。</w:t>
      </w:r>
    </w:p>
    <w:p>
      <w:pPr>
        <w:widowControl/>
        <w:jc w:val="left"/>
        <w:rPr>
          <w:rFonts w:hint="eastAsia" w:ascii="宋体" w:hAnsi="宋体" w:cs="宋体"/>
          <w:kern w:val="0"/>
          <w:sz w:val="24"/>
          <w:szCs w:val="24"/>
        </w:rPr>
      </w:pPr>
    </w:p>
    <w:p>
      <w:pPr>
        <w:pStyle w:val="21"/>
        <w:rPr>
          <w:rFonts w:hint="eastAsia"/>
        </w:rPr>
      </w:pPr>
      <w:bookmarkStart w:id="71" w:name="_Toc4677138"/>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7"/>
      </w:pPr>
      <w:r>
        <w:rPr>
          <w:rFonts w:hint="eastAsia"/>
        </w:rPr>
        <w:t>本基金转型前未持有贵金属。</w:t>
      </w:r>
    </w:p>
    <w:p>
      <w:pPr>
        <w:widowControl/>
        <w:jc w:val="left"/>
        <w:rPr>
          <w:rFonts w:hint="eastAsia" w:ascii="宋体" w:hAnsi="宋体" w:cs="宋体"/>
          <w:kern w:val="0"/>
          <w:sz w:val="24"/>
          <w:szCs w:val="24"/>
        </w:rPr>
      </w:pPr>
    </w:p>
    <w:p>
      <w:pPr>
        <w:pStyle w:val="21"/>
        <w:rPr>
          <w:rFonts w:hint="eastAsia"/>
        </w:rPr>
      </w:pPr>
      <w:bookmarkStart w:id="72" w:name="_Toc4677139"/>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7"/>
      </w:pPr>
      <w:r>
        <w:rPr>
          <w:rFonts w:hint="eastAsia"/>
        </w:rPr>
        <w:t>本基金转型前未持有权证。</w:t>
      </w:r>
    </w:p>
    <w:p>
      <w:pPr>
        <w:widowControl/>
        <w:jc w:val="left"/>
        <w:rPr>
          <w:rFonts w:hint="eastAsia" w:ascii="宋体" w:hAnsi="宋体" w:cs="宋体"/>
          <w:kern w:val="0"/>
          <w:sz w:val="24"/>
          <w:szCs w:val="24"/>
        </w:rPr>
      </w:pPr>
    </w:p>
    <w:p>
      <w:pPr>
        <w:pStyle w:val="21"/>
        <w:rPr>
          <w:rFonts w:hint="eastAsia"/>
        </w:rPr>
      </w:pPr>
      <w:bookmarkStart w:id="73" w:name="_Toc4677140"/>
      <w:r>
        <w:rPr>
          <w:rFonts w:hint="eastAsia"/>
          <w:b/>
          <w:bCs/>
        </w:rPr>
        <w:t>8.10 报告期末本基金投资的股指期货交易情况说明</w:t>
      </w:r>
      <w:bookmarkEnd w:id="73"/>
    </w:p>
    <w:p>
      <w:pPr>
        <w:pStyle w:val="22"/>
        <w:rPr>
          <w:rFonts w:hint="eastAsia"/>
        </w:rPr>
      </w:pPr>
      <w:r>
        <w:rPr>
          <w:rFonts w:hint="eastAsia"/>
          <w:b/>
          <w:bCs/>
        </w:rPr>
        <w:t>8.10.1 报告期末本基金投资的股指期货持仓和损益明细</w:t>
      </w:r>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本基金转型前未持有股指期货。</w:t>
      </w:r>
    </w:p>
    <w:p>
      <w:pPr>
        <w:widowControl/>
        <w:jc w:val="left"/>
        <w:rPr>
          <w:rFonts w:hint="eastAsia" w:ascii="宋体" w:hAnsi="宋体" w:cs="宋体"/>
          <w:kern w:val="0"/>
          <w:sz w:val="24"/>
          <w:szCs w:val="24"/>
        </w:rPr>
      </w:pPr>
    </w:p>
    <w:p>
      <w:pPr>
        <w:pStyle w:val="21"/>
        <w:rPr>
          <w:rFonts w:hint="eastAsia"/>
        </w:rPr>
      </w:pPr>
      <w:bookmarkStart w:id="74" w:name="_Toc4677141"/>
      <w:r>
        <w:rPr>
          <w:rFonts w:hint="eastAsia"/>
          <w:b/>
          <w:bCs/>
        </w:rPr>
        <w:t>8.11 报告期末本基金投资的国债期货交易情况说明</w:t>
      </w:r>
      <w:bookmarkEnd w:id="7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8.11.2 报告期末本基金投资的国债期货持仓和损益明细</w:t>
      </w:r>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本基金转型前未持有国债期货。</w:t>
      </w:r>
    </w:p>
    <w:p>
      <w:pPr>
        <w:widowControl/>
        <w:jc w:val="left"/>
        <w:rPr>
          <w:rFonts w:hint="eastAsia" w:ascii="宋体" w:hAnsi="宋体" w:cs="宋体"/>
          <w:kern w:val="0"/>
          <w:sz w:val="24"/>
          <w:szCs w:val="24"/>
        </w:rPr>
      </w:pPr>
    </w:p>
    <w:p>
      <w:pPr>
        <w:pStyle w:val="21"/>
        <w:rPr>
          <w:rFonts w:hint="eastAsia"/>
        </w:rPr>
      </w:pPr>
      <w:bookmarkStart w:id="75" w:name="_Toc4677142"/>
      <w:r>
        <w:rPr>
          <w:rFonts w:hint="eastAsia" w:hAnsi="Calibri"/>
          <w:b/>
          <w:color w:val="000000"/>
        </w:rPr>
        <w:t>8.12 投资组合报告附注</w:t>
      </w:r>
      <w:bookmarkEnd w:id="75"/>
    </w:p>
    <w:p>
      <w:pPr>
        <w:pStyle w:val="22"/>
        <w:rPr>
          <w:rFonts w:hint="eastAsia"/>
        </w:rPr>
      </w:pPr>
      <w:r>
        <w:rPr>
          <w:rFonts w:hint="eastAsia"/>
          <w:b/>
          <w:bCs/>
        </w:rPr>
        <w:t>8.12.1 2018 年 7 月 13 日五粮液公司公告：公司从四川省纪委、监察委网站获悉宜宾市国有资产经营有限公司董事长张辉（其现任本公司第五届董事会董事）正接受纪律审查和监察调查。 2018 年 8 月 28 日五粮液公司公告：公司从四川省纪委、监察委网站获悉 本公司监事、监事会主席余铭书涉嫌严重违纪违法，目前正接受纪律审查和监察调查。 本基金投研人员分析认为，公司董事和监事是因为个人原因接受纪律审查和检查，与公司没有关系，且公司也不会因为一个董事和一个监事接受调查而影响到其正常运作。公司也已经在公告中申明：该事项不会对公司生产经营和长远发展产生影响。而从公司基本面出发，五粮液是中国高端白酒龙头，股价经过18年的充分大幅调整，公司持续维持高且稳定的ROE，目前估值处于历史底部，配置价值明显，所以维持持有评级。本基金基金经理依据基金合同和公司投资管理制度，在投资授权范围内，经正常投资决策程序对五粮液进行了投资。</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127.98</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本基金转型前未持有处于转股期的可转换债券。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本基金转型前未持有股票。</w:t>
      </w:r>
    </w:p>
    <w:p>
      <w:pPr>
        <w:widowControl/>
        <w:jc w:val="left"/>
        <w:rPr>
          <w:rFonts w:hint="eastAsia" w:ascii="宋体" w:hAnsi="宋体" w:cs="宋体"/>
          <w:kern w:val="0"/>
          <w:sz w:val="24"/>
          <w:szCs w:val="24"/>
        </w:rPr>
      </w:pPr>
    </w:p>
    <w:p>
      <w:pPr>
        <w:pStyle w:val="20"/>
        <w:rPr>
          <w:rFonts w:hint="eastAsia"/>
        </w:rPr>
      </w:pPr>
      <w:bookmarkStart w:id="76" w:name="_Toc4677143"/>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77144"/>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6,042.68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949,475.39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138,206.17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6,371.23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183,871.04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6,239.42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1,133,346.43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158,214.40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12.25%</w:t>
            </w:r>
          </w:p>
        </w:tc>
      </w:tr>
    </w:tbl>
    <w:p>
      <w:pPr>
        <w:widowControl/>
        <w:jc w:val="left"/>
        <w:rPr>
          <w:rFonts w:hint="eastAsia" w:ascii="宋体" w:hAnsi="宋体" w:cs="宋体"/>
          <w:kern w:val="0"/>
          <w:sz w:val="24"/>
          <w:szCs w:val="24"/>
        </w:rPr>
      </w:pPr>
    </w:p>
    <w:p>
      <w:pPr>
        <w:pStyle w:val="21"/>
        <w:rPr>
          <w:rFonts w:hint="eastAsia"/>
        </w:rPr>
      </w:pPr>
      <w:bookmarkStart w:id="78" w:name="_Toc4677145"/>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26,837.17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27,968.77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2.17%</w:t>
            </w:r>
          </w:p>
        </w:tc>
      </w:tr>
    </w:tbl>
    <w:p>
      <w:pPr>
        <w:widowControl/>
        <w:jc w:val="left"/>
        <w:rPr>
          <w:rFonts w:hint="eastAsia" w:ascii="宋体" w:hAnsi="宋体" w:cs="宋体"/>
          <w:kern w:val="0"/>
          <w:sz w:val="24"/>
          <w:szCs w:val="24"/>
        </w:rPr>
      </w:pPr>
    </w:p>
    <w:p>
      <w:pPr>
        <w:pStyle w:val="21"/>
        <w:rPr>
          <w:rFonts w:hint="eastAsia"/>
        </w:rPr>
      </w:pPr>
      <w:bookmarkStart w:id="79" w:name="_Toc4677146"/>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0" w:name="_Toc4677147"/>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77148"/>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39,034.53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13,699.96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194,741.97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52,734.49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21.31%</w:t>
            </w:r>
          </w:p>
        </w:tc>
      </w:tr>
    </w:tbl>
    <w:p>
      <w:pPr>
        <w:widowControl/>
        <w:jc w:val="left"/>
        <w:rPr>
          <w:rFonts w:hint="eastAsia" w:ascii="宋体" w:hAnsi="宋体" w:cs="宋体"/>
          <w:kern w:val="0"/>
          <w:sz w:val="24"/>
          <w:szCs w:val="24"/>
        </w:rPr>
      </w:pPr>
    </w:p>
    <w:p>
      <w:pPr>
        <w:pStyle w:val="21"/>
        <w:rPr>
          <w:rFonts w:hint="eastAsia"/>
        </w:rPr>
      </w:pPr>
      <w:bookmarkStart w:id="82" w:name="_Toc4677149"/>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创金合信消费主题股票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1,398.49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0.67%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12.05%</w:t>
            </w:r>
          </w:p>
        </w:tc>
      </w:tr>
    </w:tbl>
    <w:p>
      <w:pPr>
        <w:widowControl/>
        <w:jc w:val="left"/>
        <w:rPr>
          <w:rFonts w:hint="eastAsia" w:ascii="宋体" w:hAnsi="宋体" w:cs="宋体"/>
          <w:kern w:val="0"/>
          <w:sz w:val="24"/>
          <w:szCs w:val="24"/>
        </w:rPr>
      </w:pPr>
    </w:p>
    <w:p>
      <w:pPr>
        <w:pStyle w:val="21"/>
        <w:rPr>
          <w:rFonts w:hint="eastAsia"/>
        </w:rPr>
      </w:pPr>
      <w:bookmarkStart w:id="83" w:name="_Toc4677150"/>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4" w:name="_Toc4677151"/>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创金合信消费主题股票A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创金合信消费主题股票C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基金合同生效日(2018年10月11日)基金份额总额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39,034.53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208,441.93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1,053,221.39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7,659.06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2,689.79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586.11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-1,884.57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-11,635.61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1,087,681.56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203,879.27</w:t>
            </w:r>
          </w:p>
        </w:tc>
      </w:tr>
    </w:tbl>
    <w:p>
      <w:pPr>
        <w:pStyle w:val="27"/>
        <w:rPr>
          <w:rFonts w:hint="eastAsia"/>
        </w:rPr>
      </w:pPr>
      <w:r>
        <w:rPr>
          <w:rFonts w:hint="eastAsia"/>
        </w:rPr>
        <w:t>注：（1）创金合信鑫回报灵活配置混合型证券投资基金于2018年10月11日将基金份额转换为创金合信消费主题股票型证券投资基金；并于同日进行基金份额的折算。</w:t>
      </w:r>
      <w:r>
        <w:rPr>
          <w:rFonts w:hint="eastAsia"/>
        </w:rPr>
        <w:br w:type="textWrapping"/>
      </w:r>
      <w:r>
        <w:rPr>
          <w:rFonts w:hint="eastAsia"/>
        </w:rPr>
        <w:t>（2）用于计算折算比例的基金份额净值四舍五入保留到小数点后第9位，创金合信鑫回报混合经折算后的份额数四舍五入保留到小数点后两位，折算及转换结果请查阅基金的相关公告。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77152"/>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创金合信鑫回报混合C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基金合同生效日(2016年08月22日)基金份额总额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500,349,524.01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431,722.30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497,255,321.89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70,586.54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2,977.03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196,836.31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497,219,264.39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58,980.92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39,034.53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208,441.93</w:t>
            </w:r>
          </w:p>
        </w:tc>
      </w:tr>
    </w:tbl>
    <w:p>
      <w:pPr>
        <w:widowControl/>
        <w:jc w:val="left"/>
        <w:rPr>
          <w:rFonts w:hint="eastAsia" w:ascii="宋体" w:hAnsi="宋体" w:cs="宋体"/>
          <w:kern w:val="0"/>
          <w:sz w:val="24"/>
          <w:szCs w:val="24"/>
        </w:rPr>
      </w:pPr>
    </w:p>
    <w:p>
      <w:pPr>
        <w:pStyle w:val="20"/>
        <w:rPr>
          <w:rFonts w:hint="eastAsia"/>
        </w:rPr>
      </w:pPr>
      <w:bookmarkStart w:id="86" w:name="_Toc4677153"/>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77154"/>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报告期，本基金以通讯方式召开了基金份额持有人大会，并于2018年9月25日表决通过了《关于创金合信鑫回报灵活配置混合型证券投资基金转型有关事项的议案》，本次大会决议自该日起生效。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77155"/>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77156"/>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77157"/>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77158"/>
      <w:r>
        <w:rPr>
          <w:rFonts w:hint="eastAsia"/>
          <w:b/>
          <w:bCs/>
        </w:rPr>
        <w:t>11.5 为基金进行审计的会计师事务所情况</w:t>
      </w:r>
      <w:bookmarkEnd w:id="91"/>
    </w:p>
    <w:p>
      <w:pPr>
        <w:pStyle w:val="27"/>
        <w:spacing w:before="0"/>
        <w:ind w:left="0" w:firstLine="480"/>
        <w:rPr>
          <w:rFonts w:hint="eastAsia"/>
        </w:rPr>
      </w:pPr>
      <w:r>
        <w:rPr>
          <w:rFonts w:hint="eastAsia"/>
        </w:rPr>
        <w:t>本报告期内本基金未更换会计师事务所,本年度支付给普华永道中天会计师事务所(特殊普通合伙)审计费用31,232.20元,该审计机构连续提供审计服务的年限为3年（含转型前）。</w:t>
      </w:r>
    </w:p>
    <w:p>
      <w:pPr>
        <w:widowControl/>
        <w:jc w:val="left"/>
        <w:rPr>
          <w:rFonts w:hint="eastAsia" w:ascii="宋体" w:hAnsi="宋体" w:cs="宋体"/>
          <w:kern w:val="0"/>
          <w:sz w:val="24"/>
          <w:szCs w:val="24"/>
        </w:rPr>
      </w:pPr>
    </w:p>
    <w:p>
      <w:pPr>
        <w:pStyle w:val="21"/>
        <w:rPr>
          <w:rFonts w:hint="eastAsia"/>
        </w:rPr>
      </w:pPr>
      <w:bookmarkStart w:id="92" w:name="_Toc4677159"/>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77160"/>
      <w:r>
        <w:rPr>
          <w:rFonts w:hint="eastAsia"/>
          <w:b/>
          <w:bCs/>
        </w:rPr>
        <w:t>转型后</w:t>
      </w:r>
      <w:bookmarkEnd w:id="93"/>
    </w:p>
    <w:p>
      <w:pPr>
        <w:pStyle w:val="22"/>
        <w:rPr>
          <w:rFonts w:hint="eastAsia"/>
        </w:rPr>
      </w:pPr>
      <w:r>
        <w:rPr>
          <w:rFonts w:hint="eastAsia"/>
          <w:b/>
          <w:bCs/>
        </w:rPr>
        <w:t>报告期2018年10月11日（基金合同生效日） - 2018年12月31日</w:t>
      </w:r>
    </w:p>
    <w:p>
      <w:pPr>
        <w:pStyle w:val="21"/>
        <w:rPr>
          <w:rFonts w:hint="eastAsia"/>
        </w:rPr>
      </w:pPr>
      <w:bookmarkStart w:id="94" w:name="_Toc4677161"/>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1,417,654.64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16,046.80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77162"/>
      <w:r>
        <w:rPr>
          <w:rFonts w:hint="eastAsia"/>
          <w:b/>
          <w:bCs/>
        </w:rPr>
        <w:t>转型前</w:t>
      </w:r>
      <w:bookmarkEnd w:id="95"/>
    </w:p>
    <w:p>
      <w:pPr>
        <w:pStyle w:val="22"/>
        <w:rPr>
          <w:rFonts w:hint="eastAsia"/>
        </w:rPr>
      </w:pPr>
      <w:r>
        <w:rPr>
          <w:rFonts w:hint="eastAsia"/>
          <w:b/>
          <w:bCs/>
        </w:rPr>
        <w:t>报告期2018年01月01日 - 2018年10月10日</w:t>
      </w:r>
    </w:p>
    <w:p>
      <w:pPr>
        <w:pStyle w:val="21"/>
        <w:rPr>
          <w:rFonts w:hint="eastAsia"/>
        </w:rPr>
      </w:pPr>
      <w:bookmarkStart w:id="96" w:name="_Toc4677163"/>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414,852,239.91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303,377.26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499"/>
        <w:gridCol w:w="889"/>
        <w:gridCol w:w="1050"/>
        <w:gridCol w:w="819"/>
        <w:gridCol w:w="1050"/>
        <w:gridCol w:w="819"/>
        <w:gridCol w:w="1050"/>
        <w:gridCol w:w="81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55,234.90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77164"/>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创金合信基金管理有限公司关于创金合信鑫回报灵活配置混合型证券投资基金修订基金合同、托管协议部分条款及调整赎回费相关规则的公告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创金合信基金管理有限公司关于以通讯方式召开创金合信鑫回报灵活配置混合型证券投资基金基金份额持有人大会的公告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创金合信基金管理有限公司关于以通讯方式召开创金合信鑫回报灵活配置混合型证券投资基金基金份额持有人大会的第一次提示性公告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创金合信基金管理有限公司关于以通讯方式召开创金合信鑫回报灵活配置混合型证券投资基金基金份额持有人大会的第二次提示性公告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关于创金合信鑫回报灵活配置混合型证券投资基金转型为创金合信消费主题股票型证券投资基金的提示性公告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创金合信消费主题股票型证券投资基金开放日常申购、赎回、转换及定期定额投资业务的公告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关于创金合信鑫回报灵活配置混合型证券投资基金转型为创金合信消费主题股票型证券投资基金基金份额转换及折算结果的公告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创金合信鑫回报灵活配置混合型证券投资基金2018年第3季度报告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20"/>
        <w:rPr>
          <w:rFonts w:hint="eastAsia"/>
        </w:rPr>
      </w:pPr>
      <w:bookmarkStart w:id="98" w:name="_Toc4677165"/>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77166"/>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20180711 - 20181231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1,144,217.36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10,870.93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1,133,346.43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87.75%</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77167"/>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77168"/>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77169"/>
      <w:r>
        <w:rPr>
          <w:rFonts w:hint="eastAsia"/>
          <w:b/>
          <w:bCs/>
        </w:rPr>
        <w:t>13.1 备查文件目录</w:t>
      </w:r>
      <w:bookmarkEnd w:id="102"/>
    </w:p>
    <w:p>
      <w:pPr>
        <w:pStyle w:val="27"/>
        <w:spacing w:before="0"/>
        <w:ind w:left="0" w:firstLine="480"/>
        <w:rPr>
          <w:rFonts w:hint="eastAsia"/>
        </w:rPr>
      </w:pPr>
      <w:r>
        <w:rPr>
          <w:rFonts w:hint="eastAsia"/>
        </w:rPr>
        <w:t>1、《创金合信消费主题股票型证券投资基金基金合同》、《创金合信鑫回报灵活配置混合型证券投资基金基金合同》；</w:t>
      </w:r>
    </w:p>
    <w:p>
      <w:pPr>
        <w:pStyle w:val="27"/>
        <w:spacing w:before="0"/>
        <w:ind w:left="0" w:firstLine="480"/>
        <w:rPr>
          <w:rFonts w:hint="eastAsia"/>
        </w:rPr>
      </w:pPr>
      <w:r>
        <w:rPr>
          <w:rFonts w:hint="eastAsia"/>
        </w:rPr>
        <w:t>2、《创金合信消费主题股票型证券投资基金托管协议》、《创金合信鑫回报灵活配置混合型证券投资基金托管协议》；</w:t>
      </w:r>
    </w:p>
    <w:p>
      <w:pPr>
        <w:pStyle w:val="27"/>
        <w:spacing w:before="0"/>
        <w:ind w:left="0" w:firstLine="480"/>
        <w:rPr>
          <w:rFonts w:hint="eastAsia"/>
        </w:rPr>
      </w:pPr>
      <w:r>
        <w:rPr>
          <w:rFonts w:hint="eastAsia"/>
        </w:rPr>
        <w:t>3、创金合信消费主题股票型证券投资基金2018年年度报告。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77170"/>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77171"/>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100</w:t>
    </w:r>
    <w:r>
      <w:rPr>
        <w:rStyle w:val="17"/>
      </w:rPr>
      <w:fldChar w:fldCharType="end"/>
    </w:r>
  </w:p>
  <w:p>
    <w:pPr>
      <w:pStyle w:val="6"/>
      <w:jc w:val="center"/>
    </w:pPr>
    <w:r>
      <w:rPr>
        <w:rFonts w:hint="eastAsia"/>
      </w:rPr>
      <w:t xml:space="preserve">                   第       页，共120页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创金合信消费主题股票型证券投资基金（原创金合信鑫回报灵活配置混合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DB6"/>
    <w:rsid w:val="00167DB6"/>
    <w:rsid w:val="001C1EDE"/>
    <w:rsid w:val="001E6793"/>
    <w:rsid w:val="00284017"/>
    <w:rsid w:val="003A124E"/>
    <w:rsid w:val="00527D33"/>
    <w:rsid w:val="00801DDC"/>
    <w:rsid w:val="008B790F"/>
    <w:rsid w:val="00B472CE"/>
    <w:rsid w:val="00B533CA"/>
    <w:rsid w:val="00C54200"/>
    <w:rsid w:val="00D25101"/>
    <w:rsid w:val="00E62A4B"/>
    <w:rsid w:val="00EF39E4"/>
    <w:rsid w:val="15CA5B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117</Pages>
  <Words>12944</Words>
  <Characters>73781</Characters>
  <Lines>614</Lines>
  <Paragraphs>173</Paragraphs>
  <TotalTime>0</TotalTime>
  <ScaleCrop>false</ScaleCrop>
  <LinksUpToDate>false</LinksUpToDate>
  <CharactersWithSpaces>86552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2019-03-28T07:10:00Z</dcterms:created>
  <dc:creator>石怡翔</dc:creator>
  <cp:lastModifiedBy>Administrator</cp:lastModifiedBy>
  <dcterms:modified xsi:type="dcterms:W3CDTF">2019-12-26T14:06:53Z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