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创金合信尊智纯债债券型证券投资基金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2"/>
        <w:spacing w:before="240" w:after="120"/>
      </w:pPr>
      <w:bookmarkStart w:id="0" w:name="_Toc4487318"/>
      <w:r>
        <w:rPr>
          <w:rFonts w:hint="eastAsia" w:hAnsi="Calibri"/>
          <w:b/>
          <w:color w:val="000000"/>
        </w:rPr>
        <w:t>§1  重要提示及目录</w:t>
      </w:r>
      <w:bookmarkEnd w:id="0"/>
      <w:r>
        <w:rPr>
          <w:rFonts w:hint="eastAsia"/>
        </w:rPr>
        <w:t xml:space="preserve"> </w:t>
      </w:r>
    </w:p>
    <w:p>
      <w:pPr>
        <w:pStyle w:val="13"/>
        <w:rPr>
          <w:rFonts w:hint="eastAsia"/>
        </w:rPr>
      </w:pPr>
      <w:bookmarkStart w:id="1" w:name="_Toc4487319"/>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6"/>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19"/>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19"/>
              <w:wordWrap w:val="0"/>
              <w:spacing w:before="0"/>
              <w:ind w:left="0" w:firstLine="480"/>
              <w:rPr>
                <w:rFonts w:hint="eastAsia"/>
              </w:rPr>
            </w:pPr>
            <w:r>
              <w:rPr>
                <w:rFonts w:hint="eastAsia"/>
              </w:rPr>
              <w:t>基金管理人承诺以诚实信用、勤勉尽责的原则管理和运用基金资产，但不保证基金一定盈利。</w:t>
            </w:r>
          </w:p>
          <w:p>
            <w:pPr>
              <w:pStyle w:val="19"/>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19"/>
              <w:wordWrap w:val="0"/>
              <w:spacing w:before="0"/>
              <w:ind w:left="0" w:firstLine="480"/>
              <w:rPr>
                <w:rFonts w:hint="eastAsia"/>
              </w:rPr>
            </w:pPr>
            <w:r>
              <w:rPr>
                <w:rFonts w:hint="eastAsia"/>
              </w:rPr>
              <w:t>本报告期自2018年01月01日起至2018年12月31日止。</w:t>
            </w:r>
          </w:p>
        </w:tc>
      </w:tr>
    </w:tbl>
    <w:p>
      <w:pPr>
        <w:pStyle w:val="13"/>
        <w:rPr>
          <w:rFonts w:hint="eastAsia"/>
        </w:rPr>
      </w:pPr>
      <w:r>
        <w:rPr>
          <w:rFonts w:ascii="Times New Roman" w:hAnsi="Times New Roman"/>
        </w:rPr>
        <w:br w:type="page"/>
      </w:r>
      <w:bookmarkStart w:id="2" w:name="_Toc4487320"/>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0"/>
          <w:lang/>
        </w:rPr>
        <w:fldChar w:fldCharType="begin"/>
      </w:r>
      <w:r>
        <w:rPr>
          <w:rStyle w:val="10"/>
          <w:lang/>
        </w:rPr>
        <w:instrText xml:space="preserve"> </w:instrText>
      </w:r>
      <w:r>
        <w:rPr>
          <w:lang/>
        </w:rPr>
        <w:instrText xml:space="preserve">HYPERLINK \l "_Toc4487318"</w:instrText>
      </w:r>
      <w:r>
        <w:rPr>
          <w:rStyle w:val="10"/>
          <w:lang/>
        </w:rPr>
        <w:instrText xml:space="preserve"> </w:instrText>
      </w:r>
      <w:r>
        <w:rPr>
          <w:rStyle w:val="10"/>
          <w:lang/>
        </w:rPr>
        <w:fldChar w:fldCharType="separate"/>
      </w:r>
      <w:r>
        <w:rPr>
          <w:rStyle w:val="10"/>
          <w:b/>
          <w:lang/>
        </w:rPr>
        <w:t xml:space="preserve">§1  </w:t>
      </w:r>
      <w:r>
        <w:rPr>
          <w:rStyle w:val="10"/>
          <w:rFonts w:hint="eastAsia"/>
          <w:b/>
          <w:lang/>
        </w:rPr>
        <w:t>重要提示及目录</w:t>
      </w:r>
      <w:r>
        <w:rPr>
          <w:lang/>
        </w:rPr>
        <w:tab/>
      </w:r>
      <w:r>
        <w:rPr>
          <w:lang/>
        </w:rPr>
        <w:fldChar w:fldCharType="begin"/>
      </w:r>
      <w:r>
        <w:rPr>
          <w:lang/>
        </w:rPr>
        <w:instrText xml:space="preserve"> PAGEREF _Toc4487318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"_Toc4487319"</w:instrText>
      </w:r>
      <w:r>
        <w:rPr>
          <w:rStyle w:val="10"/>
          <w:lang/>
        </w:rPr>
        <w:instrText xml:space="preserve"> </w:instrText>
      </w:r>
      <w:r>
        <w:rPr>
          <w:rStyle w:val="10"/>
          <w:lang/>
        </w:rPr>
        <w:fldChar w:fldCharType="separate"/>
      </w:r>
      <w:r>
        <w:rPr>
          <w:rStyle w:val="10"/>
          <w:b/>
          <w:bCs/>
          <w:lang/>
        </w:rPr>
        <w:t xml:space="preserve">1.1 </w:t>
      </w:r>
      <w:r>
        <w:rPr>
          <w:rStyle w:val="10"/>
          <w:rFonts w:hint="eastAsia"/>
          <w:b/>
          <w:bCs/>
          <w:lang/>
        </w:rPr>
        <w:t>重要提示</w:t>
      </w:r>
      <w:r>
        <w:rPr>
          <w:lang/>
        </w:rPr>
        <w:tab/>
      </w:r>
      <w:r>
        <w:rPr>
          <w:lang/>
        </w:rPr>
        <w:fldChar w:fldCharType="begin"/>
      </w:r>
      <w:r>
        <w:rPr>
          <w:lang/>
        </w:rPr>
        <w:instrText xml:space="preserve"> PAGEREF _Toc4487319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"_Toc4487320"</w:instrText>
      </w:r>
      <w:r>
        <w:rPr>
          <w:rStyle w:val="10"/>
          <w:lang/>
        </w:rPr>
        <w:instrText xml:space="preserve"> </w:instrText>
      </w:r>
      <w:r>
        <w:rPr>
          <w:rStyle w:val="10"/>
          <w:lang/>
        </w:rPr>
        <w:fldChar w:fldCharType="separate"/>
      </w:r>
      <w:r>
        <w:rPr>
          <w:rStyle w:val="10"/>
          <w:b/>
          <w:bCs/>
          <w:lang/>
        </w:rPr>
        <w:t xml:space="preserve">1.2 </w:t>
      </w:r>
      <w:r>
        <w:rPr>
          <w:rStyle w:val="10"/>
          <w:rFonts w:hint="eastAsia"/>
          <w:b/>
          <w:bCs/>
          <w:lang/>
        </w:rPr>
        <w:t>目录</w:t>
      </w:r>
      <w:r>
        <w:rPr>
          <w:lang/>
        </w:rPr>
        <w:tab/>
      </w:r>
      <w:r>
        <w:rPr>
          <w:lang/>
        </w:rPr>
        <w:fldChar w:fldCharType="begin"/>
      </w:r>
      <w:r>
        <w:rPr>
          <w:lang/>
        </w:rPr>
        <w:instrText xml:space="preserve"> PAGEREF _Toc4487320 \h </w:instrText>
      </w:r>
      <w:r>
        <w:rPr>
          <w:lang/>
        </w:rPr>
        <w:fldChar w:fldCharType="separate"/>
      </w:r>
      <w:r>
        <w:rPr>
          <w:lang/>
        </w:rPr>
        <w:t>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"_Toc4487321"</w:instrText>
      </w:r>
      <w:r>
        <w:rPr>
          <w:rStyle w:val="10"/>
          <w:lang/>
        </w:rPr>
        <w:instrText xml:space="preserve"> </w:instrText>
      </w:r>
      <w:r>
        <w:rPr>
          <w:rStyle w:val="10"/>
          <w:lang/>
        </w:rPr>
        <w:fldChar w:fldCharType="separate"/>
      </w:r>
      <w:r>
        <w:rPr>
          <w:rStyle w:val="10"/>
          <w:b/>
          <w:lang/>
        </w:rPr>
        <w:t xml:space="preserve">§2  </w:t>
      </w:r>
      <w:r>
        <w:rPr>
          <w:rStyle w:val="10"/>
          <w:rFonts w:hint="eastAsia"/>
          <w:b/>
          <w:lang/>
        </w:rPr>
        <w:t>基金简介</w:t>
      </w:r>
      <w:r>
        <w:rPr>
          <w:lang/>
        </w:rPr>
        <w:tab/>
      </w:r>
      <w:r>
        <w:rPr>
          <w:lang/>
        </w:rPr>
        <w:fldChar w:fldCharType="begin"/>
      </w:r>
      <w:r>
        <w:rPr>
          <w:lang/>
        </w:rPr>
        <w:instrText xml:space="preserve"> PAGEREF _Toc4487321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"_Toc4487322"</w:instrText>
      </w:r>
      <w:r>
        <w:rPr>
          <w:rStyle w:val="10"/>
          <w:lang/>
        </w:rPr>
        <w:instrText xml:space="preserve"> </w:instrText>
      </w:r>
      <w:r>
        <w:rPr>
          <w:rStyle w:val="10"/>
          <w:lang/>
        </w:rPr>
        <w:fldChar w:fldCharType="separate"/>
      </w:r>
      <w:r>
        <w:rPr>
          <w:rStyle w:val="10"/>
          <w:b/>
          <w:bCs/>
          <w:lang/>
        </w:rPr>
        <w:t xml:space="preserve">2.1 </w:t>
      </w:r>
      <w:r>
        <w:rPr>
          <w:rStyle w:val="10"/>
          <w:rFonts w:hint="eastAsia"/>
          <w:b/>
          <w:bCs/>
          <w:lang/>
        </w:rPr>
        <w:t>基金基本情况</w:t>
      </w:r>
      <w:r>
        <w:rPr>
          <w:lang/>
        </w:rPr>
        <w:tab/>
      </w:r>
      <w:r>
        <w:rPr>
          <w:lang/>
        </w:rPr>
        <w:fldChar w:fldCharType="begin"/>
      </w:r>
      <w:r>
        <w:rPr>
          <w:lang/>
        </w:rPr>
        <w:instrText xml:space="preserve"> PAGEREF _Toc4487322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"_Toc4487323"</w:instrText>
      </w:r>
      <w:r>
        <w:rPr>
          <w:rStyle w:val="10"/>
          <w:lang/>
        </w:rPr>
        <w:instrText xml:space="preserve"> </w:instrText>
      </w:r>
      <w:r>
        <w:rPr>
          <w:rStyle w:val="10"/>
          <w:lang/>
        </w:rPr>
        <w:fldChar w:fldCharType="separate"/>
      </w:r>
      <w:r>
        <w:rPr>
          <w:rStyle w:val="10"/>
          <w:b/>
          <w:bCs/>
          <w:lang/>
        </w:rPr>
        <w:t xml:space="preserve">2.2 </w:t>
      </w:r>
      <w:r>
        <w:rPr>
          <w:rStyle w:val="10"/>
          <w:rFonts w:hint="eastAsia"/>
          <w:b/>
          <w:bCs/>
          <w:lang/>
        </w:rPr>
        <w:t>基金产品说明</w:t>
      </w:r>
      <w:r>
        <w:rPr>
          <w:lang/>
        </w:rPr>
        <w:tab/>
      </w:r>
      <w:r>
        <w:rPr>
          <w:lang/>
        </w:rPr>
        <w:fldChar w:fldCharType="begin"/>
      </w:r>
      <w:r>
        <w:rPr>
          <w:lang/>
        </w:rPr>
        <w:instrText xml:space="preserve"> PAGEREF _Toc4487323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"_Toc4487324"</w:instrText>
      </w:r>
      <w:r>
        <w:rPr>
          <w:rStyle w:val="10"/>
          <w:lang/>
        </w:rPr>
        <w:instrText xml:space="preserve"> </w:instrText>
      </w:r>
      <w:r>
        <w:rPr>
          <w:rStyle w:val="10"/>
          <w:lang/>
        </w:rPr>
        <w:fldChar w:fldCharType="separate"/>
      </w:r>
      <w:r>
        <w:rPr>
          <w:rStyle w:val="10"/>
          <w:b/>
          <w:bCs/>
          <w:lang/>
        </w:rPr>
        <w:t xml:space="preserve">2.3 </w:t>
      </w:r>
      <w:r>
        <w:rPr>
          <w:rStyle w:val="10"/>
          <w:rFonts w:hint="eastAsia"/>
          <w:b/>
          <w:bCs/>
          <w:lang/>
        </w:rPr>
        <w:t>基金管理人和基金托管人</w:t>
      </w:r>
      <w:r>
        <w:rPr>
          <w:lang/>
        </w:rPr>
        <w:tab/>
      </w:r>
      <w:r>
        <w:rPr>
          <w:lang/>
        </w:rPr>
        <w:fldChar w:fldCharType="begin"/>
      </w:r>
      <w:r>
        <w:rPr>
          <w:lang/>
        </w:rPr>
        <w:instrText xml:space="preserve"> PAGEREF _Toc4487324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"_Toc4487325"</w:instrText>
      </w:r>
      <w:r>
        <w:rPr>
          <w:rStyle w:val="10"/>
          <w:lang/>
        </w:rPr>
        <w:instrText xml:space="preserve"> </w:instrText>
      </w:r>
      <w:r>
        <w:rPr>
          <w:rStyle w:val="10"/>
          <w:lang/>
        </w:rPr>
        <w:fldChar w:fldCharType="separate"/>
      </w:r>
      <w:r>
        <w:rPr>
          <w:rStyle w:val="10"/>
          <w:b/>
          <w:bCs/>
          <w:lang/>
        </w:rPr>
        <w:t xml:space="preserve">2.4 </w:t>
      </w:r>
      <w:r>
        <w:rPr>
          <w:rStyle w:val="10"/>
          <w:rFonts w:hint="eastAsia"/>
          <w:b/>
          <w:bCs/>
          <w:lang/>
        </w:rPr>
        <w:t>信息披露方式</w:t>
      </w:r>
      <w:r>
        <w:rPr>
          <w:lang/>
        </w:rPr>
        <w:tab/>
      </w:r>
      <w:r>
        <w:rPr>
          <w:lang/>
        </w:rPr>
        <w:fldChar w:fldCharType="begin"/>
      </w:r>
      <w:r>
        <w:rPr>
          <w:lang/>
        </w:rPr>
        <w:instrText xml:space="preserve"> PAGEREF _Toc4487325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"_Toc4487326"</w:instrText>
      </w:r>
      <w:r>
        <w:rPr>
          <w:rStyle w:val="10"/>
          <w:lang/>
        </w:rPr>
        <w:instrText xml:space="preserve"> </w:instrText>
      </w:r>
      <w:r>
        <w:rPr>
          <w:rStyle w:val="10"/>
          <w:lang/>
        </w:rPr>
        <w:fldChar w:fldCharType="separate"/>
      </w:r>
      <w:r>
        <w:rPr>
          <w:rStyle w:val="10"/>
          <w:b/>
          <w:bCs/>
          <w:lang/>
        </w:rPr>
        <w:t xml:space="preserve">2.5 </w:t>
      </w:r>
      <w:r>
        <w:rPr>
          <w:rStyle w:val="10"/>
          <w:rFonts w:hint="eastAsia"/>
          <w:b/>
          <w:bCs/>
          <w:lang/>
        </w:rPr>
        <w:t>其他相关资料</w:t>
      </w:r>
      <w:r>
        <w:rPr>
          <w:lang/>
        </w:rPr>
        <w:tab/>
      </w:r>
      <w:r>
        <w:rPr>
          <w:lang/>
        </w:rPr>
        <w:fldChar w:fldCharType="begin"/>
      </w:r>
      <w:r>
        <w:rPr>
          <w:lang/>
        </w:rPr>
        <w:instrText xml:space="preserve"> PAGEREF _Toc4487326 \h </w:instrText>
      </w:r>
      <w:r>
        <w:rPr>
          <w:lang/>
        </w:rPr>
        <w:fldChar w:fldCharType="separate"/>
      </w:r>
      <w:r>
        <w:rPr>
          <w:lang/>
        </w:rPr>
        <w:t>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"_Toc4487327"</w:instrText>
      </w:r>
      <w:r>
        <w:rPr>
          <w:rStyle w:val="10"/>
          <w:lang/>
        </w:rPr>
        <w:instrText xml:space="preserve"> </w:instrText>
      </w:r>
      <w:r>
        <w:rPr>
          <w:rStyle w:val="10"/>
          <w:lang/>
        </w:rPr>
        <w:fldChar w:fldCharType="separate"/>
      </w:r>
      <w:r>
        <w:rPr>
          <w:rStyle w:val="10"/>
          <w:b/>
          <w:lang/>
        </w:rPr>
        <w:t xml:space="preserve">§3  </w:t>
      </w:r>
      <w:r>
        <w:rPr>
          <w:rStyle w:val="10"/>
          <w:rFonts w:hint="eastAsia"/>
          <w:b/>
          <w:lang/>
        </w:rPr>
        <w:t>主要财务指标、基金净值表现及利润分配情况</w:t>
      </w:r>
      <w:r>
        <w:rPr>
          <w:lang/>
        </w:rPr>
        <w:tab/>
      </w:r>
      <w:r>
        <w:rPr>
          <w:lang/>
        </w:rPr>
        <w:fldChar w:fldCharType="begin"/>
      </w:r>
      <w:r>
        <w:rPr>
          <w:lang/>
        </w:rPr>
        <w:instrText xml:space="preserve"> PAGEREF _Toc4487327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"_Toc4487328"</w:instrText>
      </w:r>
      <w:r>
        <w:rPr>
          <w:rStyle w:val="10"/>
          <w:lang/>
        </w:rPr>
        <w:instrText xml:space="preserve"> </w:instrText>
      </w:r>
      <w:r>
        <w:rPr>
          <w:rStyle w:val="10"/>
          <w:lang/>
        </w:rPr>
        <w:fldChar w:fldCharType="separate"/>
      </w:r>
      <w:r>
        <w:rPr>
          <w:rStyle w:val="10"/>
          <w:b/>
          <w:bCs/>
          <w:lang/>
        </w:rPr>
        <w:t xml:space="preserve">3.1 </w:t>
      </w:r>
      <w:r>
        <w:rPr>
          <w:rStyle w:val="10"/>
          <w:rFonts w:hint="eastAsia"/>
          <w:b/>
          <w:bCs/>
          <w:lang/>
        </w:rPr>
        <w:t>主要会计数据和财务指标</w:t>
      </w:r>
      <w:r>
        <w:rPr>
          <w:lang/>
        </w:rPr>
        <w:tab/>
      </w:r>
      <w:r>
        <w:rPr>
          <w:lang/>
        </w:rPr>
        <w:fldChar w:fldCharType="begin"/>
      </w:r>
      <w:r>
        <w:rPr>
          <w:lang/>
        </w:rPr>
        <w:instrText xml:space="preserve"> PAGEREF _Toc4487328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"_Toc4487329"</w:instrText>
      </w:r>
      <w:r>
        <w:rPr>
          <w:rStyle w:val="10"/>
          <w:lang/>
        </w:rPr>
        <w:instrText xml:space="preserve"> </w:instrText>
      </w:r>
      <w:r>
        <w:rPr>
          <w:rStyle w:val="10"/>
          <w:lang/>
        </w:rPr>
        <w:fldChar w:fldCharType="separate"/>
      </w:r>
      <w:r>
        <w:rPr>
          <w:rStyle w:val="10"/>
          <w:b/>
          <w:bCs/>
          <w:lang/>
        </w:rPr>
        <w:t xml:space="preserve">3.2 </w:t>
      </w:r>
      <w:r>
        <w:rPr>
          <w:rStyle w:val="10"/>
          <w:rFonts w:hint="eastAsia"/>
          <w:b/>
          <w:bCs/>
          <w:lang/>
        </w:rPr>
        <w:t>基金净值表现</w:t>
      </w:r>
      <w:r>
        <w:rPr>
          <w:lang/>
        </w:rPr>
        <w:tab/>
      </w:r>
      <w:r>
        <w:rPr>
          <w:lang/>
        </w:rPr>
        <w:fldChar w:fldCharType="begin"/>
      </w:r>
      <w:r>
        <w:rPr>
          <w:lang/>
        </w:rPr>
        <w:instrText xml:space="preserve"> PAGEREF _Toc4487329 \h </w:instrText>
      </w:r>
      <w:r>
        <w:rPr>
          <w:lang/>
        </w:rPr>
        <w:fldChar w:fldCharType="separate"/>
      </w:r>
      <w:r>
        <w:rPr>
          <w:lang/>
        </w:rPr>
        <w:t>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"_Toc4487330"</w:instrText>
      </w:r>
      <w:r>
        <w:rPr>
          <w:rStyle w:val="10"/>
          <w:lang/>
        </w:rPr>
        <w:instrText xml:space="preserve"> </w:instrText>
      </w:r>
      <w:r>
        <w:rPr>
          <w:rStyle w:val="10"/>
          <w:lang/>
        </w:rPr>
        <w:fldChar w:fldCharType="separate"/>
      </w:r>
      <w:r>
        <w:rPr>
          <w:rStyle w:val="10"/>
          <w:b/>
          <w:lang/>
        </w:rPr>
        <w:t xml:space="preserve">3.3 </w:t>
      </w:r>
      <w:r>
        <w:rPr>
          <w:rStyle w:val="10"/>
          <w:rFonts w:hint="eastAsia"/>
          <w:b/>
          <w:lang/>
        </w:rPr>
        <w:t>过去三年基金的利润分配情况</w:t>
      </w:r>
      <w:r>
        <w:rPr>
          <w:lang/>
        </w:rPr>
        <w:tab/>
      </w:r>
      <w:r>
        <w:rPr>
          <w:lang/>
        </w:rPr>
        <w:fldChar w:fldCharType="begin"/>
      </w:r>
      <w:r>
        <w:rPr>
          <w:lang/>
        </w:rPr>
        <w:instrText xml:space="preserve"> PAGEREF _Toc4487330 \h </w:instrText>
      </w:r>
      <w:r>
        <w:rPr>
          <w:lang/>
        </w:rPr>
        <w:fldChar w:fldCharType="separate"/>
      </w:r>
      <w:r>
        <w:rPr>
          <w:lang/>
        </w:rPr>
        <w:t>9</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"_Toc4487331"</w:instrText>
      </w:r>
      <w:r>
        <w:rPr>
          <w:rStyle w:val="10"/>
          <w:lang/>
        </w:rPr>
        <w:instrText xml:space="preserve"> </w:instrText>
      </w:r>
      <w:r>
        <w:rPr>
          <w:rStyle w:val="10"/>
          <w:lang/>
        </w:rPr>
        <w:fldChar w:fldCharType="separate"/>
      </w:r>
      <w:r>
        <w:rPr>
          <w:rStyle w:val="10"/>
          <w:b/>
          <w:lang/>
        </w:rPr>
        <w:t xml:space="preserve">§4  </w:t>
      </w:r>
      <w:r>
        <w:rPr>
          <w:rStyle w:val="10"/>
          <w:rFonts w:hint="eastAsia"/>
          <w:b/>
          <w:lang/>
        </w:rPr>
        <w:t>管理人报告</w:t>
      </w:r>
      <w:r>
        <w:rPr>
          <w:lang/>
        </w:rPr>
        <w:tab/>
      </w:r>
      <w:r>
        <w:rPr>
          <w:lang/>
        </w:rPr>
        <w:fldChar w:fldCharType="begin"/>
      </w:r>
      <w:r>
        <w:rPr>
          <w:lang/>
        </w:rPr>
        <w:instrText xml:space="preserve"> PAGEREF _Toc4487331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"_Toc4487332"</w:instrText>
      </w:r>
      <w:r>
        <w:rPr>
          <w:rStyle w:val="10"/>
          <w:lang/>
        </w:rPr>
        <w:instrText xml:space="preserve"> </w:instrText>
      </w:r>
      <w:r>
        <w:rPr>
          <w:rStyle w:val="10"/>
          <w:lang/>
        </w:rPr>
        <w:fldChar w:fldCharType="separate"/>
      </w:r>
      <w:r>
        <w:rPr>
          <w:rStyle w:val="10"/>
          <w:b/>
          <w:bCs/>
          <w:lang/>
        </w:rPr>
        <w:t xml:space="preserve">4.1 </w:t>
      </w:r>
      <w:r>
        <w:rPr>
          <w:rStyle w:val="10"/>
          <w:rFonts w:hint="eastAsia"/>
          <w:b/>
          <w:bCs/>
          <w:lang/>
        </w:rPr>
        <w:t>基金管理人及基金经理情况</w:t>
      </w:r>
      <w:r>
        <w:rPr>
          <w:lang/>
        </w:rPr>
        <w:tab/>
      </w:r>
      <w:r>
        <w:rPr>
          <w:lang/>
        </w:rPr>
        <w:fldChar w:fldCharType="begin"/>
      </w:r>
      <w:r>
        <w:rPr>
          <w:lang/>
        </w:rPr>
        <w:instrText xml:space="preserve"> PAGEREF _Toc4487332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"_Toc4487333"</w:instrText>
      </w:r>
      <w:r>
        <w:rPr>
          <w:rStyle w:val="10"/>
          <w:lang/>
        </w:rPr>
        <w:instrText xml:space="preserve"> </w:instrText>
      </w:r>
      <w:r>
        <w:rPr>
          <w:rStyle w:val="10"/>
          <w:lang/>
        </w:rPr>
        <w:fldChar w:fldCharType="separate"/>
      </w:r>
      <w:r>
        <w:rPr>
          <w:rStyle w:val="10"/>
          <w:b/>
          <w:lang/>
        </w:rPr>
        <w:t xml:space="preserve">4.2 </w:t>
      </w:r>
      <w:r>
        <w:rPr>
          <w:rStyle w:val="10"/>
          <w:rFonts w:hint="eastAsia"/>
          <w:b/>
          <w:lang/>
        </w:rPr>
        <w:t>管理人对报告期内本基金运作遵规守信情况的说明</w:t>
      </w:r>
      <w:r>
        <w:rPr>
          <w:lang/>
        </w:rPr>
        <w:tab/>
      </w:r>
      <w:r>
        <w:rPr>
          <w:lang/>
        </w:rPr>
        <w:fldChar w:fldCharType="begin"/>
      </w:r>
      <w:r>
        <w:rPr>
          <w:lang/>
        </w:rPr>
        <w:instrText xml:space="preserve"> PAGEREF _Toc4487333 \h </w:instrText>
      </w:r>
      <w:r>
        <w:rPr>
          <w:lang/>
        </w:rPr>
        <w:fldChar w:fldCharType="separate"/>
      </w:r>
      <w:r>
        <w:rPr>
          <w:lang/>
        </w:rPr>
        <w:t>11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"_Toc4487334"</w:instrText>
      </w:r>
      <w:r>
        <w:rPr>
          <w:rStyle w:val="10"/>
          <w:lang/>
        </w:rPr>
        <w:instrText xml:space="preserve"> </w:instrText>
      </w:r>
      <w:r>
        <w:rPr>
          <w:rStyle w:val="10"/>
          <w:lang/>
        </w:rPr>
        <w:fldChar w:fldCharType="separate"/>
      </w:r>
      <w:r>
        <w:rPr>
          <w:rStyle w:val="10"/>
          <w:b/>
          <w:lang/>
        </w:rPr>
        <w:t xml:space="preserve">4.3 </w:t>
      </w:r>
      <w:r>
        <w:rPr>
          <w:rStyle w:val="10"/>
          <w:rFonts w:hint="eastAsia"/>
          <w:b/>
          <w:lang/>
        </w:rPr>
        <w:t>管理人对报告期内公平交易情况的专项说明</w:t>
      </w:r>
      <w:r>
        <w:rPr>
          <w:lang/>
        </w:rPr>
        <w:tab/>
      </w:r>
      <w:r>
        <w:rPr>
          <w:lang/>
        </w:rPr>
        <w:fldChar w:fldCharType="begin"/>
      </w:r>
      <w:r>
        <w:rPr>
          <w:lang/>
        </w:rPr>
        <w:instrText xml:space="preserve"> PAGEREF _Toc4487334 \h </w:instrText>
      </w:r>
      <w:r>
        <w:rPr>
          <w:lang/>
        </w:rPr>
        <w:fldChar w:fldCharType="separate"/>
      </w:r>
      <w:r>
        <w:rPr>
          <w:lang/>
        </w:rPr>
        <w:t>11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"_Toc4487335"</w:instrText>
      </w:r>
      <w:r>
        <w:rPr>
          <w:rStyle w:val="10"/>
          <w:lang/>
        </w:rPr>
        <w:instrText xml:space="preserve"> </w:instrText>
      </w:r>
      <w:r>
        <w:rPr>
          <w:rStyle w:val="10"/>
          <w:lang/>
        </w:rPr>
        <w:fldChar w:fldCharType="separate"/>
      </w:r>
      <w:r>
        <w:rPr>
          <w:rStyle w:val="10"/>
          <w:b/>
          <w:lang/>
        </w:rPr>
        <w:t xml:space="preserve">4.4 </w:t>
      </w:r>
      <w:r>
        <w:rPr>
          <w:rStyle w:val="10"/>
          <w:rFonts w:hint="eastAsia"/>
          <w:b/>
          <w:lang/>
        </w:rPr>
        <w:t>管理人对报告期内基金的投资策略和业绩表现的说明</w:t>
      </w:r>
      <w:r>
        <w:rPr>
          <w:lang/>
        </w:rPr>
        <w:tab/>
      </w:r>
      <w:r>
        <w:rPr>
          <w:lang/>
        </w:rPr>
        <w:fldChar w:fldCharType="begin"/>
      </w:r>
      <w:r>
        <w:rPr>
          <w:lang/>
        </w:rPr>
        <w:instrText xml:space="preserve"> PAGEREF _Toc4487335 \h </w:instrText>
      </w:r>
      <w:r>
        <w:rPr>
          <w:lang/>
        </w:rPr>
        <w:fldChar w:fldCharType="separate"/>
      </w:r>
      <w:r>
        <w:rPr>
          <w:lang/>
        </w:rPr>
        <w:t>12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"_Toc4487336"</w:instrText>
      </w:r>
      <w:r>
        <w:rPr>
          <w:rStyle w:val="10"/>
          <w:lang/>
        </w:rPr>
        <w:instrText xml:space="preserve"> </w:instrText>
      </w:r>
      <w:r>
        <w:rPr>
          <w:rStyle w:val="10"/>
          <w:lang/>
        </w:rPr>
        <w:fldChar w:fldCharType="separate"/>
      </w:r>
      <w:r>
        <w:rPr>
          <w:rStyle w:val="10"/>
          <w:b/>
          <w:lang/>
        </w:rPr>
        <w:t xml:space="preserve">4.5 </w:t>
      </w:r>
      <w:r>
        <w:rPr>
          <w:rStyle w:val="10"/>
          <w:rFonts w:hint="eastAsia"/>
          <w:b/>
          <w:lang/>
        </w:rPr>
        <w:t>管理人对宏观经济、证券市场及行业走势的简要展望</w:t>
      </w:r>
      <w:r>
        <w:rPr>
          <w:lang/>
        </w:rPr>
        <w:tab/>
      </w:r>
      <w:r>
        <w:rPr>
          <w:lang/>
        </w:rPr>
        <w:fldChar w:fldCharType="begin"/>
      </w:r>
      <w:r>
        <w:rPr>
          <w:lang/>
        </w:rPr>
        <w:instrText xml:space="preserve"> PAGEREF _Toc4487336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"_Toc4487337"</w:instrText>
      </w:r>
      <w:r>
        <w:rPr>
          <w:rStyle w:val="10"/>
          <w:lang/>
        </w:rPr>
        <w:instrText xml:space="preserve"> </w:instrText>
      </w:r>
      <w:r>
        <w:rPr>
          <w:rStyle w:val="10"/>
          <w:lang/>
        </w:rPr>
        <w:fldChar w:fldCharType="separate"/>
      </w:r>
      <w:r>
        <w:rPr>
          <w:rStyle w:val="10"/>
          <w:b/>
          <w:lang/>
        </w:rPr>
        <w:t xml:space="preserve">4.6 </w:t>
      </w:r>
      <w:r>
        <w:rPr>
          <w:rStyle w:val="10"/>
          <w:rFonts w:hint="eastAsia"/>
          <w:b/>
          <w:lang/>
        </w:rPr>
        <w:t>管理人内部有关本基金的监察稽核工作情况</w:t>
      </w:r>
      <w:r>
        <w:rPr>
          <w:lang/>
        </w:rPr>
        <w:tab/>
      </w:r>
      <w:r>
        <w:rPr>
          <w:lang/>
        </w:rPr>
        <w:fldChar w:fldCharType="begin"/>
      </w:r>
      <w:r>
        <w:rPr>
          <w:lang/>
        </w:rPr>
        <w:instrText xml:space="preserve"> PAGEREF _Toc4487337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"_Toc4487338"</w:instrText>
      </w:r>
      <w:r>
        <w:rPr>
          <w:rStyle w:val="10"/>
          <w:lang/>
        </w:rPr>
        <w:instrText xml:space="preserve"> </w:instrText>
      </w:r>
      <w:r>
        <w:rPr>
          <w:rStyle w:val="10"/>
          <w:lang/>
        </w:rPr>
        <w:fldChar w:fldCharType="separate"/>
      </w:r>
      <w:r>
        <w:rPr>
          <w:rStyle w:val="10"/>
          <w:b/>
          <w:lang/>
        </w:rPr>
        <w:t xml:space="preserve">4.7 </w:t>
      </w:r>
      <w:r>
        <w:rPr>
          <w:rStyle w:val="10"/>
          <w:rFonts w:hint="eastAsia"/>
          <w:b/>
          <w:lang/>
        </w:rPr>
        <w:t>管理人对报告期内基金估值程序等事项的说明</w:t>
      </w:r>
      <w:r>
        <w:rPr>
          <w:lang/>
        </w:rPr>
        <w:tab/>
      </w:r>
      <w:r>
        <w:rPr>
          <w:lang/>
        </w:rPr>
        <w:fldChar w:fldCharType="begin"/>
      </w:r>
      <w:r>
        <w:rPr>
          <w:lang/>
        </w:rPr>
        <w:instrText xml:space="preserve"> PAGEREF _Toc4487338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"_Toc4487339"</w:instrText>
      </w:r>
      <w:r>
        <w:rPr>
          <w:rStyle w:val="10"/>
          <w:lang/>
        </w:rPr>
        <w:instrText xml:space="preserve"> </w:instrText>
      </w:r>
      <w:r>
        <w:rPr>
          <w:rStyle w:val="10"/>
          <w:lang/>
        </w:rPr>
        <w:fldChar w:fldCharType="separate"/>
      </w:r>
      <w:r>
        <w:rPr>
          <w:rStyle w:val="10"/>
          <w:b/>
          <w:bCs/>
          <w:lang/>
        </w:rPr>
        <w:t xml:space="preserve">4.8 </w:t>
      </w:r>
      <w:r>
        <w:rPr>
          <w:rStyle w:val="10"/>
          <w:rFonts w:hint="eastAsia"/>
          <w:b/>
          <w:bCs/>
          <w:lang/>
        </w:rPr>
        <w:t>管理人对报告期内基金利润分配情况的说明</w:t>
      </w:r>
      <w:r>
        <w:rPr>
          <w:lang/>
        </w:rPr>
        <w:tab/>
      </w:r>
      <w:r>
        <w:rPr>
          <w:lang/>
        </w:rPr>
        <w:fldChar w:fldCharType="begin"/>
      </w:r>
      <w:r>
        <w:rPr>
          <w:lang/>
        </w:rPr>
        <w:instrText xml:space="preserve"> PAGEREF _Toc4487339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"_Toc4487340"</w:instrText>
      </w:r>
      <w:r>
        <w:rPr>
          <w:rStyle w:val="10"/>
          <w:lang/>
        </w:rPr>
        <w:instrText xml:space="preserve"> </w:instrText>
      </w:r>
      <w:r>
        <w:rPr>
          <w:rStyle w:val="10"/>
          <w:lang/>
        </w:rPr>
        <w:fldChar w:fldCharType="separate"/>
      </w:r>
      <w:r>
        <w:rPr>
          <w:rStyle w:val="10"/>
          <w:b/>
          <w:bCs/>
          <w:lang/>
        </w:rPr>
        <w:t xml:space="preserve">4.9 </w:t>
      </w:r>
      <w:r>
        <w:rPr>
          <w:rStyle w:val="10"/>
          <w:rFonts w:hint="eastAsia"/>
          <w:b/>
          <w:bCs/>
          <w:lang/>
        </w:rPr>
        <w:t>报告期内管理人对本基金持有人数或基金资产净值预警情形的说明</w:t>
      </w:r>
      <w:r>
        <w:rPr>
          <w:lang/>
        </w:rPr>
        <w:tab/>
      </w:r>
      <w:r>
        <w:rPr>
          <w:lang/>
        </w:rPr>
        <w:fldChar w:fldCharType="begin"/>
      </w:r>
      <w:r>
        <w:rPr>
          <w:lang/>
        </w:rPr>
        <w:instrText xml:space="preserve"> PAGEREF _Toc4487340 \h </w:instrText>
      </w:r>
      <w:r>
        <w:rPr>
          <w:lang/>
        </w:rPr>
        <w:fldChar w:fldCharType="separate"/>
      </w:r>
      <w:r>
        <w:rPr>
          <w:lang/>
        </w:rPr>
        <w:t>14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"_Toc4487341"</w:instrText>
      </w:r>
      <w:r>
        <w:rPr>
          <w:rStyle w:val="10"/>
          <w:lang/>
        </w:rPr>
        <w:instrText xml:space="preserve"> </w:instrText>
      </w:r>
      <w:r>
        <w:rPr>
          <w:rStyle w:val="10"/>
          <w:lang/>
        </w:rPr>
        <w:fldChar w:fldCharType="separate"/>
      </w:r>
      <w:r>
        <w:rPr>
          <w:rStyle w:val="10"/>
          <w:b/>
          <w:lang/>
        </w:rPr>
        <w:t xml:space="preserve">§5  </w:t>
      </w:r>
      <w:r>
        <w:rPr>
          <w:rStyle w:val="10"/>
          <w:rFonts w:hint="eastAsia"/>
          <w:b/>
          <w:lang/>
        </w:rPr>
        <w:t>托管人报告</w:t>
      </w:r>
      <w:r>
        <w:rPr>
          <w:lang/>
        </w:rPr>
        <w:tab/>
      </w:r>
      <w:r>
        <w:rPr>
          <w:lang/>
        </w:rPr>
        <w:fldChar w:fldCharType="begin"/>
      </w:r>
      <w:r>
        <w:rPr>
          <w:lang/>
        </w:rPr>
        <w:instrText xml:space="preserve"> PAGEREF _Toc4487341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"_Toc4487342"</w:instrText>
      </w:r>
      <w:r>
        <w:rPr>
          <w:rStyle w:val="10"/>
          <w:lang/>
        </w:rPr>
        <w:instrText xml:space="preserve"> </w:instrText>
      </w:r>
      <w:r>
        <w:rPr>
          <w:rStyle w:val="10"/>
          <w:lang/>
        </w:rPr>
        <w:fldChar w:fldCharType="separate"/>
      </w:r>
      <w:r>
        <w:rPr>
          <w:rStyle w:val="10"/>
          <w:b/>
          <w:bCs/>
          <w:lang/>
        </w:rPr>
        <w:t xml:space="preserve">5.1 </w:t>
      </w:r>
      <w:r>
        <w:rPr>
          <w:rStyle w:val="10"/>
          <w:rFonts w:hint="eastAsia"/>
          <w:b/>
          <w:bCs/>
          <w:lang/>
        </w:rPr>
        <w:t>报告期内本基金托管人遵规守信情况声明</w:t>
      </w:r>
      <w:r>
        <w:rPr>
          <w:lang/>
        </w:rPr>
        <w:tab/>
      </w:r>
      <w:r>
        <w:rPr>
          <w:lang/>
        </w:rPr>
        <w:fldChar w:fldCharType="begin"/>
      </w:r>
      <w:r>
        <w:rPr>
          <w:lang/>
        </w:rPr>
        <w:instrText xml:space="preserve"> PAGEREF _Toc4487342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"_Toc4487343"</w:instrText>
      </w:r>
      <w:r>
        <w:rPr>
          <w:rStyle w:val="10"/>
          <w:lang/>
        </w:rPr>
        <w:instrText xml:space="preserve"> </w:instrText>
      </w:r>
      <w:r>
        <w:rPr>
          <w:rStyle w:val="10"/>
          <w:lang/>
        </w:rPr>
        <w:fldChar w:fldCharType="separate"/>
      </w:r>
      <w:r>
        <w:rPr>
          <w:rStyle w:val="10"/>
          <w:b/>
          <w:bCs/>
          <w:lang/>
        </w:rPr>
        <w:t xml:space="preserve">5.2 </w:t>
      </w:r>
      <w:r>
        <w:rPr>
          <w:rStyle w:val="10"/>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_Toc4487343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"_Toc4487344"</w:instrText>
      </w:r>
      <w:r>
        <w:rPr>
          <w:rStyle w:val="10"/>
          <w:lang/>
        </w:rPr>
        <w:instrText xml:space="preserve"> </w:instrText>
      </w:r>
      <w:r>
        <w:rPr>
          <w:rStyle w:val="10"/>
          <w:lang/>
        </w:rPr>
        <w:fldChar w:fldCharType="separate"/>
      </w:r>
      <w:r>
        <w:rPr>
          <w:rStyle w:val="10"/>
          <w:b/>
          <w:bCs/>
          <w:lang/>
        </w:rPr>
        <w:t xml:space="preserve">5.3 </w:t>
      </w:r>
      <w:r>
        <w:rPr>
          <w:rStyle w:val="10"/>
          <w:rFonts w:hint="eastAsia"/>
          <w:b/>
          <w:bCs/>
          <w:lang/>
        </w:rPr>
        <w:t>托管人对本年度报告中财务信息等内容的真实、准确和完整发表意见</w:t>
      </w:r>
      <w:r>
        <w:rPr>
          <w:lang/>
        </w:rPr>
        <w:tab/>
      </w:r>
      <w:r>
        <w:rPr>
          <w:lang/>
        </w:rPr>
        <w:fldChar w:fldCharType="begin"/>
      </w:r>
      <w:r>
        <w:rPr>
          <w:lang/>
        </w:rPr>
        <w:instrText xml:space="preserve"> PAGEREF _Toc4487344 \h </w:instrText>
      </w:r>
      <w:r>
        <w:rPr>
          <w:lang/>
        </w:rPr>
        <w:fldChar w:fldCharType="separate"/>
      </w:r>
      <w:r>
        <w:rPr>
          <w:lang/>
        </w:rPr>
        <w:t>15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"_Toc4487345"</w:instrText>
      </w:r>
      <w:r>
        <w:rPr>
          <w:rStyle w:val="10"/>
          <w:lang/>
        </w:rPr>
        <w:instrText xml:space="preserve"> </w:instrText>
      </w:r>
      <w:r>
        <w:rPr>
          <w:rStyle w:val="10"/>
          <w:lang/>
        </w:rPr>
        <w:fldChar w:fldCharType="separate"/>
      </w:r>
      <w:r>
        <w:rPr>
          <w:rStyle w:val="10"/>
          <w:b/>
          <w:lang/>
        </w:rPr>
        <w:t xml:space="preserve">§6  </w:t>
      </w:r>
      <w:r>
        <w:rPr>
          <w:rStyle w:val="10"/>
          <w:rFonts w:hint="eastAsia"/>
          <w:b/>
          <w:lang/>
        </w:rPr>
        <w:t>审计报告</w:t>
      </w:r>
      <w:r>
        <w:rPr>
          <w:lang/>
        </w:rPr>
        <w:tab/>
      </w:r>
      <w:r>
        <w:rPr>
          <w:lang/>
        </w:rPr>
        <w:fldChar w:fldCharType="begin"/>
      </w:r>
      <w:r>
        <w:rPr>
          <w:lang/>
        </w:rPr>
        <w:instrText xml:space="preserve"> PAGEREF _Toc4487345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"_Toc4487346"</w:instrText>
      </w:r>
      <w:r>
        <w:rPr>
          <w:rStyle w:val="10"/>
          <w:lang/>
        </w:rPr>
        <w:instrText xml:space="preserve"> </w:instrText>
      </w:r>
      <w:r>
        <w:rPr>
          <w:rStyle w:val="10"/>
          <w:lang/>
        </w:rPr>
        <w:fldChar w:fldCharType="separate"/>
      </w:r>
      <w:r>
        <w:rPr>
          <w:rStyle w:val="10"/>
          <w:b/>
          <w:bCs/>
          <w:lang/>
        </w:rPr>
        <w:t xml:space="preserve">6.1 </w:t>
      </w:r>
      <w:r>
        <w:rPr>
          <w:rStyle w:val="10"/>
          <w:rFonts w:hint="eastAsia"/>
          <w:b/>
          <w:bCs/>
          <w:lang/>
        </w:rPr>
        <w:t>审计报告基本信息</w:t>
      </w:r>
      <w:r>
        <w:rPr>
          <w:lang/>
        </w:rPr>
        <w:tab/>
      </w:r>
      <w:r>
        <w:rPr>
          <w:lang/>
        </w:rPr>
        <w:fldChar w:fldCharType="begin"/>
      </w:r>
      <w:r>
        <w:rPr>
          <w:lang/>
        </w:rPr>
        <w:instrText xml:space="preserve"> PAGEREF _Toc4487346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"_Toc4487347"</w:instrText>
      </w:r>
      <w:r>
        <w:rPr>
          <w:rStyle w:val="10"/>
          <w:lang/>
        </w:rPr>
        <w:instrText xml:space="preserve"> </w:instrText>
      </w:r>
      <w:r>
        <w:rPr>
          <w:rStyle w:val="10"/>
          <w:lang/>
        </w:rPr>
        <w:fldChar w:fldCharType="separate"/>
      </w:r>
      <w:r>
        <w:rPr>
          <w:rStyle w:val="10"/>
          <w:b/>
          <w:bCs/>
          <w:lang/>
        </w:rPr>
        <w:t xml:space="preserve">6.2 </w:t>
      </w:r>
      <w:r>
        <w:rPr>
          <w:rStyle w:val="10"/>
          <w:rFonts w:hint="eastAsia"/>
          <w:b/>
          <w:bCs/>
          <w:lang/>
        </w:rPr>
        <w:t>审计报告的基本内容</w:t>
      </w:r>
      <w:r>
        <w:rPr>
          <w:lang/>
        </w:rPr>
        <w:tab/>
      </w:r>
      <w:r>
        <w:rPr>
          <w:lang/>
        </w:rPr>
        <w:fldChar w:fldCharType="begin"/>
      </w:r>
      <w:r>
        <w:rPr>
          <w:lang/>
        </w:rPr>
        <w:instrText xml:space="preserve"> PAGEREF _Toc4487347 \h </w:instrText>
      </w:r>
      <w:r>
        <w:rPr>
          <w:lang/>
        </w:rPr>
        <w:fldChar w:fldCharType="separate"/>
      </w:r>
      <w:r>
        <w:rPr>
          <w:lang/>
        </w:rPr>
        <w:t>15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"_Toc4487348"</w:instrText>
      </w:r>
      <w:r>
        <w:rPr>
          <w:rStyle w:val="10"/>
          <w:lang/>
        </w:rPr>
        <w:instrText xml:space="preserve"> </w:instrText>
      </w:r>
      <w:r>
        <w:rPr>
          <w:rStyle w:val="10"/>
          <w:lang/>
        </w:rPr>
        <w:fldChar w:fldCharType="separate"/>
      </w:r>
      <w:r>
        <w:rPr>
          <w:rStyle w:val="10"/>
          <w:b/>
          <w:lang/>
        </w:rPr>
        <w:t xml:space="preserve">§7  </w:t>
      </w:r>
      <w:r>
        <w:rPr>
          <w:rStyle w:val="10"/>
          <w:rFonts w:hint="eastAsia"/>
          <w:b/>
          <w:lang/>
        </w:rPr>
        <w:t>年度财务报表</w:t>
      </w:r>
      <w:r>
        <w:rPr>
          <w:lang/>
        </w:rPr>
        <w:tab/>
      </w:r>
      <w:r>
        <w:rPr>
          <w:lang/>
        </w:rPr>
        <w:fldChar w:fldCharType="begin"/>
      </w:r>
      <w:r>
        <w:rPr>
          <w:lang/>
        </w:rPr>
        <w:instrText xml:space="preserve"> PAGEREF _Toc4487348 \h </w:instrText>
      </w:r>
      <w:r>
        <w:rPr>
          <w:lang/>
        </w:rPr>
        <w:fldChar w:fldCharType="separate"/>
      </w:r>
      <w:r>
        <w:rPr>
          <w:lang/>
        </w:rPr>
        <w:t>18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"_Toc4487349"</w:instrText>
      </w:r>
      <w:r>
        <w:rPr>
          <w:rStyle w:val="10"/>
          <w:lang/>
        </w:rPr>
        <w:instrText xml:space="preserve"> </w:instrText>
      </w:r>
      <w:r>
        <w:rPr>
          <w:rStyle w:val="10"/>
          <w:lang/>
        </w:rPr>
        <w:fldChar w:fldCharType="separate"/>
      </w:r>
      <w:r>
        <w:rPr>
          <w:rStyle w:val="10"/>
          <w:b/>
          <w:bCs/>
          <w:lang/>
        </w:rPr>
        <w:t xml:space="preserve">7.1 </w:t>
      </w:r>
      <w:r>
        <w:rPr>
          <w:rStyle w:val="10"/>
          <w:rFonts w:hint="eastAsia"/>
          <w:b/>
          <w:bCs/>
          <w:lang/>
        </w:rPr>
        <w:t>资产负债表</w:t>
      </w:r>
      <w:r>
        <w:rPr>
          <w:lang/>
        </w:rPr>
        <w:tab/>
      </w:r>
      <w:r>
        <w:rPr>
          <w:lang/>
        </w:rPr>
        <w:fldChar w:fldCharType="begin"/>
      </w:r>
      <w:r>
        <w:rPr>
          <w:lang/>
        </w:rPr>
        <w:instrText xml:space="preserve"> PAGEREF _Toc4487349 \h </w:instrText>
      </w:r>
      <w:r>
        <w:rPr>
          <w:lang/>
        </w:rPr>
        <w:fldChar w:fldCharType="separate"/>
      </w:r>
      <w:r>
        <w:rPr>
          <w:lang/>
        </w:rPr>
        <w:t>18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"_Toc4487350"</w:instrText>
      </w:r>
      <w:r>
        <w:rPr>
          <w:rStyle w:val="10"/>
          <w:lang/>
        </w:rPr>
        <w:instrText xml:space="preserve"> </w:instrText>
      </w:r>
      <w:r>
        <w:rPr>
          <w:rStyle w:val="10"/>
          <w:lang/>
        </w:rPr>
        <w:fldChar w:fldCharType="separate"/>
      </w:r>
      <w:r>
        <w:rPr>
          <w:rStyle w:val="10"/>
          <w:b/>
          <w:bCs/>
          <w:lang/>
        </w:rPr>
        <w:t xml:space="preserve">7.2 </w:t>
      </w:r>
      <w:r>
        <w:rPr>
          <w:rStyle w:val="10"/>
          <w:rFonts w:hint="eastAsia"/>
          <w:b/>
          <w:bCs/>
          <w:lang/>
        </w:rPr>
        <w:t>利润表</w:t>
      </w:r>
      <w:r>
        <w:rPr>
          <w:lang/>
        </w:rPr>
        <w:tab/>
      </w:r>
      <w:r>
        <w:rPr>
          <w:lang/>
        </w:rPr>
        <w:fldChar w:fldCharType="begin"/>
      </w:r>
      <w:r>
        <w:rPr>
          <w:lang/>
        </w:rPr>
        <w:instrText xml:space="preserve"> PAGEREF _Toc4487350 \h </w:instrText>
      </w:r>
      <w:r>
        <w:rPr>
          <w:lang/>
        </w:rPr>
        <w:fldChar w:fldCharType="separate"/>
      </w:r>
      <w:r>
        <w:rPr>
          <w:lang/>
        </w:rPr>
        <w:t>19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"_Toc4487351"</w:instrText>
      </w:r>
      <w:r>
        <w:rPr>
          <w:rStyle w:val="10"/>
          <w:lang/>
        </w:rPr>
        <w:instrText xml:space="preserve"> </w:instrText>
      </w:r>
      <w:r>
        <w:rPr>
          <w:rStyle w:val="10"/>
          <w:lang/>
        </w:rPr>
        <w:fldChar w:fldCharType="separate"/>
      </w:r>
      <w:r>
        <w:rPr>
          <w:rStyle w:val="10"/>
          <w:b/>
          <w:bCs/>
          <w:lang/>
        </w:rPr>
        <w:t xml:space="preserve">7.3 </w:t>
      </w:r>
      <w:r>
        <w:rPr>
          <w:rStyle w:val="10"/>
          <w:rFonts w:hint="eastAsia"/>
          <w:b/>
          <w:bCs/>
          <w:lang/>
        </w:rPr>
        <w:t>所有者权益（基金净值）变动表</w:t>
      </w:r>
      <w:r>
        <w:rPr>
          <w:lang/>
        </w:rPr>
        <w:tab/>
      </w:r>
      <w:r>
        <w:rPr>
          <w:lang/>
        </w:rPr>
        <w:fldChar w:fldCharType="begin"/>
      </w:r>
      <w:r>
        <w:rPr>
          <w:lang/>
        </w:rPr>
        <w:instrText xml:space="preserve"> PAGEREF _Toc4487351 \h </w:instrText>
      </w:r>
      <w:r>
        <w:rPr>
          <w:lang/>
        </w:rPr>
        <w:fldChar w:fldCharType="separate"/>
      </w:r>
      <w:r>
        <w:rPr>
          <w:lang/>
        </w:rPr>
        <w:t>21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"_Toc4487352"</w:instrText>
      </w:r>
      <w:r>
        <w:rPr>
          <w:rStyle w:val="10"/>
          <w:lang/>
        </w:rPr>
        <w:instrText xml:space="preserve"> </w:instrText>
      </w:r>
      <w:r>
        <w:rPr>
          <w:rStyle w:val="10"/>
          <w:lang/>
        </w:rPr>
        <w:fldChar w:fldCharType="separate"/>
      </w:r>
      <w:r>
        <w:rPr>
          <w:rStyle w:val="10"/>
          <w:b/>
          <w:bCs/>
          <w:lang/>
        </w:rPr>
        <w:t xml:space="preserve">7.4 </w:t>
      </w:r>
      <w:r>
        <w:rPr>
          <w:rStyle w:val="10"/>
          <w:rFonts w:hint="eastAsia"/>
          <w:b/>
          <w:bCs/>
          <w:lang/>
        </w:rPr>
        <w:t>报表附注</w:t>
      </w:r>
      <w:r>
        <w:rPr>
          <w:lang/>
        </w:rPr>
        <w:tab/>
      </w:r>
      <w:r>
        <w:rPr>
          <w:lang/>
        </w:rPr>
        <w:fldChar w:fldCharType="begin"/>
      </w:r>
      <w:r>
        <w:rPr>
          <w:lang/>
        </w:rPr>
        <w:instrText xml:space="preserve"> PAGEREF _Toc4487352 \h </w:instrText>
      </w:r>
      <w:r>
        <w:rPr>
          <w:lang/>
        </w:rPr>
        <w:fldChar w:fldCharType="separate"/>
      </w:r>
      <w:r>
        <w:rPr>
          <w:lang/>
        </w:rPr>
        <w:t>23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"_Toc4487353"</w:instrText>
      </w:r>
      <w:r>
        <w:rPr>
          <w:rStyle w:val="10"/>
          <w:lang/>
        </w:rPr>
        <w:instrText xml:space="preserve"> </w:instrText>
      </w:r>
      <w:r>
        <w:rPr>
          <w:rStyle w:val="10"/>
          <w:lang/>
        </w:rPr>
        <w:fldChar w:fldCharType="separate"/>
      </w:r>
      <w:r>
        <w:rPr>
          <w:rStyle w:val="10"/>
          <w:b/>
          <w:lang/>
        </w:rPr>
        <w:t xml:space="preserve">§8 </w:t>
      </w:r>
      <w:r>
        <w:rPr>
          <w:rStyle w:val="10"/>
          <w:rFonts w:hint="eastAsia"/>
          <w:b/>
          <w:lang/>
        </w:rPr>
        <w:t>投资组合报告</w:t>
      </w:r>
      <w:r>
        <w:rPr>
          <w:lang/>
        </w:rPr>
        <w:tab/>
      </w:r>
      <w:r>
        <w:rPr>
          <w:lang/>
        </w:rPr>
        <w:fldChar w:fldCharType="begin"/>
      </w:r>
      <w:r>
        <w:rPr>
          <w:lang/>
        </w:rPr>
        <w:instrText xml:space="preserve"> PAGEREF _Toc4487353 \h </w:instrText>
      </w:r>
      <w:r>
        <w:rPr>
          <w:lang/>
        </w:rPr>
        <w:fldChar w:fldCharType="separate"/>
      </w:r>
      <w:r>
        <w:rPr>
          <w:lang/>
        </w:rPr>
        <w:t>46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"_Toc4487354"</w:instrText>
      </w:r>
      <w:r>
        <w:rPr>
          <w:rStyle w:val="10"/>
          <w:lang/>
        </w:rPr>
        <w:instrText xml:space="preserve"> </w:instrText>
      </w:r>
      <w:r>
        <w:rPr>
          <w:rStyle w:val="10"/>
          <w:lang/>
        </w:rPr>
        <w:fldChar w:fldCharType="separate"/>
      </w:r>
      <w:r>
        <w:rPr>
          <w:rStyle w:val="10"/>
          <w:b/>
          <w:bCs/>
          <w:lang/>
        </w:rPr>
        <w:t xml:space="preserve">8.1 </w:t>
      </w:r>
      <w:r>
        <w:rPr>
          <w:rStyle w:val="10"/>
          <w:rFonts w:hint="eastAsia"/>
          <w:b/>
          <w:bCs/>
          <w:lang/>
        </w:rPr>
        <w:t>期末基金资产组合情况</w:t>
      </w:r>
      <w:r>
        <w:rPr>
          <w:lang/>
        </w:rPr>
        <w:tab/>
      </w:r>
      <w:r>
        <w:rPr>
          <w:lang/>
        </w:rPr>
        <w:fldChar w:fldCharType="begin"/>
      </w:r>
      <w:r>
        <w:rPr>
          <w:lang/>
        </w:rPr>
        <w:instrText xml:space="preserve"> PAGEREF _Toc4487354 \h </w:instrText>
      </w:r>
      <w:r>
        <w:rPr>
          <w:lang/>
        </w:rPr>
        <w:fldChar w:fldCharType="separate"/>
      </w:r>
      <w:r>
        <w:rPr>
          <w:lang/>
        </w:rPr>
        <w:t>46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"_Toc4487355"</w:instrText>
      </w:r>
      <w:r>
        <w:rPr>
          <w:rStyle w:val="10"/>
          <w:lang/>
        </w:rPr>
        <w:instrText xml:space="preserve"> </w:instrText>
      </w:r>
      <w:r>
        <w:rPr>
          <w:rStyle w:val="10"/>
          <w:lang/>
        </w:rPr>
        <w:fldChar w:fldCharType="separate"/>
      </w:r>
      <w:r>
        <w:rPr>
          <w:rStyle w:val="10"/>
          <w:b/>
          <w:bCs/>
          <w:lang/>
        </w:rPr>
        <w:t xml:space="preserve">8.2 </w:t>
      </w:r>
      <w:r>
        <w:rPr>
          <w:rStyle w:val="10"/>
          <w:rFonts w:hint="eastAsia"/>
          <w:b/>
          <w:bCs/>
          <w:lang/>
        </w:rPr>
        <w:t>报告期末按行业分类的股票投资组合</w:t>
      </w:r>
      <w:r>
        <w:rPr>
          <w:lang/>
        </w:rPr>
        <w:tab/>
      </w:r>
      <w:r>
        <w:rPr>
          <w:lang/>
        </w:rPr>
        <w:fldChar w:fldCharType="begin"/>
      </w:r>
      <w:r>
        <w:rPr>
          <w:lang/>
        </w:rPr>
        <w:instrText xml:space="preserve"> PAGEREF _Toc4487355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"_Toc4487356"</w:instrText>
      </w:r>
      <w:r>
        <w:rPr>
          <w:rStyle w:val="10"/>
          <w:lang/>
        </w:rPr>
        <w:instrText xml:space="preserve"> </w:instrText>
      </w:r>
      <w:r>
        <w:rPr>
          <w:rStyle w:val="10"/>
          <w:lang/>
        </w:rPr>
        <w:fldChar w:fldCharType="separate"/>
      </w:r>
      <w:r>
        <w:rPr>
          <w:rStyle w:val="10"/>
          <w:b/>
          <w:bCs/>
          <w:lang/>
        </w:rPr>
        <w:t xml:space="preserve">8.3 </w:t>
      </w:r>
      <w:r>
        <w:rPr>
          <w:rStyle w:val="10"/>
          <w:rFonts w:hint="eastAsia"/>
          <w:b/>
          <w:bCs/>
          <w:lang/>
        </w:rPr>
        <w:t>期末按公允价值占基金资产净值比例大小排序的所有股票投资明细</w:t>
      </w:r>
      <w:r>
        <w:rPr>
          <w:lang/>
        </w:rPr>
        <w:tab/>
      </w:r>
      <w:r>
        <w:rPr>
          <w:lang/>
        </w:rPr>
        <w:fldChar w:fldCharType="begin"/>
      </w:r>
      <w:r>
        <w:rPr>
          <w:lang/>
        </w:rPr>
        <w:instrText xml:space="preserve"> PAGEREF _Toc4487356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"_Toc4487357"</w:instrText>
      </w:r>
      <w:r>
        <w:rPr>
          <w:rStyle w:val="10"/>
          <w:lang/>
        </w:rPr>
        <w:instrText xml:space="preserve"> </w:instrText>
      </w:r>
      <w:r>
        <w:rPr>
          <w:rStyle w:val="10"/>
          <w:lang/>
        </w:rPr>
        <w:fldChar w:fldCharType="separate"/>
      </w:r>
      <w:r>
        <w:rPr>
          <w:rStyle w:val="10"/>
          <w:b/>
          <w:bCs/>
          <w:lang/>
        </w:rPr>
        <w:t xml:space="preserve">8.4 </w:t>
      </w:r>
      <w:r>
        <w:rPr>
          <w:rStyle w:val="10"/>
          <w:rFonts w:hint="eastAsia"/>
          <w:b/>
          <w:bCs/>
          <w:lang/>
        </w:rPr>
        <w:t>报告期内股票投资组合的重大变动</w:t>
      </w:r>
      <w:r>
        <w:rPr>
          <w:lang/>
        </w:rPr>
        <w:tab/>
      </w:r>
      <w:r>
        <w:rPr>
          <w:lang/>
        </w:rPr>
        <w:fldChar w:fldCharType="begin"/>
      </w:r>
      <w:r>
        <w:rPr>
          <w:lang/>
        </w:rPr>
        <w:instrText xml:space="preserve"> PAGEREF _Toc4487357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"_Toc4487358"</w:instrText>
      </w:r>
      <w:r>
        <w:rPr>
          <w:rStyle w:val="10"/>
          <w:lang/>
        </w:rPr>
        <w:instrText xml:space="preserve"> </w:instrText>
      </w:r>
      <w:r>
        <w:rPr>
          <w:rStyle w:val="10"/>
          <w:lang/>
        </w:rPr>
        <w:fldChar w:fldCharType="separate"/>
      </w:r>
      <w:r>
        <w:rPr>
          <w:rStyle w:val="10"/>
          <w:b/>
          <w:bCs/>
          <w:lang/>
        </w:rPr>
        <w:t xml:space="preserve">8.5 </w:t>
      </w:r>
      <w:r>
        <w:rPr>
          <w:rStyle w:val="10"/>
          <w:rFonts w:hint="eastAsia"/>
          <w:b/>
          <w:bCs/>
          <w:lang/>
        </w:rPr>
        <w:t>期末按债券品种分类的债券投资组合</w:t>
      </w:r>
      <w:r>
        <w:rPr>
          <w:lang/>
        </w:rPr>
        <w:tab/>
      </w:r>
      <w:r>
        <w:rPr>
          <w:lang/>
        </w:rPr>
        <w:fldChar w:fldCharType="begin"/>
      </w:r>
      <w:r>
        <w:rPr>
          <w:lang/>
        </w:rPr>
        <w:instrText xml:space="preserve"> PAGEREF _Toc4487358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"_Toc4487359"</w:instrText>
      </w:r>
      <w:r>
        <w:rPr>
          <w:rStyle w:val="10"/>
          <w:lang/>
        </w:rPr>
        <w:instrText xml:space="preserve"> </w:instrText>
      </w:r>
      <w:r>
        <w:rPr>
          <w:rStyle w:val="10"/>
          <w:lang/>
        </w:rPr>
        <w:fldChar w:fldCharType="separate"/>
      </w:r>
      <w:r>
        <w:rPr>
          <w:rStyle w:val="10"/>
          <w:b/>
          <w:bCs/>
          <w:lang/>
        </w:rPr>
        <w:t xml:space="preserve">8.6 </w:t>
      </w:r>
      <w:r>
        <w:rPr>
          <w:rStyle w:val="10"/>
          <w:rFonts w:hint="eastAsia"/>
          <w:b/>
          <w:bCs/>
          <w:lang/>
        </w:rPr>
        <w:t>期末按公允价值占基金资产净值比例大小排序的前五名债券投资明细</w:t>
      </w:r>
      <w:r>
        <w:rPr>
          <w:lang/>
        </w:rPr>
        <w:tab/>
      </w:r>
      <w:r>
        <w:rPr>
          <w:lang/>
        </w:rPr>
        <w:fldChar w:fldCharType="begin"/>
      </w:r>
      <w:r>
        <w:rPr>
          <w:lang/>
        </w:rPr>
        <w:instrText xml:space="preserve"> PAGEREF _Toc4487359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"_Toc4487360"</w:instrText>
      </w:r>
      <w:r>
        <w:rPr>
          <w:rStyle w:val="10"/>
          <w:lang/>
        </w:rPr>
        <w:instrText xml:space="preserve"> </w:instrText>
      </w:r>
      <w:r>
        <w:rPr>
          <w:rStyle w:val="10"/>
          <w:lang/>
        </w:rPr>
        <w:fldChar w:fldCharType="separate"/>
      </w:r>
      <w:r>
        <w:rPr>
          <w:rStyle w:val="10"/>
          <w:b/>
          <w:bCs/>
          <w:lang/>
        </w:rPr>
        <w:t xml:space="preserve">8.7 </w:t>
      </w:r>
      <w:r>
        <w:rPr>
          <w:rStyle w:val="10"/>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_Toc4487360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"_Toc4487361"</w:instrText>
      </w:r>
      <w:r>
        <w:rPr>
          <w:rStyle w:val="10"/>
          <w:lang/>
        </w:rPr>
        <w:instrText xml:space="preserve"> </w:instrText>
      </w:r>
      <w:r>
        <w:rPr>
          <w:rStyle w:val="10"/>
          <w:lang/>
        </w:rPr>
        <w:fldChar w:fldCharType="separate"/>
      </w:r>
      <w:r>
        <w:rPr>
          <w:rStyle w:val="10"/>
          <w:b/>
          <w:bCs/>
          <w:lang/>
        </w:rPr>
        <w:t xml:space="preserve">8.8 </w:t>
      </w:r>
      <w:r>
        <w:rPr>
          <w:rStyle w:val="10"/>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_Toc4487361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"_Toc4487362"</w:instrText>
      </w:r>
      <w:r>
        <w:rPr>
          <w:rStyle w:val="10"/>
          <w:lang/>
        </w:rPr>
        <w:instrText xml:space="preserve"> </w:instrText>
      </w:r>
      <w:r>
        <w:rPr>
          <w:rStyle w:val="10"/>
          <w:lang/>
        </w:rPr>
        <w:fldChar w:fldCharType="separate"/>
      </w:r>
      <w:r>
        <w:rPr>
          <w:rStyle w:val="10"/>
          <w:b/>
          <w:bCs/>
          <w:lang/>
        </w:rPr>
        <w:t xml:space="preserve">8.9 </w:t>
      </w:r>
      <w:r>
        <w:rPr>
          <w:rStyle w:val="10"/>
          <w:rFonts w:hint="eastAsia"/>
          <w:b/>
          <w:bCs/>
          <w:lang/>
        </w:rPr>
        <w:t>期末按公允价值占基金资产净值比例大小排序的前五名权证投资明细</w:t>
      </w:r>
      <w:r>
        <w:rPr>
          <w:lang/>
        </w:rPr>
        <w:tab/>
      </w:r>
      <w:r>
        <w:rPr>
          <w:lang/>
        </w:rPr>
        <w:fldChar w:fldCharType="begin"/>
      </w:r>
      <w:r>
        <w:rPr>
          <w:lang/>
        </w:rPr>
        <w:instrText xml:space="preserve"> PAGEREF _Toc4487362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"_Toc4487363"</w:instrText>
      </w:r>
      <w:r>
        <w:rPr>
          <w:rStyle w:val="10"/>
          <w:lang/>
        </w:rPr>
        <w:instrText xml:space="preserve"> </w:instrText>
      </w:r>
      <w:r>
        <w:rPr>
          <w:rStyle w:val="10"/>
          <w:lang/>
        </w:rPr>
        <w:fldChar w:fldCharType="separate"/>
      </w:r>
      <w:r>
        <w:rPr>
          <w:rStyle w:val="10"/>
          <w:b/>
          <w:bCs/>
          <w:lang/>
        </w:rPr>
        <w:t xml:space="preserve">8.10 </w:t>
      </w:r>
      <w:r>
        <w:rPr>
          <w:rStyle w:val="10"/>
          <w:rFonts w:hint="eastAsia"/>
          <w:b/>
          <w:bCs/>
          <w:lang/>
        </w:rPr>
        <w:t>报告期末本基金投资的股指期货交易情况说明</w:t>
      </w:r>
      <w:r>
        <w:rPr>
          <w:lang/>
        </w:rPr>
        <w:tab/>
      </w:r>
      <w:r>
        <w:rPr>
          <w:lang/>
        </w:rPr>
        <w:fldChar w:fldCharType="begin"/>
      </w:r>
      <w:r>
        <w:rPr>
          <w:lang/>
        </w:rPr>
        <w:instrText xml:space="preserve"> PAGEREF _Toc4487363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"_Toc4487364"</w:instrText>
      </w:r>
      <w:r>
        <w:rPr>
          <w:rStyle w:val="10"/>
          <w:lang/>
        </w:rPr>
        <w:instrText xml:space="preserve"> </w:instrText>
      </w:r>
      <w:r>
        <w:rPr>
          <w:rStyle w:val="10"/>
          <w:lang/>
        </w:rPr>
        <w:fldChar w:fldCharType="separate"/>
      </w:r>
      <w:r>
        <w:rPr>
          <w:rStyle w:val="10"/>
          <w:b/>
          <w:bCs/>
          <w:lang/>
        </w:rPr>
        <w:t xml:space="preserve">8.11 </w:t>
      </w:r>
      <w:r>
        <w:rPr>
          <w:rStyle w:val="10"/>
          <w:rFonts w:hint="eastAsia"/>
          <w:b/>
          <w:bCs/>
          <w:lang/>
        </w:rPr>
        <w:t>报告期末本基金投资的国债期货交易情况说明</w:t>
      </w:r>
      <w:r>
        <w:rPr>
          <w:lang/>
        </w:rPr>
        <w:tab/>
      </w:r>
      <w:r>
        <w:rPr>
          <w:lang/>
        </w:rPr>
        <w:fldChar w:fldCharType="begin"/>
      </w:r>
      <w:r>
        <w:rPr>
          <w:lang/>
        </w:rPr>
        <w:instrText xml:space="preserve"> PAGEREF _Toc4487364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"_Toc4487365"</w:instrText>
      </w:r>
      <w:r>
        <w:rPr>
          <w:rStyle w:val="10"/>
          <w:lang/>
        </w:rPr>
        <w:instrText xml:space="preserve"> </w:instrText>
      </w:r>
      <w:r>
        <w:rPr>
          <w:rStyle w:val="10"/>
          <w:lang/>
        </w:rPr>
        <w:fldChar w:fldCharType="separate"/>
      </w:r>
      <w:r>
        <w:rPr>
          <w:rStyle w:val="10"/>
          <w:b/>
          <w:bCs/>
          <w:lang/>
        </w:rPr>
        <w:t xml:space="preserve">8.12 </w:t>
      </w:r>
      <w:r>
        <w:rPr>
          <w:rStyle w:val="10"/>
          <w:rFonts w:hint="eastAsia"/>
          <w:b/>
          <w:bCs/>
          <w:lang/>
        </w:rPr>
        <w:t>投资组合报告附注</w:t>
      </w:r>
      <w:r>
        <w:rPr>
          <w:lang/>
        </w:rPr>
        <w:tab/>
      </w:r>
      <w:r>
        <w:rPr>
          <w:lang/>
        </w:rPr>
        <w:fldChar w:fldCharType="begin"/>
      </w:r>
      <w:r>
        <w:rPr>
          <w:lang/>
        </w:rPr>
        <w:instrText xml:space="preserve"> PAGEREF _Toc4487365 \h </w:instrText>
      </w:r>
      <w:r>
        <w:rPr>
          <w:lang/>
        </w:rPr>
        <w:fldChar w:fldCharType="separate"/>
      </w:r>
      <w:r>
        <w:rPr>
          <w:lang/>
        </w:rPr>
        <w:t>49</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"_Toc4487366"</w:instrText>
      </w:r>
      <w:r>
        <w:rPr>
          <w:rStyle w:val="10"/>
          <w:lang/>
        </w:rPr>
        <w:instrText xml:space="preserve"> </w:instrText>
      </w:r>
      <w:r>
        <w:rPr>
          <w:rStyle w:val="10"/>
          <w:lang/>
        </w:rPr>
        <w:fldChar w:fldCharType="separate"/>
      </w:r>
      <w:r>
        <w:rPr>
          <w:rStyle w:val="10"/>
          <w:b/>
          <w:lang/>
        </w:rPr>
        <w:t xml:space="preserve">§9  </w:t>
      </w:r>
      <w:r>
        <w:rPr>
          <w:rStyle w:val="10"/>
          <w:rFonts w:hint="eastAsia"/>
          <w:b/>
          <w:lang/>
        </w:rPr>
        <w:t>基金份额持有人信息</w:t>
      </w:r>
      <w:r>
        <w:rPr>
          <w:lang/>
        </w:rPr>
        <w:tab/>
      </w:r>
      <w:r>
        <w:rPr>
          <w:lang/>
        </w:rPr>
        <w:fldChar w:fldCharType="begin"/>
      </w:r>
      <w:r>
        <w:rPr>
          <w:lang/>
        </w:rPr>
        <w:instrText xml:space="preserve"> PAGEREF _Toc4487366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"_Toc4487367"</w:instrText>
      </w:r>
      <w:r>
        <w:rPr>
          <w:rStyle w:val="10"/>
          <w:lang/>
        </w:rPr>
        <w:instrText xml:space="preserve"> </w:instrText>
      </w:r>
      <w:r>
        <w:rPr>
          <w:rStyle w:val="10"/>
          <w:lang/>
        </w:rPr>
        <w:fldChar w:fldCharType="separate"/>
      </w:r>
      <w:r>
        <w:rPr>
          <w:rStyle w:val="10"/>
          <w:b/>
          <w:bCs/>
          <w:lang/>
        </w:rPr>
        <w:t xml:space="preserve">9.1 </w:t>
      </w:r>
      <w:r>
        <w:rPr>
          <w:rStyle w:val="10"/>
          <w:rFonts w:hint="eastAsia"/>
          <w:b/>
          <w:bCs/>
          <w:lang/>
        </w:rPr>
        <w:t>期末基金份额持有人户数及持有人结构</w:t>
      </w:r>
      <w:r>
        <w:rPr>
          <w:lang/>
        </w:rPr>
        <w:tab/>
      </w:r>
      <w:r>
        <w:rPr>
          <w:lang/>
        </w:rPr>
        <w:fldChar w:fldCharType="begin"/>
      </w:r>
      <w:r>
        <w:rPr>
          <w:lang/>
        </w:rPr>
        <w:instrText xml:space="preserve"> PAGEREF _Toc4487367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"_Toc4487368"</w:instrText>
      </w:r>
      <w:r>
        <w:rPr>
          <w:rStyle w:val="10"/>
          <w:lang/>
        </w:rPr>
        <w:instrText xml:space="preserve"> </w:instrText>
      </w:r>
      <w:r>
        <w:rPr>
          <w:rStyle w:val="10"/>
          <w:lang/>
        </w:rPr>
        <w:fldChar w:fldCharType="separate"/>
      </w:r>
      <w:r>
        <w:rPr>
          <w:rStyle w:val="10"/>
          <w:b/>
          <w:lang/>
        </w:rPr>
        <w:t xml:space="preserve">9.2 </w:t>
      </w:r>
      <w:r>
        <w:rPr>
          <w:rStyle w:val="10"/>
          <w:rFonts w:hint="eastAsia"/>
          <w:b/>
          <w:lang/>
        </w:rPr>
        <w:t>期末基金管理人的从业人员持有本基金的情况</w:t>
      </w:r>
      <w:r>
        <w:rPr>
          <w:lang/>
        </w:rPr>
        <w:tab/>
      </w:r>
      <w:r>
        <w:rPr>
          <w:lang/>
        </w:rPr>
        <w:fldChar w:fldCharType="begin"/>
      </w:r>
      <w:r>
        <w:rPr>
          <w:lang/>
        </w:rPr>
        <w:instrText xml:space="preserve"> PAGEREF _Toc4487368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"_Toc4487369"</w:instrText>
      </w:r>
      <w:r>
        <w:rPr>
          <w:rStyle w:val="10"/>
          <w:lang/>
        </w:rPr>
        <w:instrText xml:space="preserve"> </w:instrText>
      </w:r>
      <w:r>
        <w:rPr>
          <w:rStyle w:val="10"/>
          <w:lang/>
        </w:rPr>
        <w:fldChar w:fldCharType="separate"/>
      </w:r>
      <w:r>
        <w:rPr>
          <w:rStyle w:val="10"/>
          <w:b/>
          <w:bCs/>
          <w:lang/>
        </w:rPr>
        <w:t xml:space="preserve">9.3 </w:t>
      </w:r>
      <w:r>
        <w:rPr>
          <w:rStyle w:val="10"/>
          <w:rFonts w:hint="eastAsia"/>
          <w:b/>
          <w:bCs/>
          <w:lang/>
        </w:rPr>
        <w:t>期末基金管理人的从业人员持有本开放式基金份额总量区间情况</w:t>
      </w:r>
      <w:r>
        <w:rPr>
          <w:lang/>
        </w:rPr>
        <w:tab/>
      </w:r>
      <w:r>
        <w:rPr>
          <w:lang/>
        </w:rPr>
        <w:fldChar w:fldCharType="begin"/>
      </w:r>
      <w:r>
        <w:rPr>
          <w:lang/>
        </w:rPr>
        <w:instrText xml:space="preserve"> PAGEREF _Toc4487369 \h </w:instrText>
      </w:r>
      <w:r>
        <w:rPr>
          <w:lang/>
        </w:rPr>
        <w:fldChar w:fldCharType="separate"/>
      </w:r>
      <w:r>
        <w:rPr>
          <w:lang/>
        </w:rPr>
        <w:t>50</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"_Toc4487370"</w:instrText>
      </w:r>
      <w:r>
        <w:rPr>
          <w:rStyle w:val="10"/>
          <w:lang/>
        </w:rPr>
        <w:instrText xml:space="preserve"> </w:instrText>
      </w:r>
      <w:r>
        <w:rPr>
          <w:rStyle w:val="10"/>
          <w:lang/>
        </w:rPr>
        <w:fldChar w:fldCharType="separate"/>
      </w:r>
      <w:r>
        <w:rPr>
          <w:rStyle w:val="10"/>
          <w:b/>
          <w:lang/>
        </w:rPr>
        <w:t xml:space="preserve">§10  </w:t>
      </w:r>
      <w:r>
        <w:rPr>
          <w:rStyle w:val="10"/>
          <w:rFonts w:hint="eastAsia"/>
          <w:b/>
          <w:lang/>
        </w:rPr>
        <w:t>开放式基金份额变动</w:t>
      </w:r>
      <w:r>
        <w:rPr>
          <w:lang/>
        </w:rPr>
        <w:tab/>
      </w:r>
      <w:r>
        <w:rPr>
          <w:lang/>
        </w:rPr>
        <w:fldChar w:fldCharType="begin"/>
      </w:r>
      <w:r>
        <w:rPr>
          <w:lang/>
        </w:rPr>
        <w:instrText xml:space="preserve"> PAGEREF _Toc4487370 \h </w:instrText>
      </w:r>
      <w:r>
        <w:rPr>
          <w:lang/>
        </w:rPr>
        <w:fldChar w:fldCharType="separate"/>
      </w:r>
      <w:r>
        <w:rPr>
          <w:lang/>
        </w:rPr>
        <w:t>50</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"_Toc4487371"</w:instrText>
      </w:r>
      <w:r>
        <w:rPr>
          <w:rStyle w:val="10"/>
          <w:lang/>
        </w:rPr>
        <w:instrText xml:space="preserve"> </w:instrText>
      </w:r>
      <w:r>
        <w:rPr>
          <w:rStyle w:val="10"/>
          <w:lang/>
        </w:rPr>
        <w:fldChar w:fldCharType="separate"/>
      </w:r>
      <w:r>
        <w:rPr>
          <w:rStyle w:val="10"/>
          <w:b/>
          <w:lang/>
        </w:rPr>
        <w:t xml:space="preserve">§11  </w:t>
      </w:r>
      <w:r>
        <w:rPr>
          <w:rStyle w:val="10"/>
          <w:rFonts w:hint="eastAsia"/>
          <w:b/>
          <w:lang/>
        </w:rPr>
        <w:t>重大事件揭示</w:t>
      </w:r>
      <w:r>
        <w:rPr>
          <w:lang/>
        </w:rPr>
        <w:tab/>
      </w:r>
      <w:r>
        <w:rPr>
          <w:lang/>
        </w:rPr>
        <w:fldChar w:fldCharType="begin"/>
      </w:r>
      <w:r>
        <w:rPr>
          <w:lang/>
        </w:rPr>
        <w:instrText xml:space="preserve"> PAGEREF _Toc4487371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"_Toc4487372"</w:instrText>
      </w:r>
      <w:r>
        <w:rPr>
          <w:rStyle w:val="10"/>
          <w:lang/>
        </w:rPr>
        <w:instrText xml:space="preserve"> </w:instrText>
      </w:r>
      <w:r>
        <w:rPr>
          <w:rStyle w:val="10"/>
          <w:lang/>
        </w:rPr>
        <w:fldChar w:fldCharType="separate"/>
      </w:r>
      <w:r>
        <w:rPr>
          <w:rStyle w:val="10"/>
          <w:b/>
          <w:bCs/>
          <w:lang/>
        </w:rPr>
        <w:t xml:space="preserve">11.1 </w:t>
      </w:r>
      <w:r>
        <w:rPr>
          <w:rStyle w:val="10"/>
          <w:rFonts w:hint="eastAsia"/>
          <w:b/>
          <w:bCs/>
          <w:lang/>
        </w:rPr>
        <w:t>基金份额持有人大会决议</w:t>
      </w:r>
      <w:r>
        <w:rPr>
          <w:lang/>
        </w:rPr>
        <w:tab/>
      </w:r>
      <w:r>
        <w:rPr>
          <w:lang/>
        </w:rPr>
        <w:fldChar w:fldCharType="begin"/>
      </w:r>
      <w:r>
        <w:rPr>
          <w:lang/>
        </w:rPr>
        <w:instrText xml:space="preserve"> PAGEREF _Toc4487372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"_Toc4487373"</w:instrText>
      </w:r>
      <w:r>
        <w:rPr>
          <w:rStyle w:val="10"/>
          <w:lang/>
        </w:rPr>
        <w:instrText xml:space="preserve"> </w:instrText>
      </w:r>
      <w:r>
        <w:rPr>
          <w:rStyle w:val="10"/>
          <w:lang/>
        </w:rPr>
        <w:fldChar w:fldCharType="separate"/>
      </w:r>
      <w:r>
        <w:rPr>
          <w:rStyle w:val="10"/>
          <w:b/>
          <w:bCs/>
          <w:lang/>
        </w:rPr>
        <w:t xml:space="preserve">11.2 </w:t>
      </w:r>
      <w:r>
        <w:rPr>
          <w:rStyle w:val="10"/>
          <w:rFonts w:hint="eastAsia"/>
          <w:b/>
          <w:bCs/>
          <w:lang/>
        </w:rPr>
        <w:t>基金管理人、基金托管人的专门基金托管部门的重大人事变动</w:t>
      </w:r>
      <w:r>
        <w:rPr>
          <w:lang/>
        </w:rPr>
        <w:tab/>
      </w:r>
      <w:r>
        <w:rPr>
          <w:lang/>
        </w:rPr>
        <w:fldChar w:fldCharType="begin"/>
      </w:r>
      <w:r>
        <w:rPr>
          <w:lang/>
        </w:rPr>
        <w:instrText xml:space="preserve"> PAGEREF _Toc4487373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"_Toc4487374"</w:instrText>
      </w:r>
      <w:r>
        <w:rPr>
          <w:rStyle w:val="10"/>
          <w:lang/>
        </w:rPr>
        <w:instrText xml:space="preserve"> </w:instrText>
      </w:r>
      <w:r>
        <w:rPr>
          <w:rStyle w:val="10"/>
          <w:lang/>
        </w:rPr>
        <w:fldChar w:fldCharType="separate"/>
      </w:r>
      <w:r>
        <w:rPr>
          <w:rStyle w:val="10"/>
          <w:b/>
          <w:bCs/>
          <w:lang/>
        </w:rPr>
        <w:t xml:space="preserve">11.3 </w:t>
      </w:r>
      <w:r>
        <w:rPr>
          <w:rStyle w:val="10"/>
          <w:rFonts w:hint="eastAsia"/>
          <w:b/>
          <w:bCs/>
          <w:lang/>
        </w:rPr>
        <w:t>涉及基金管理人、基金财产、基金托管业务的诉讼</w:t>
      </w:r>
      <w:r>
        <w:rPr>
          <w:lang/>
        </w:rPr>
        <w:tab/>
      </w:r>
      <w:r>
        <w:rPr>
          <w:lang/>
        </w:rPr>
        <w:fldChar w:fldCharType="begin"/>
      </w:r>
      <w:r>
        <w:rPr>
          <w:lang/>
        </w:rPr>
        <w:instrText xml:space="preserve"> PAGEREF _Toc4487374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"_Toc4487375"</w:instrText>
      </w:r>
      <w:r>
        <w:rPr>
          <w:rStyle w:val="10"/>
          <w:lang/>
        </w:rPr>
        <w:instrText xml:space="preserve"> </w:instrText>
      </w:r>
      <w:r>
        <w:rPr>
          <w:rStyle w:val="10"/>
          <w:lang/>
        </w:rPr>
        <w:fldChar w:fldCharType="separate"/>
      </w:r>
      <w:r>
        <w:rPr>
          <w:rStyle w:val="10"/>
          <w:b/>
          <w:bCs/>
          <w:lang/>
        </w:rPr>
        <w:t xml:space="preserve">11.4 </w:t>
      </w:r>
      <w:r>
        <w:rPr>
          <w:rStyle w:val="10"/>
          <w:rFonts w:hint="eastAsia"/>
          <w:b/>
          <w:bCs/>
          <w:lang/>
        </w:rPr>
        <w:t>基金投资策略的改变</w:t>
      </w:r>
      <w:r>
        <w:rPr>
          <w:lang/>
        </w:rPr>
        <w:tab/>
      </w:r>
      <w:r>
        <w:rPr>
          <w:lang/>
        </w:rPr>
        <w:fldChar w:fldCharType="begin"/>
      </w:r>
      <w:r>
        <w:rPr>
          <w:lang/>
        </w:rPr>
        <w:instrText xml:space="preserve"> PAGEREF _Toc4487375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"_Toc4487376"</w:instrText>
      </w:r>
      <w:r>
        <w:rPr>
          <w:rStyle w:val="10"/>
          <w:lang/>
        </w:rPr>
        <w:instrText xml:space="preserve"> </w:instrText>
      </w:r>
      <w:r>
        <w:rPr>
          <w:rStyle w:val="10"/>
          <w:lang/>
        </w:rPr>
        <w:fldChar w:fldCharType="separate"/>
      </w:r>
      <w:r>
        <w:rPr>
          <w:rStyle w:val="10"/>
          <w:b/>
          <w:bCs/>
          <w:lang/>
        </w:rPr>
        <w:t xml:space="preserve">11.5 </w:t>
      </w:r>
      <w:r>
        <w:rPr>
          <w:rStyle w:val="10"/>
          <w:rFonts w:hint="eastAsia"/>
          <w:b/>
          <w:bCs/>
          <w:lang/>
        </w:rPr>
        <w:t>为基金进行审计的会计师事务所情况</w:t>
      </w:r>
      <w:r>
        <w:rPr>
          <w:lang/>
        </w:rPr>
        <w:tab/>
      </w:r>
      <w:r>
        <w:rPr>
          <w:lang/>
        </w:rPr>
        <w:fldChar w:fldCharType="begin"/>
      </w:r>
      <w:r>
        <w:rPr>
          <w:lang/>
        </w:rPr>
        <w:instrText xml:space="preserve"> PAGEREF _Toc4487376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"_Toc4487377"</w:instrText>
      </w:r>
      <w:r>
        <w:rPr>
          <w:rStyle w:val="10"/>
          <w:lang/>
        </w:rPr>
        <w:instrText xml:space="preserve"> </w:instrText>
      </w:r>
      <w:r>
        <w:rPr>
          <w:rStyle w:val="10"/>
          <w:lang/>
        </w:rPr>
        <w:fldChar w:fldCharType="separate"/>
      </w:r>
      <w:r>
        <w:rPr>
          <w:rStyle w:val="10"/>
          <w:b/>
          <w:bCs/>
          <w:lang/>
        </w:rPr>
        <w:t xml:space="preserve">11.6 </w:t>
      </w:r>
      <w:r>
        <w:rPr>
          <w:rStyle w:val="10"/>
          <w:rFonts w:hint="eastAsia"/>
          <w:b/>
          <w:bCs/>
          <w:lang/>
        </w:rPr>
        <w:t>管理人、托管人及其高级管理人员受稽查或处罚等情况</w:t>
      </w:r>
      <w:r>
        <w:rPr>
          <w:lang/>
        </w:rPr>
        <w:tab/>
      </w:r>
      <w:r>
        <w:rPr>
          <w:lang/>
        </w:rPr>
        <w:fldChar w:fldCharType="begin"/>
      </w:r>
      <w:r>
        <w:rPr>
          <w:lang/>
        </w:rPr>
        <w:instrText xml:space="preserve"> PAGEREF _Toc4487377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"_Toc4487378"</w:instrText>
      </w:r>
      <w:r>
        <w:rPr>
          <w:rStyle w:val="10"/>
          <w:lang/>
        </w:rPr>
        <w:instrText xml:space="preserve"> </w:instrText>
      </w:r>
      <w:r>
        <w:rPr>
          <w:rStyle w:val="10"/>
          <w:lang/>
        </w:rPr>
        <w:fldChar w:fldCharType="separate"/>
      </w:r>
      <w:r>
        <w:rPr>
          <w:rStyle w:val="10"/>
          <w:b/>
          <w:bCs/>
          <w:lang/>
        </w:rPr>
        <w:t xml:space="preserve">11.7 </w:t>
      </w:r>
      <w:r>
        <w:rPr>
          <w:rStyle w:val="10"/>
          <w:rFonts w:hint="eastAsia"/>
          <w:b/>
          <w:bCs/>
          <w:lang/>
        </w:rPr>
        <w:t>基金租用证券公司交易单元的有关情况</w:t>
      </w:r>
      <w:r>
        <w:rPr>
          <w:lang/>
        </w:rPr>
        <w:tab/>
      </w:r>
      <w:r>
        <w:rPr>
          <w:lang/>
        </w:rPr>
        <w:fldChar w:fldCharType="begin"/>
      </w:r>
      <w:r>
        <w:rPr>
          <w:lang/>
        </w:rPr>
        <w:instrText xml:space="preserve"> PAGEREF _Toc4487378 \h </w:instrText>
      </w:r>
      <w:r>
        <w:rPr>
          <w:lang/>
        </w:rPr>
        <w:fldChar w:fldCharType="separate"/>
      </w:r>
      <w:r>
        <w:rPr>
          <w:lang/>
        </w:rPr>
        <w:t>51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"_Toc4487379"</w:instrText>
      </w:r>
      <w:r>
        <w:rPr>
          <w:rStyle w:val="10"/>
          <w:lang/>
        </w:rPr>
        <w:instrText xml:space="preserve"> </w:instrText>
      </w:r>
      <w:r>
        <w:rPr>
          <w:rStyle w:val="10"/>
          <w:lang/>
        </w:rPr>
        <w:fldChar w:fldCharType="separate"/>
      </w:r>
      <w:r>
        <w:rPr>
          <w:rStyle w:val="10"/>
          <w:b/>
          <w:bCs/>
          <w:lang/>
        </w:rPr>
        <w:t xml:space="preserve">11.8 </w:t>
      </w:r>
      <w:r>
        <w:rPr>
          <w:rStyle w:val="10"/>
          <w:rFonts w:hint="eastAsia"/>
          <w:b/>
          <w:bCs/>
          <w:lang/>
        </w:rPr>
        <w:t>其他重大事件</w:t>
      </w:r>
      <w:r>
        <w:rPr>
          <w:lang/>
        </w:rPr>
        <w:tab/>
      </w:r>
      <w:r>
        <w:rPr>
          <w:lang/>
        </w:rPr>
        <w:fldChar w:fldCharType="begin"/>
      </w:r>
      <w:r>
        <w:rPr>
          <w:lang/>
        </w:rPr>
        <w:instrText xml:space="preserve"> PAGEREF _Toc4487379 \h </w:instrText>
      </w:r>
      <w:r>
        <w:rPr>
          <w:lang/>
        </w:rPr>
        <w:fldChar w:fldCharType="separate"/>
      </w:r>
      <w:r>
        <w:rPr>
          <w:lang/>
        </w:rPr>
        <w:t>53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"_Toc4487380"</w:instrText>
      </w:r>
      <w:r>
        <w:rPr>
          <w:rStyle w:val="10"/>
          <w:lang/>
        </w:rPr>
        <w:instrText xml:space="preserve"> </w:instrText>
      </w:r>
      <w:r>
        <w:rPr>
          <w:rStyle w:val="10"/>
          <w:lang/>
        </w:rPr>
        <w:fldChar w:fldCharType="separate"/>
      </w:r>
      <w:r>
        <w:rPr>
          <w:rStyle w:val="10"/>
          <w:b/>
          <w:lang/>
        </w:rPr>
        <w:t xml:space="preserve">§12  </w:t>
      </w:r>
      <w:r>
        <w:rPr>
          <w:rStyle w:val="10"/>
          <w:rFonts w:hint="eastAsia"/>
          <w:b/>
          <w:lang/>
        </w:rPr>
        <w:t>影响投资者决策的其他重要信息</w:t>
      </w:r>
      <w:r>
        <w:rPr>
          <w:lang/>
        </w:rPr>
        <w:tab/>
      </w:r>
      <w:r>
        <w:rPr>
          <w:lang/>
        </w:rPr>
        <w:fldChar w:fldCharType="begin"/>
      </w:r>
      <w:r>
        <w:rPr>
          <w:lang/>
        </w:rPr>
        <w:instrText xml:space="preserve"> PAGEREF _Toc4487380 \h </w:instrText>
      </w:r>
      <w:r>
        <w:rPr>
          <w:lang/>
        </w:rPr>
        <w:fldChar w:fldCharType="separate"/>
      </w:r>
      <w:r>
        <w:rPr>
          <w:lang/>
        </w:rPr>
        <w:t>55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"_Toc4487381"</w:instrText>
      </w:r>
      <w:r>
        <w:rPr>
          <w:rStyle w:val="10"/>
          <w:lang/>
        </w:rPr>
        <w:instrText xml:space="preserve"> </w:instrText>
      </w:r>
      <w:r>
        <w:rPr>
          <w:rStyle w:val="10"/>
          <w:lang/>
        </w:rPr>
        <w:fldChar w:fldCharType="separate"/>
      </w:r>
      <w:r>
        <w:rPr>
          <w:rStyle w:val="10"/>
          <w:b/>
          <w:bCs/>
          <w:lang/>
        </w:rPr>
        <w:t xml:space="preserve">12.1 </w:t>
      </w:r>
      <w:r>
        <w:rPr>
          <w:rStyle w:val="10"/>
          <w:rFonts w:hint="eastAsia"/>
          <w:b/>
          <w:bCs/>
          <w:lang/>
        </w:rPr>
        <w:t>报告期内单一投资者持有基金份额比例达到或超过</w:t>
      </w:r>
      <w:r>
        <w:rPr>
          <w:rStyle w:val="10"/>
          <w:b/>
          <w:bCs/>
          <w:lang/>
        </w:rPr>
        <w:t>20%</w:t>
      </w:r>
      <w:r>
        <w:rPr>
          <w:rStyle w:val="10"/>
          <w:rFonts w:hint="eastAsia"/>
          <w:b/>
          <w:bCs/>
          <w:lang/>
        </w:rPr>
        <w:t>的情况</w:t>
      </w:r>
      <w:r>
        <w:rPr>
          <w:lang/>
        </w:rPr>
        <w:tab/>
      </w:r>
      <w:r>
        <w:rPr>
          <w:lang/>
        </w:rPr>
        <w:fldChar w:fldCharType="begin"/>
      </w:r>
      <w:r>
        <w:rPr>
          <w:lang/>
        </w:rPr>
        <w:instrText xml:space="preserve"> PAGEREF _Toc4487381 \h </w:instrText>
      </w:r>
      <w:r>
        <w:rPr>
          <w:lang/>
        </w:rPr>
        <w:fldChar w:fldCharType="separate"/>
      </w:r>
      <w:r>
        <w:rPr>
          <w:lang/>
        </w:rPr>
        <w:t>55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"_Toc4487382"</w:instrText>
      </w:r>
      <w:r>
        <w:rPr>
          <w:rStyle w:val="10"/>
          <w:lang/>
        </w:rPr>
        <w:instrText xml:space="preserve"> </w:instrText>
      </w:r>
      <w:r>
        <w:rPr>
          <w:rStyle w:val="10"/>
          <w:lang/>
        </w:rPr>
        <w:fldChar w:fldCharType="separate"/>
      </w:r>
      <w:r>
        <w:rPr>
          <w:rStyle w:val="10"/>
          <w:b/>
          <w:bCs/>
          <w:lang/>
        </w:rPr>
        <w:t xml:space="preserve">12.2 </w:t>
      </w:r>
      <w:r>
        <w:rPr>
          <w:rStyle w:val="10"/>
          <w:rFonts w:hint="eastAsia"/>
          <w:b/>
          <w:bCs/>
          <w:lang/>
        </w:rPr>
        <w:t>影响投资者决策的其他重要信息</w:t>
      </w:r>
      <w:r>
        <w:rPr>
          <w:lang/>
        </w:rPr>
        <w:tab/>
      </w:r>
      <w:r>
        <w:rPr>
          <w:lang/>
        </w:rPr>
        <w:fldChar w:fldCharType="begin"/>
      </w:r>
      <w:r>
        <w:rPr>
          <w:lang/>
        </w:rPr>
        <w:instrText xml:space="preserve"> PAGEREF _Toc4487382 \h </w:instrText>
      </w:r>
      <w:r>
        <w:rPr>
          <w:lang/>
        </w:rPr>
        <w:fldChar w:fldCharType="separate"/>
      </w:r>
      <w:r>
        <w:rPr>
          <w:lang/>
        </w:rPr>
        <w:t>56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"_Toc4487383"</w:instrText>
      </w:r>
      <w:r>
        <w:rPr>
          <w:rStyle w:val="10"/>
          <w:lang/>
        </w:rPr>
        <w:instrText xml:space="preserve"> </w:instrText>
      </w:r>
      <w:r>
        <w:rPr>
          <w:rStyle w:val="10"/>
          <w:lang/>
        </w:rPr>
        <w:fldChar w:fldCharType="separate"/>
      </w:r>
      <w:r>
        <w:rPr>
          <w:rStyle w:val="10"/>
          <w:b/>
          <w:lang/>
        </w:rPr>
        <w:t xml:space="preserve">§13  </w:t>
      </w:r>
      <w:r>
        <w:rPr>
          <w:rStyle w:val="10"/>
          <w:rFonts w:hint="eastAsia"/>
          <w:b/>
          <w:lang/>
        </w:rPr>
        <w:t>备查文件目录</w:t>
      </w:r>
      <w:r>
        <w:rPr>
          <w:lang/>
        </w:rPr>
        <w:tab/>
      </w:r>
      <w:r>
        <w:rPr>
          <w:lang/>
        </w:rPr>
        <w:fldChar w:fldCharType="begin"/>
      </w:r>
      <w:r>
        <w:rPr>
          <w:lang/>
        </w:rPr>
        <w:instrText xml:space="preserve"> PAGEREF _Toc4487383 \h </w:instrText>
      </w:r>
      <w:r>
        <w:rPr>
          <w:lang/>
        </w:rPr>
        <w:fldChar w:fldCharType="separate"/>
      </w:r>
      <w:r>
        <w:rPr>
          <w:lang/>
        </w:rPr>
        <w:t>56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"_Toc4487384"</w:instrText>
      </w:r>
      <w:r>
        <w:rPr>
          <w:rStyle w:val="10"/>
          <w:lang/>
        </w:rPr>
        <w:instrText xml:space="preserve"> </w:instrText>
      </w:r>
      <w:r>
        <w:rPr>
          <w:rStyle w:val="10"/>
          <w:lang/>
        </w:rPr>
        <w:fldChar w:fldCharType="separate"/>
      </w:r>
      <w:r>
        <w:rPr>
          <w:rStyle w:val="10"/>
          <w:b/>
          <w:bCs/>
          <w:lang/>
        </w:rPr>
        <w:t xml:space="preserve">13.1 </w:t>
      </w:r>
      <w:r>
        <w:rPr>
          <w:rStyle w:val="10"/>
          <w:rFonts w:hint="eastAsia"/>
          <w:b/>
          <w:bCs/>
          <w:lang/>
        </w:rPr>
        <w:t>备查文件目录</w:t>
      </w:r>
      <w:r>
        <w:rPr>
          <w:lang/>
        </w:rPr>
        <w:tab/>
      </w:r>
      <w:r>
        <w:rPr>
          <w:lang/>
        </w:rPr>
        <w:fldChar w:fldCharType="begin"/>
      </w:r>
      <w:r>
        <w:rPr>
          <w:lang/>
        </w:rPr>
        <w:instrText xml:space="preserve"> PAGEREF _Toc4487384 \h </w:instrText>
      </w:r>
      <w:r>
        <w:rPr>
          <w:lang/>
        </w:rPr>
        <w:fldChar w:fldCharType="separate"/>
      </w:r>
      <w:r>
        <w:rPr>
          <w:lang/>
        </w:rPr>
        <w:t>56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"_Toc4487385"</w:instrText>
      </w:r>
      <w:r>
        <w:rPr>
          <w:rStyle w:val="10"/>
          <w:lang/>
        </w:rPr>
        <w:instrText xml:space="preserve"> </w:instrText>
      </w:r>
      <w:r>
        <w:rPr>
          <w:rStyle w:val="10"/>
          <w:lang/>
        </w:rPr>
        <w:fldChar w:fldCharType="separate"/>
      </w:r>
      <w:r>
        <w:rPr>
          <w:rStyle w:val="10"/>
          <w:b/>
          <w:bCs/>
          <w:lang/>
        </w:rPr>
        <w:t xml:space="preserve">13.2 </w:t>
      </w:r>
      <w:r>
        <w:rPr>
          <w:rStyle w:val="10"/>
          <w:rFonts w:hint="eastAsia"/>
          <w:b/>
          <w:bCs/>
          <w:lang/>
        </w:rPr>
        <w:t>存放地点</w:t>
      </w:r>
      <w:r>
        <w:rPr>
          <w:lang/>
        </w:rPr>
        <w:tab/>
      </w:r>
      <w:r>
        <w:rPr>
          <w:lang/>
        </w:rPr>
        <w:fldChar w:fldCharType="begin"/>
      </w:r>
      <w:r>
        <w:rPr>
          <w:lang/>
        </w:rPr>
        <w:instrText xml:space="preserve"> PAGEREF _Toc4487385 \h </w:instrText>
      </w:r>
      <w:r>
        <w:rPr>
          <w:lang/>
        </w:rPr>
        <w:fldChar w:fldCharType="separate"/>
      </w:r>
      <w:r>
        <w:rPr>
          <w:lang/>
        </w:rPr>
        <w:t>56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"_Toc4487386"</w:instrText>
      </w:r>
      <w:r>
        <w:rPr>
          <w:rStyle w:val="10"/>
          <w:lang/>
        </w:rPr>
        <w:instrText xml:space="preserve"> </w:instrText>
      </w:r>
      <w:r>
        <w:rPr>
          <w:rStyle w:val="10"/>
          <w:lang/>
        </w:rPr>
        <w:fldChar w:fldCharType="separate"/>
      </w:r>
      <w:r>
        <w:rPr>
          <w:rStyle w:val="10"/>
          <w:b/>
          <w:bCs/>
          <w:lang/>
        </w:rPr>
        <w:t xml:space="preserve">13.3 </w:t>
      </w:r>
      <w:r>
        <w:rPr>
          <w:rStyle w:val="10"/>
          <w:rFonts w:hint="eastAsia"/>
          <w:b/>
          <w:bCs/>
          <w:lang/>
        </w:rPr>
        <w:t>查阅方式</w:t>
      </w:r>
      <w:r>
        <w:rPr>
          <w:lang/>
        </w:rPr>
        <w:tab/>
      </w:r>
      <w:r>
        <w:rPr>
          <w:lang/>
        </w:rPr>
        <w:fldChar w:fldCharType="begin"/>
      </w:r>
      <w:r>
        <w:rPr>
          <w:lang/>
        </w:rPr>
        <w:instrText xml:space="preserve"> PAGEREF _Toc4487386 \h </w:instrText>
      </w:r>
      <w:r>
        <w:rPr>
          <w:lang/>
        </w:rPr>
        <w:fldChar w:fldCharType="separate"/>
      </w:r>
      <w:r>
        <w:rPr>
          <w:lang/>
        </w:rPr>
        <w:t>57</w:t>
      </w:r>
      <w:r>
        <w:rPr>
          <w:lang/>
        </w:rPr>
        <w:fldChar w:fldCharType="end"/>
      </w:r>
      <w:r>
        <w:rPr>
          <w:rStyle w:val="10"/>
          <w:lang/>
        </w:rPr>
        <w:fldChar w:fldCharType="end"/>
      </w:r>
    </w:p>
    <w:p>
      <w:pPr>
        <w:pStyle w:val="12"/>
        <w:rPr>
          <w:rFonts w:hint="eastAsia"/>
        </w:rPr>
      </w:pPr>
      <w:r>
        <w:rPr>
          <w:rFonts w:ascii="Times New Roman" w:hAnsi="Times New Roman"/>
        </w:rPr>
        <w:fldChar w:fldCharType="end"/>
      </w:r>
      <w:r>
        <w:rPr>
          <w:rFonts w:ascii="Times New Roman" w:hAnsi="Times New Roman"/>
        </w:rPr>
        <w:br w:type="page"/>
      </w:r>
      <w:bookmarkStart w:id="3" w:name="_Toc4487321"/>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3"/>
        <w:rPr>
          <w:rFonts w:hint="eastAsia"/>
        </w:rPr>
      </w:pPr>
      <w:bookmarkStart w:id="4" w:name="_Toc4487322"/>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3249"/>
        <w:gridCol w:w="5871"/>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创金合信尊智纯债债券型证券投资基金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创金合信尊智纯债</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基金主代码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003193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基金运作方式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2017年06月16日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基金托管人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报告期末基金份额总额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302,546,686.25份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基金合同存续期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不定期</w:t>
            </w:r>
          </w:p>
        </w:tc>
      </w:tr>
    </w:tbl>
    <w:p>
      <w:pPr>
        <w:widowControl/>
        <w:jc w:val="left"/>
        <w:rPr>
          <w:rFonts w:hint="eastAsia" w:ascii="宋体" w:hAnsi="宋体" w:cs="宋体"/>
          <w:kern w:val="0"/>
          <w:sz w:val="24"/>
          <w:szCs w:val="24"/>
        </w:rPr>
      </w:pPr>
    </w:p>
    <w:p>
      <w:pPr>
        <w:pStyle w:val="13"/>
        <w:rPr>
          <w:rFonts w:hint="eastAsia"/>
        </w:rPr>
      </w:pPr>
      <w:bookmarkStart w:id="5" w:name="_Toc4487323"/>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在严格控制风险的前提下，追求当期收入和投资总回报最大化。</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本基金通过对宏观经济形势的持续跟踪，基于对利率、信用等市场的分析和预测，综合运用久期配置策略、跨市场套利、杠杆放大等策略，力争实现基金资产的稳健增值。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中债综合（全价）指数收益率</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本基金为债券型基金，长期来看，其预期风险和预期收益水平低于股票型基金、混合型基金，高于货币市场基金。</w:t>
            </w:r>
          </w:p>
        </w:tc>
      </w:tr>
    </w:tbl>
    <w:p>
      <w:pPr>
        <w:widowControl/>
        <w:jc w:val="left"/>
        <w:rPr>
          <w:rFonts w:hint="eastAsia" w:ascii="宋体" w:hAnsi="宋体" w:cs="宋体"/>
          <w:kern w:val="0"/>
          <w:sz w:val="24"/>
          <w:szCs w:val="24"/>
        </w:rPr>
      </w:pPr>
    </w:p>
    <w:p>
      <w:pPr>
        <w:pStyle w:val="13"/>
        <w:rPr>
          <w:rFonts w:hint="eastAsia"/>
        </w:rPr>
      </w:pPr>
      <w:bookmarkStart w:id="6" w:name="_Toc4487324"/>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yan_zhang@cmbchina.com</w:t>
            </w:r>
          </w:p>
        </w:tc>
      </w:tr>
      <w:tr>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深圳市深南大道7088号招商银行大厦</w:t>
            </w:r>
          </w:p>
        </w:tc>
      </w:tr>
      <w:tr>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3"/>
        <w:rPr>
          <w:rFonts w:hint="eastAsia"/>
        </w:rPr>
      </w:pPr>
      <w:bookmarkStart w:id="7" w:name="_Toc4487325"/>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证券日报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8" w:name="_Toc4487326"/>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2"/>
        <w:rPr>
          <w:rFonts w:hint="eastAsia"/>
        </w:rPr>
      </w:pPr>
      <w:bookmarkStart w:id="9" w:name="_Toc4487327"/>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3"/>
        <w:rPr>
          <w:rFonts w:hint="eastAsia"/>
        </w:rPr>
      </w:pPr>
      <w:bookmarkStart w:id="10" w:name="_Toc4487328"/>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508"/>
        <w:gridCol w:w="4426"/>
      </w:tblGrid>
      <w:tr>
        <w:tblPrEx>
          <w:tblCellMar>
            <w:top w:w="0" w:type="dxa"/>
            <w:left w:w="108" w:type="dxa"/>
            <w:bottom w:w="0" w:type="dxa"/>
            <w:right w:w="108" w:type="dxa"/>
          </w:tblCellMar>
        </w:tblPrEx>
        <w:trPr>
          <w:wBefore w:w="0" w:type="auto"/>
        </w:trPr>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3.1.1 期间数据和指标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2017年06月16日（基金合同生效日）-2017年12月31日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11,707,163.47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5,969,270.14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16,240,662.74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5,926,277.39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3.1.2 期末数据和指标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9,164,366.82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95,465.54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316,100,960.72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100,108,568.74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3.1.3 累计期末指标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w:t>
            </w:r>
          </w:p>
        </w:tc>
      </w:tr>
    </w:tbl>
    <w:p>
      <w:pPr>
        <w:pStyle w:val="19"/>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4.本基金合同生效日为2017年6月16日，上年度可比期间的相关数据和指标按实际存续期计算。</w:t>
      </w:r>
    </w:p>
    <w:p>
      <w:pPr>
        <w:widowControl/>
        <w:jc w:val="left"/>
        <w:rPr>
          <w:rFonts w:hint="eastAsia" w:ascii="宋体" w:hAnsi="宋体" w:cs="宋体"/>
          <w:kern w:val="0"/>
          <w:sz w:val="24"/>
          <w:szCs w:val="24"/>
        </w:rPr>
      </w:pPr>
    </w:p>
    <w:p>
      <w:pPr>
        <w:pStyle w:val="13"/>
        <w:rPr>
          <w:rFonts w:hint="eastAsia"/>
        </w:rPr>
      </w:pPr>
      <w:bookmarkStart w:id="11" w:name="_Toc4487329"/>
      <w:r>
        <w:rPr>
          <w:rFonts w:hint="eastAsia"/>
          <w:b/>
          <w:bCs/>
        </w:rPr>
        <w:t>3.2 基金净值表现</w:t>
      </w:r>
      <w:bookmarkEnd w:id="11"/>
    </w:p>
    <w:p>
      <w:pPr>
        <w:pStyle w:val="14"/>
        <w:rPr>
          <w:rFonts w:hint="eastAsia"/>
        </w:rPr>
      </w:pPr>
      <w:r>
        <w:rPr>
          <w:rFonts w:hint="eastAsia"/>
          <w:b/>
          <w:bCs/>
        </w:rPr>
        <w:t>3.2.1 基金份额净值增长率及其与同期业绩比较基准收益率的比较</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0.01%</w:t>
            </w:r>
          </w:p>
        </w:tc>
      </w:tr>
    </w:tbl>
    <w:p>
      <w:pPr>
        <w:widowControl/>
        <w:jc w:val="left"/>
        <w:rPr>
          <w:rFonts w:hint="eastAsia" w:ascii="宋体" w:hAnsi="宋体" w:cs="宋体"/>
          <w:kern w:val="0"/>
          <w:sz w:val="24"/>
          <w:szCs w:val="24"/>
        </w:rPr>
      </w:pPr>
    </w:p>
    <w:p>
      <w:pPr>
        <w:pStyle w:val="14"/>
        <w:rPr>
          <w:rFonts w:hint="eastAsia"/>
        </w:rPr>
      </w:pPr>
      <w:r>
        <w:rPr>
          <w:rFonts w:hint="eastAsia"/>
          <w:b/>
          <w:bCs/>
        </w:rPr>
        <w:t>3.2.2 自基金合同生效以来基金份额累计净值增长率变动及其与同期业绩比较基准收益率变动的比较</w:t>
      </w:r>
    </w:p>
    <w:p>
      <w:pPr>
        <w:pStyle w:val="16"/>
        <w:rPr>
          <w:rFonts w:hint="eastAsia"/>
        </w:rPr>
      </w:pPr>
      <w:r>
        <w:rPr>
          <w:rFonts w:hAnsi="Calibri"/>
          <w:color w:val="000000"/>
          <w:lang/>
        </w:rPr>
        <w:pict>
          <v:shape id="_x0000_i1025" o:spt="75" alt="D:\fcsc\HSFA\Bin\Bin\MOD\TMP\CN_50990000_003193_FB010010_20190002_1.jpg" type="#_x0000_t75" style="height:286.5pt;width:441pt;" filled="f" stroked="f" coordsize="21600,21600">
            <v:path/>
            <v:fill on="f" focussize="0,0"/>
            <v:stroke on="f"/>
            <v:imagedata r:id="rId7" grayscale="f" bilevel="f" o:title="CN_50990000_003193_FB010010_20190002_1"/>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r>
        <w:rPr>
          <w:rFonts w:hint="eastAsia"/>
          <w:b/>
          <w:bCs/>
        </w:rPr>
        <w:t>3.2.3 自基金合同生效以来基金每年净值增长率及其与同期业绩比较基准收益率的比较</w:t>
      </w:r>
    </w:p>
    <w:p>
      <w:pPr>
        <w:pStyle w:val="16"/>
        <w:rPr>
          <w:rFonts w:hint="eastAsia"/>
        </w:rPr>
      </w:pPr>
      <w:r>
        <w:rPr>
          <w:rFonts w:hAnsi="Calibri"/>
          <w:color w:val="000000"/>
          <w:lang/>
        </w:rPr>
        <w:pict>
          <v:shape id="_x0000_i1026" o:spt="75" alt="D:\fcsc\HSFA\Bin\Bin\MOD\TMP\CN_50990000_003193_FB010010_20190002_3.jpg" type="#_x0000_t75" style="height:286.5pt;width:441pt;" filled="f" stroked="f" coordsize="21600,21600">
            <v:path/>
            <v:fill on="f" focussize="0,0"/>
            <v:stroke on="f"/>
            <v:imagedata r:id="rId8" grayscale="f" bilevel="f" o:title="CN_50990000_003193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3"/>
        <w:rPr>
          <w:rFonts w:hint="eastAsia"/>
        </w:rPr>
      </w:pPr>
      <w:bookmarkStart w:id="12" w:name="_Toc4487330"/>
      <w:r>
        <w:rPr>
          <w:rFonts w:hint="eastAsia" w:hAnsi="Calibri"/>
          <w:b/>
          <w:color w:val="000000"/>
        </w:rPr>
        <w:t>3.3 过去三年基金的利润分配情况</w:t>
      </w:r>
      <w:bookmarkEnd w:id="12"/>
    </w:p>
    <w:p>
      <w:pPr>
        <w:pStyle w:val="21"/>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1508"/>
        <w:gridCol w:w="1508"/>
        <w:gridCol w:w="1508"/>
        <w:gridCol w:w="1507"/>
        <w:gridCol w:w="1507"/>
        <w:gridCol w:w="150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年度</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每10份基金份额分红数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现金形式发放总额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再投资形式发放总额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年度利润分配合计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2017年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5,700,768.81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5,700,768.81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5,700,768.81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5,700,768.81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2"/>
        <w:rPr>
          <w:rFonts w:hint="eastAsia"/>
        </w:rPr>
      </w:pPr>
      <w:bookmarkStart w:id="13" w:name="_Toc4487331"/>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3"/>
        <w:rPr>
          <w:rFonts w:hint="eastAsia"/>
        </w:rPr>
      </w:pPr>
      <w:bookmarkStart w:id="14" w:name="_Toc4487332"/>
      <w:r>
        <w:rPr>
          <w:rFonts w:hint="eastAsia"/>
          <w:b/>
          <w:bCs/>
        </w:rPr>
        <w:t>4.1 基金管理人及基金经理情况</w:t>
      </w:r>
      <w:bookmarkEnd w:id="14"/>
    </w:p>
    <w:p>
      <w:pPr>
        <w:pStyle w:val="14"/>
        <w:rPr>
          <w:rFonts w:hint="eastAsia"/>
        </w:rPr>
      </w:pPr>
      <w:r>
        <w:rPr>
          <w:rFonts w:hint="eastAsia"/>
          <w:b/>
          <w:bCs/>
        </w:rPr>
        <w:t>4.1.1 基金管理人及其管理基金的经验</w:t>
      </w:r>
    </w:p>
    <w:p>
      <w:pPr>
        <w:pStyle w:val="19"/>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19"/>
        <w:spacing w:before="0"/>
        <w:ind w:left="0" w:firstLine="480"/>
        <w:rPr>
          <w:rFonts w:hint="eastAsia"/>
        </w:rPr>
      </w:pPr>
      <w:r>
        <w:rPr>
          <w:rFonts w:hint="eastAsia"/>
        </w:rPr>
        <w:t>公司始终坚持"客户利益至上"，致力于为客户实现长期稳定的投资回报，做客户投资理财的亲密伙伴。</w:t>
      </w:r>
    </w:p>
    <w:p>
      <w:pPr>
        <w:pStyle w:val="19"/>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4"/>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郑振源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9年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郑振源先生，中国国籍，中国人民银行研究生部经济学硕士。2009年7月加入第一创业证券研究所，担任宏观债券研究员。2012年7月加入第一创业证券资产管理部，先后担任宏观债券研究员、投资主办等职务。2014年8月加入创金合信基金管理有限公司，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蒋小玲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蒋小玲女士，中国国籍，2002年9月-2009年12月任职于武进农村商业银行，2010年1月-2015年8月任职于江苏江南农村商业银行股份有限公司，历任金融市场部同业经理、交易员、投资经理等职务。2015年8月加入创金合信基金管理有限公司，2017年6月至2018年10月担任本基金基金经理。</w:t>
            </w:r>
          </w:p>
        </w:tc>
      </w:tr>
    </w:tbl>
    <w:p>
      <w:pPr>
        <w:pStyle w:val="19"/>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3"/>
        <w:rPr>
          <w:rFonts w:hint="eastAsia"/>
        </w:rPr>
      </w:pPr>
      <w:bookmarkStart w:id="15" w:name="_Toc4487333"/>
      <w:r>
        <w:rPr>
          <w:rFonts w:hint="eastAsia" w:hAnsi="Calibri"/>
          <w:b/>
          <w:color w:val="000000"/>
        </w:rPr>
        <w:t>4.2 管理人对报告期内本基金运作遵规守信情况的说明</w:t>
      </w:r>
      <w:bookmarkEnd w:id="15"/>
    </w:p>
    <w:p>
      <w:pPr>
        <w:pStyle w:val="19"/>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3"/>
        <w:rPr>
          <w:rFonts w:hint="eastAsia"/>
        </w:rPr>
      </w:pPr>
      <w:bookmarkStart w:id="16" w:name="_Toc4487334"/>
      <w:r>
        <w:rPr>
          <w:rFonts w:hint="eastAsia" w:hAnsi="Calibri"/>
          <w:b/>
          <w:color w:val="000000"/>
        </w:rPr>
        <w:t>4.3 管理人对报告期内公平交易情况的专项说明</w:t>
      </w:r>
      <w:bookmarkEnd w:id="16"/>
    </w:p>
    <w:p>
      <w:pPr>
        <w:pStyle w:val="14"/>
        <w:rPr>
          <w:rFonts w:hint="eastAsia"/>
        </w:rPr>
      </w:pPr>
      <w:r>
        <w:rPr>
          <w:rFonts w:hint="eastAsia" w:hAnsi="Calibri"/>
          <w:b/>
          <w:color w:val="000000"/>
        </w:rPr>
        <w:t>4.3.1 公平交易制度和控制方法</w:t>
      </w:r>
    </w:p>
    <w:p>
      <w:pPr>
        <w:pStyle w:val="19"/>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19"/>
        <w:spacing w:before="0"/>
        <w:ind w:left="0" w:firstLine="480"/>
        <w:rPr>
          <w:rFonts w:hint="eastAsia" w:hAnsi="Calibri"/>
          <w:color w:val="000000"/>
        </w:rPr>
      </w:pPr>
      <w:r>
        <w:rPr>
          <w:rFonts w:hint="eastAsia" w:hAnsi="Calibri"/>
          <w:color w:val="000000"/>
        </w:rPr>
        <w:t>1、授权、研究分析与投资决策的内部控制</w:t>
      </w:r>
    </w:p>
    <w:p>
      <w:pPr>
        <w:pStyle w:val="19"/>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19"/>
        <w:spacing w:before="0"/>
        <w:ind w:left="0" w:firstLine="480"/>
        <w:rPr>
          <w:rFonts w:hint="eastAsia" w:hAnsi="Calibri"/>
          <w:color w:val="000000"/>
        </w:rPr>
      </w:pPr>
      <w:r>
        <w:rPr>
          <w:rFonts w:hint="eastAsia" w:hAnsi="Calibri"/>
          <w:color w:val="000000"/>
        </w:rPr>
        <w:t>2、交易执行的内部控制</w:t>
      </w:r>
    </w:p>
    <w:p>
      <w:pPr>
        <w:pStyle w:val="19"/>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19"/>
        <w:spacing w:before="0"/>
        <w:ind w:left="0" w:firstLine="480"/>
        <w:rPr>
          <w:rFonts w:hint="eastAsia" w:hAnsi="Calibri"/>
          <w:color w:val="000000"/>
        </w:rPr>
      </w:pPr>
      <w:r>
        <w:rPr>
          <w:rFonts w:hint="eastAsia" w:hAnsi="Calibri"/>
          <w:color w:val="000000"/>
        </w:rPr>
        <w:t>3、交易指令分配的控制</w:t>
      </w:r>
    </w:p>
    <w:p>
      <w:pPr>
        <w:pStyle w:val="19"/>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19"/>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19"/>
        <w:spacing w:before="0"/>
        <w:ind w:left="0" w:firstLine="480"/>
        <w:rPr>
          <w:rFonts w:hint="eastAsia" w:hAnsi="Calibri"/>
          <w:color w:val="000000"/>
        </w:rPr>
      </w:pPr>
      <w:r>
        <w:rPr>
          <w:rFonts w:hint="eastAsia" w:hAnsi="Calibri"/>
          <w:color w:val="000000"/>
        </w:rPr>
        <w:t>4、公平交易监控</w:t>
      </w:r>
    </w:p>
    <w:p>
      <w:pPr>
        <w:pStyle w:val="19"/>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4"/>
        <w:rPr>
          <w:rFonts w:hint="eastAsia"/>
        </w:rPr>
      </w:pPr>
      <w:r>
        <w:rPr>
          <w:rFonts w:hint="eastAsia" w:hAnsi="Calibri"/>
          <w:b/>
          <w:color w:val="000000"/>
        </w:rPr>
        <w:t>4.3.2 公平交易制度的执行情况</w:t>
      </w:r>
    </w:p>
    <w:p>
      <w:pPr>
        <w:pStyle w:val="19"/>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4"/>
        <w:rPr>
          <w:rFonts w:hint="eastAsia"/>
        </w:rPr>
      </w:pPr>
      <w:r>
        <w:rPr>
          <w:rFonts w:hint="eastAsia" w:hAnsi="Calibri"/>
          <w:b/>
          <w:color w:val="000000"/>
        </w:rPr>
        <w:t>4.3.3 异常交易行为的专项说明</w:t>
      </w:r>
    </w:p>
    <w:p>
      <w:pPr>
        <w:pStyle w:val="19"/>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3"/>
        <w:rPr>
          <w:rFonts w:hint="eastAsia"/>
        </w:rPr>
      </w:pPr>
      <w:bookmarkStart w:id="17" w:name="_Toc4487335"/>
      <w:r>
        <w:rPr>
          <w:rFonts w:hint="eastAsia" w:hAnsi="Calibri"/>
          <w:b/>
          <w:color w:val="000000"/>
        </w:rPr>
        <w:t>4.4 管理人对报告期内基金的投资策略和业绩表现的说明</w:t>
      </w:r>
      <w:bookmarkEnd w:id="17"/>
    </w:p>
    <w:p>
      <w:pPr>
        <w:pStyle w:val="14"/>
        <w:rPr>
          <w:rFonts w:hint="eastAsia"/>
        </w:rPr>
      </w:pPr>
      <w:r>
        <w:rPr>
          <w:rFonts w:hint="eastAsia" w:hAnsi="Calibri"/>
          <w:b/>
          <w:color w:val="000000"/>
        </w:rPr>
        <w:t>4.4.1 报告期内基金投资策略和运作分析</w:t>
      </w:r>
    </w:p>
    <w:p>
      <w:pPr>
        <w:pStyle w:val="19"/>
        <w:spacing w:before="0"/>
        <w:ind w:left="0" w:firstLine="480"/>
        <w:rPr>
          <w:rFonts w:hint="eastAsia"/>
        </w:rPr>
      </w:pPr>
      <w:r>
        <w:rPr>
          <w:rFonts w:hint="eastAsia" w:hAnsi="Calibri"/>
          <w:color w:val="000000"/>
        </w:rPr>
        <w:t>2018年债券市场行情走牛，收益率整体明显下行，期限利差和信用利差总体压缩，呈现牛平态势。1年AAA信用债大幅下行160bp，10年国开债明显下行120bp至3.64%左右。债市总体走牛的主要原因在于经济整体走弱，且货币政策从2017年偏紧转向持续偏宽的状态。一方面，上半年中美贸易摩擦不断且加剧，构成中国经济的外部下行担忧，同时2017年政策收紧导致的信用收缩未得到有效缓解和社会融资成本总体上行，构成内部下行压力，因此经济持续偏弱，形成长端利率的下行动力；另一方面，稳增长的内在压力，打通货币政策传导机制推动信用恢复，需要货币政策利率维持相对偏宽松的环境。在资金中枢水平下移的环境下，短端利率跟随下行，同时具备较好利差空间的优质信用债也成为市场加杠杆的选择，也压缩了信用利差。信用方面，2018年产业债违约频发，低等级信用风险加剧。</w:t>
      </w:r>
    </w:p>
    <w:p>
      <w:pPr>
        <w:widowControl/>
        <w:jc w:val="left"/>
        <w:rPr>
          <w:rFonts w:hint="eastAsia" w:ascii="宋体" w:hAnsi="宋体" w:cs="宋体"/>
          <w:kern w:val="0"/>
          <w:sz w:val="24"/>
          <w:szCs w:val="24"/>
        </w:rPr>
      </w:pPr>
    </w:p>
    <w:p>
      <w:pPr>
        <w:pStyle w:val="14"/>
        <w:rPr>
          <w:rFonts w:hint="eastAsia"/>
        </w:rPr>
      </w:pPr>
      <w:r>
        <w:rPr>
          <w:rFonts w:hint="eastAsia" w:hAnsi="Calibri"/>
          <w:b/>
          <w:color w:val="000000"/>
        </w:rPr>
        <w:t>4.4.2 报告期内基金的业绩表现</w:t>
      </w:r>
    </w:p>
    <w:p>
      <w:pPr>
        <w:pStyle w:val="19"/>
        <w:spacing w:before="0"/>
        <w:ind w:left="0" w:firstLine="480"/>
        <w:rPr>
          <w:rFonts w:hint="eastAsia"/>
        </w:rPr>
      </w:pPr>
      <w:r>
        <w:rPr>
          <w:rFonts w:hint="eastAsia" w:hAnsi="Calibri"/>
          <w:color w:val="000000"/>
        </w:rPr>
        <w:t>截至报告期末创金合信尊智纯债基金份额净值为1.0448元，本报告期内，基金份额净值增长率为4.38%，同期业绩比较基准收益率为4.79%。</w:t>
      </w:r>
    </w:p>
    <w:p>
      <w:pPr>
        <w:widowControl/>
        <w:jc w:val="left"/>
        <w:rPr>
          <w:rFonts w:hint="eastAsia" w:ascii="宋体" w:hAnsi="宋体" w:cs="宋体"/>
          <w:kern w:val="0"/>
          <w:sz w:val="24"/>
          <w:szCs w:val="24"/>
        </w:rPr>
      </w:pPr>
    </w:p>
    <w:p>
      <w:pPr>
        <w:pStyle w:val="13"/>
        <w:rPr>
          <w:rFonts w:hint="eastAsia"/>
        </w:rPr>
      </w:pPr>
      <w:bookmarkStart w:id="18" w:name="_Toc4487336"/>
      <w:r>
        <w:rPr>
          <w:rFonts w:hint="eastAsia" w:hAnsi="Calibri"/>
          <w:b/>
          <w:color w:val="000000"/>
        </w:rPr>
        <w:t>4.5 管理人对宏观经济、证券市场及行业走势的简要展望</w:t>
      </w:r>
      <w:bookmarkEnd w:id="18"/>
    </w:p>
    <w:p>
      <w:pPr>
        <w:pStyle w:val="19"/>
        <w:spacing w:before="0"/>
        <w:ind w:left="0" w:firstLine="480"/>
        <w:rPr>
          <w:rFonts w:hint="eastAsia"/>
        </w:rPr>
      </w:pPr>
      <w:r>
        <w:rPr>
          <w:rFonts w:hint="eastAsia" w:hAnsi="Calibri"/>
          <w:color w:val="000000"/>
        </w:rPr>
        <w:t>向前看，2019年债市利率趋于下行。一方面，经济缺乏有效的增长动力，刺激政策的力度和效果都将有限，也决定了宽信用不能快速有效回升；另一方面，货币政策持续偏宽构成债市的相对有利环境。但经济不失速、货币政策不会过度宽松，当前不高的无风险利率水平向下的空间并不大。从策略上来看，组合久期维持适中；持续便宜的资金成本下，套息操作仍是较好策略，从而可能继续压缩信用利差水平。鉴于当前低风险债券资产的绝对收益和利差水平均不高，2019年债券的整体预期回报将较2018年有明显降低。策略更适于维持不激进的均衡状态。宽货币向宽信用的继续转化，将整体改善信用基本面，信用债违约事件将减少；当前政策对真实经营的优质民企融资支持较大，市场偏见尚未显著改观，投资价值突出；公募城投债发生系统性违约概率仍极低，尤其是公益类城投债，而产业类城投则需谨慎；对于资质较差的企业，融资难以得到根本改善，信用风险依旧较高，需要维持谨慎。本基金将继续秉承稳健的投资思路，合理配置资产品种和仓位，努力为投资者获取稳健优异的投资回报。</w:t>
      </w:r>
    </w:p>
    <w:p>
      <w:pPr>
        <w:widowControl/>
        <w:jc w:val="left"/>
        <w:rPr>
          <w:rFonts w:hint="eastAsia" w:ascii="宋体" w:hAnsi="宋体" w:cs="宋体"/>
          <w:kern w:val="0"/>
          <w:sz w:val="24"/>
          <w:szCs w:val="24"/>
        </w:rPr>
      </w:pPr>
    </w:p>
    <w:p>
      <w:pPr>
        <w:pStyle w:val="13"/>
        <w:rPr>
          <w:rFonts w:hint="eastAsia"/>
        </w:rPr>
      </w:pPr>
      <w:bookmarkStart w:id="19" w:name="_Toc4487337"/>
      <w:r>
        <w:rPr>
          <w:rFonts w:hint="eastAsia" w:hAnsi="Calibri"/>
          <w:b/>
          <w:color w:val="000000"/>
        </w:rPr>
        <w:t>4.6 管理人内部有关本基金的监察稽核工作情况</w:t>
      </w:r>
      <w:bookmarkEnd w:id="19"/>
    </w:p>
    <w:p>
      <w:pPr>
        <w:pStyle w:val="19"/>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19"/>
        <w:spacing w:before="0"/>
        <w:ind w:left="0" w:firstLine="480"/>
        <w:rPr>
          <w:rFonts w:hint="eastAsia"/>
        </w:rPr>
      </w:pPr>
      <w:r>
        <w:rPr>
          <w:rFonts w:hint="eastAsia"/>
        </w:rPr>
        <w:t>本报告期内，本基金管理人的主要内部监察稽核工作如下：</w:t>
      </w:r>
    </w:p>
    <w:p>
      <w:pPr>
        <w:pStyle w:val="19"/>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19"/>
        <w:spacing w:before="0"/>
        <w:ind w:left="0" w:firstLine="480"/>
        <w:rPr>
          <w:rFonts w:hint="eastAsia"/>
        </w:rPr>
      </w:pPr>
      <w:r>
        <w:rPr>
          <w:rFonts w:hint="eastAsia"/>
        </w:rPr>
        <w:t>（2）开展公司专项稽核工作，了解合规风险现状、发现薄弱环节，并持续督导改进；</w:t>
      </w:r>
    </w:p>
    <w:p>
      <w:pPr>
        <w:pStyle w:val="19"/>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19"/>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19"/>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19"/>
        <w:spacing w:before="0"/>
        <w:ind w:left="0" w:firstLine="480"/>
        <w:rPr>
          <w:rFonts w:hint="eastAsia"/>
        </w:rPr>
      </w:pPr>
      <w:r>
        <w:rPr>
          <w:rFonts w:hint="eastAsia"/>
        </w:rPr>
        <w:t>（6）加强关联交易管理。修订《关联交易管理制度》，履行关联交易决策审批程序；</w:t>
      </w:r>
    </w:p>
    <w:p>
      <w:pPr>
        <w:pStyle w:val="19"/>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19"/>
        <w:spacing w:before="0"/>
        <w:ind w:left="0" w:firstLine="480"/>
        <w:rPr>
          <w:rFonts w:hint="eastAsia"/>
        </w:rPr>
      </w:pPr>
      <w:r>
        <w:rPr>
          <w:rFonts w:hint="eastAsia"/>
        </w:rPr>
        <w:t>（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pStyle w:val="19"/>
        <w:spacing w:before="0"/>
        <w:ind w:left="0" w:firstLine="480"/>
        <w:rPr>
          <w:rFonts w:hint="eastAsia"/>
        </w:rPr>
      </w:pPr>
      <w:r>
        <w:rPr>
          <w:rFonts w:hint="eastAsia"/>
        </w:rPr>
        <w:t>（9）建立员工投资行为管理机制，规范员工的证券投资行为。</w:t>
      </w:r>
    </w:p>
    <w:p>
      <w:pPr>
        <w:pStyle w:val="19"/>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3"/>
        <w:rPr>
          <w:rFonts w:hint="eastAsia"/>
        </w:rPr>
      </w:pPr>
      <w:bookmarkStart w:id="20" w:name="_Toc4487338"/>
      <w:r>
        <w:rPr>
          <w:rFonts w:hint="eastAsia" w:hAnsi="Calibri"/>
          <w:b/>
          <w:color w:val="000000"/>
        </w:rPr>
        <w:t>4.7 管理人对报告期内基金估值程序等事项的说明</w:t>
      </w:r>
      <w:bookmarkEnd w:id="20"/>
    </w:p>
    <w:p>
      <w:pPr>
        <w:pStyle w:val="19"/>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19"/>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3"/>
        <w:rPr>
          <w:rFonts w:hint="eastAsia"/>
        </w:rPr>
      </w:pPr>
      <w:bookmarkStart w:id="21" w:name="_Toc4487339"/>
      <w:r>
        <w:rPr>
          <w:rFonts w:hint="eastAsia"/>
          <w:b/>
          <w:bCs/>
        </w:rPr>
        <w:t>4.8 管理人对报告期内基金利润分配情况的说明</w:t>
      </w:r>
      <w:bookmarkEnd w:id="21"/>
    </w:p>
    <w:p>
      <w:pPr>
        <w:pStyle w:val="19"/>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3"/>
        <w:rPr>
          <w:rFonts w:hint="eastAsia"/>
        </w:rPr>
      </w:pPr>
      <w:bookmarkStart w:id="22" w:name="_Toc4487340"/>
      <w:r>
        <w:rPr>
          <w:rFonts w:hint="eastAsia"/>
          <w:b/>
          <w:bCs/>
        </w:rPr>
        <w:t>4.9 报告期内管理人对本基金持有人数或基金资产净值预警情形的说明</w:t>
      </w:r>
      <w:bookmarkEnd w:id="22"/>
    </w:p>
    <w:p>
      <w:pPr>
        <w:pStyle w:val="19"/>
        <w:spacing w:before="0"/>
        <w:ind w:left="0" w:firstLine="480"/>
        <w:rPr>
          <w:rFonts w:hint="eastAsia"/>
        </w:rPr>
      </w:pPr>
      <w:r>
        <w:rPr>
          <w:rFonts w:hint="eastAsia"/>
        </w:rPr>
        <w:t>本报告期内，本基金已出现连续二十个工作日基金资产净值低于五千万元的情形，该情形发生的时间范围为2018年1月9日至2018年3月27日。</w:t>
      </w:r>
    </w:p>
    <w:p>
      <w:pPr>
        <w:widowControl/>
        <w:jc w:val="left"/>
        <w:rPr>
          <w:rFonts w:hint="eastAsia" w:ascii="宋体" w:hAnsi="宋体" w:cs="宋体"/>
          <w:kern w:val="0"/>
          <w:sz w:val="24"/>
          <w:szCs w:val="24"/>
        </w:rPr>
      </w:pPr>
    </w:p>
    <w:p>
      <w:pPr>
        <w:pStyle w:val="12"/>
        <w:rPr>
          <w:rFonts w:hint="eastAsia"/>
        </w:rPr>
      </w:pPr>
      <w:bookmarkStart w:id="23" w:name="_Toc4487341"/>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3"/>
        <w:rPr>
          <w:rFonts w:hint="eastAsia"/>
        </w:rPr>
      </w:pPr>
      <w:bookmarkStart w:id="24" w:name="_Toc4487342"/>
      <w:r>
        <w:rPr>
          <w:rFonts w:hint="eastAsia"/>
          <w:b/>
          <w:bCs/>
        </w:rPr>
        <w:t>5.1 报告期内本基金托管人遵规守信情况声明</w:t>
      </w:r>
      <w:bookmarkEnd w:id="24"/>
    </w:p>
    <w:p>
      <w:pPr>
        <w:pStyle w:val="19"/>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13"/>
        <w:rPr>
          <w:rFonts w:hint="eastAsia"/>
        </w:rPr>
      </w:pPr>
      <w:bookmarkStart w:id="25" w:name="_Toc4487343"/>
      <w:r>
        <w:rPr>
          <w:rFonts w:hint="eastAsia"/>
          <w:b/>
          <w:bCs/>
        </w:rPr>
        <w:t>5.2 托管人对报告期内本基金投资运作遵规守信、净值计算、利润分配等情况的说明</w:t>
      </w:r>
      <w:bookmarkEnd w:id="25"/>
    </w:p>
    <w:p>
      <w:pPr>
        <w:pStyle w:val="19"/>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19"/>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19"/>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13"/>
        <w:rPr>
          <w:rFonts w:hint="eastAsia"/>
        </w:rPr>
      </w:pPr>
      <w:bookmarkStart w:id="26" w:name="_Toc4487344"/>
      <w:r>
        <w:rPr>
          <w:rFonts w:hint="eastAsia"/>
          <w:b/>
          <w:bCs/>
        </w:rPr>
        <w:t>5.3 托管人对本年度报告中财务信息等内容的真实、准确和完整发表意见</w:t>
      </w:r>
      <w:bookmarkEnd w:id="26"/>
    </w:p>
    <w:p>
      <w:pPr>
        <w:pStyle w:val="19"/>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12"/>
        <w:rPr>
          <w:rFonts w:hint="eastAsia"/>
        </w:rPr>
      </w:pPr>
      <w:bookmarkStart w:id="27" w:name="_Toc4487345"/>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3"/>
        <w:rPr>
          <w:rFonts w:hint="eastAsia"/>
        </w:rPr>
      </w:pPr>
      <w:bookmarkStart w:id="28" w:name="_Toc4487346"/>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标准无保留意见</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普华永道中天审字(2019)第24787号</w:t>
            </w:r>
          </w:p>
        </w:tc>
      </w:tr>
    </w:tbl>
    <w:p>
      <w:pPr>
        <w:widowControl/>
        <w:jc w:val="left"/>
        <w:rPr>
          <w:rFonts w:hint="eastAsia" w:ascii="宋体" w:hAnsi="宋体" w:cs="宋体"/>
          <w:kern w:val="0"/>
          <w:sz w:val="24"/>
          <w:szCs w:val="24"/>
        </w:rPr>
      </w:pPr>
    </w:p>
    <w:p>
      <w:pPr>
        <w:pStyle w:val="13"/>
        <w:rPr>
          <w:rFonts w:hint="eastAsia"/>
        </w:rPr>
      </w:pPr>
      <w:bookmarkStart w:id="29" w:name="_Toc4487347"/>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创金合信尊智纯债债券型证券投资基金全体基金份额持有人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 我们审计的内容 我们审计了创金合信尊智纯债债券型证券投资基金(以下简称“创金合信尊智纯债债券基金”)的财务报表，包括2018年12月31日的资产负债表，2018年度的利润表和所有者权益(基金净值)变动表以及财务报表附注。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尊智纯债债券基金2018年12月31日的财务状况以及2018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按照中国注册会计师职业道德守则，我们独立于创金合信尊智纯债债券基金，并履行了职业道德方面的其他责任。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智纯债债券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尊智纯债债券基金的持续经营能力，披露与持续经营相关的事项(如适用)，并运用持续经营假设，除非基金管理人管理层计划清算创金合信尊智纯债债券基金、终止运营或别无其他现实的选择。 基金管理人治理层负责监督创金合信尊智纯债债券基金的财务报告过程。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尊智纯债债券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尊智纯债债券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2"/>
        <w:rPr>
          <w:rFonts w:hint="eastAsia"/>
        </w:rPr>
      </w:pPr>
      <w:bookmarkStart w:id="30" w:name="_Toc4487348"/>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3"/>
        <w:rPr>
          <w:rFonts w:hint="eastAsia"/>
        </w:rPr>
      </w:pPr>
      <w:bookmarkStart w:id="31" w:name="_Toc4487349"/>
      <w:r>
        <w:rPr>
          <w:rFonts w:hint="eastAsia"/>
          <w:b/>
          <w:bCs/>
        </w:rPr>
        <w:t>7.1 资产负债表</w:t>
      </w:r>
      <w:bookmarkEnd w:id="31"/>
    </w:p>
    <w:p>
      <w:pPr>
        <w:pStyle w:val="16"/>
        <w:rPr>
          <w:rFonts w:hint="eastAsia"/>
        </w:rPr>
      </w:pPr>
      <w:r>
        <w:rPr>
          <w:rFonts w:hint="eastAsia"/>
        </w:rPr>
        <w:t>会计主体：创金合信尊智纯债债券型证券投资基金</w:t>
      </w:r>
    </w:p>
    <w:p>
      <w:pPr>
        <w:pStyle w:val="16"/>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 </w:t>
            </w:r>
          </w:p>
          <w:p>
            <w:pPr>
              <w:pStyle w:val="17"/>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 </w:t>
            </w:r>
          </w:p>
          <w:p>
            <w:pPr>
              <w:pStyle w:val="17"/>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95,690.68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12,000,238.62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10,551,460.54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92,176.12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32,174.10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1,026.26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414,720,819.50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75,212,500.00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414,720,819.50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75,212,500.00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10,999,135.00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80,039.68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6,348,203.68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2,019,283.71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431,828,388.18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100,324,359.71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 </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 </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115,370,000.00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82,397.14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80,477.11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54,878.96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26,825.70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18,292.97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18,619.04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1,418.66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-18,291.15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184,600.00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124,000.00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115,727,427.46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215,790.97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302,546,686.25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100,013,103.20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13,554,274.47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95,465.54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316,100,960.72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100,108,568.74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431,828,388.18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100,324,359.71</w:t>
            </w:r>
          </w:p>
        </w:tc>
      </w:tr>
    </w:tbl>
    <w:p>
      <w:pPr>
        <w:pStyle w:val="19"/>
        <w:rPr>
          <w:rFonts w:hint="eastAsia"/>
        </w:rPr>
      </w:pPr>
      <w:r>
        <w:rPr>
          <w:rFonts w:hint="eastAsia"/>
        </w:rPr>
        <w:t>注：1.报告截止日2018年12月31日，基金份额净值1.0448元，基金份额总额302,546,686.25份。</w:t>
      </w:r>
      <w:r>
        <w:rPr>
          <w:rFonts w:hint="eastAsia"/>
        </w:rPr>
        <w:br w:type="textWrapping"/>
      </w:r>
      <w:r>
        <w:rPr>
          <w:rFonts w:hint="eastAsia"/>
        </w:rPr>
        <w:t>2.本基金合同生效日为2017年6月16日，上年度可比期间为2017年6月16日至2017年12月31日。</w:t>
      </w:r>
    </w:p>
    <w:p>
      <w:pPr>
        <w:widowControl/>
        <w:jc w:val="left"/>
        <w:rPr>
          <w:rFonts w:hint="eastAsia" w:ascii="宋体" w:hAnsi="宋体" w:cs="宋体"/>
          <w:kern w:val="0"/>
          <w:sz w:val="24"/>
          <w:szCs w:val="24"/>
        </w:rPr>
      </w:pPr>
    </w:p>
    <w:p>
      <w:pPr>
        <w:pStyle w:val="13"/>
        <w:rPr>
          <w:rFonts w:hint="eastAsia"/>
        </w:rPr>
      </w:pPr>
      <w:bookmarkStart w:id="32" w:name="_Toc4487350"/>
      <w:r>
        <w:rPr>
          <w:rFonts w:hint="eastAsia"/>
          <w:b/>
          <w:bCs/>
        </w:rPr>
        <w:t>7.2 利润表</w:t>
      </w:r>
      <w:bookmarkEnd w:id="32"/>
    </w:p>
    <w:p>
      <w:pPr>
        <w:pStyle w:val="16"/>
        <w:rPr>
          <w:rFonts w:hint="eastAsia"/>
        </w:rPr>
      </w:pPr>
      <w:r>
        <w:rPr>
          <w:rFonts w:hint="eastAsia"/>
        </w:rPr>
        <w:t>会计主体：创金合信尊智纯债债券型证券投资基金</w:t>
      </w:r>
    </w:p>
    <w:p>
      <w:pPr>
        <w:pStyle w:val="16"/>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 </w:t>
            </w:r>
          </w:p>
          <w:p>
            <w:pPr>
              <w:pStyle w:val="17"/>
              <w:wordWrap w:val="0"/>
              <w:rPr>
                <w:rFonts w:hint="eastAsia"/>
              </w:rPr>
            </w:pPr>
            <w:r>
              <w:rPr>
                <w:rFonts w:hint="eastAsia"/>
              </w:rPr>
              <w:t>2017年06月16日（基金合同生效日）至2017年12月31日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19,652,588.32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7,500,947.35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12,477,619.84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8,001,760.97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100,289.16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1,139,090.32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12,156,355.53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6,273,148.66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220,975.15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589,521.99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2,641,469.21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-457,821.38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2,641,469.21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-457,821.38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4,533,499.27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-42,992.75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3,411,925.58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1,574,669.96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710,332.94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466,307.14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236,777.51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155,435.68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6,866.95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15,733.48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2,254,047.08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798,971.20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2,254,047.08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798,971.20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1,934.34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201,966.76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138,222.46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16,240,662.74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5,926,277.39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16,240,662.74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5,926,277.39</w:t>
            </w:r>
          </w:p>
        </w:tc>
      </w:tr>
    </w:tbl>
    <w:p>
      <w:pPr>
        <w:pStyle w:val="19"/>
        <w:rPr>
          <w:rFonts w:hint="eastAsia"/>
        </w:rPr>
      </w:pPr>
      <w:r>
        <w:rPr>
          <w:rFonts w:hint="eastAsia"/>
        </w:rPr>
        <w:t>注：本基金合同生效日为2017年6月16日，上年度可比期间为2017年6月16日至2017年12月31日。</w:t>
      </w:r>
    </w:p>
    <w:p>
      <w:pPr>
        <w:widowControl/>
        <w:jc w:val="left"/>
        <w:rPr>
          <w:rFonts w:hint="eastAsia" w:ascii="宋体" w:hAnsi="宋体" w:cs="宋体"/>
          <w:kern w:val="0"/>
          <w:sz w:val="24"/>
          <w:szCs w:val="24"/>
        </w:rPr>
      </w:pPr>
    </w:p>
    <w:p>
      <w:pPr>
        <w:pStyle w:val="13"/>
        <w:rPr>
          <w:rFonts w:hint="eastAsia"/>
        </w:rPr>
      </w:pPr>
      <w:bookmarkStart w:id="33" w:name="_Toc4487351"/>
      <w:r>
        <w:rPr>
          <w:rFonts w:hint="eastAsia"/>
          <w:b/>
          <w:bCs/>
        </w:rPr>
        <w:t>7.3 所有者权益（基金净值）变动表</w:t>
      </w:r>
      <w:bookmarkEnd w:id="33"/>
    </w:p>
    <w:p>
      <w:pPr>
        <w:pStyle w:val="16"/>
        <w:rPr>
          <w:rFonts w:hint="eastAsia"/>
        </w:rPr>
      </w:pPr>
      <w:r>
        <w:rPr>
          <w:rFonts w:hint="eastAsia"/>
        </w:rPr>
        <w:t>会计主体：创金合信尊智纯债债券型证券投资基金</w:t>
      </w:r>
    </w:p>
    <w:p>
      <w:pPr>
        <w:pStyle w:val="16"/>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 </w:t>
            </w:r>
          </w:p>
          <w:p>
            <w:pPr>
              <w:pStyle w:val="17"/>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100,013,103.20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95,465.54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100,108,568.74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16,240,662.74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16,240,662.74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202,533,583.05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-2,781,853.81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199,751,729.24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303,033,225.38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-2,540,183.64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300,493,041.74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-100,499,642.33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-241,670.17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-100,741,312.50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302,546,686.25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13,554,274.47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316,100,960.72</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 </w:t>
            </w:r>
          </w:p>
          <w:p>
            <w:pPr>
              <w:pStyle w:val="17"/>
              <w:wordWrap w:val="0"/>
              <w:rPr>
                <w:rFonts w:hint="eastAsia"/>
              </w:rPr>
            </w:pPr>
            <w:r>
              <w:rPr>
                <w:rFonts w:hint="eastAsia"/>
              </w:rPr>
              <w:t>2017年06月16日（基金合同生效日）至2017年12月31日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250,111,649.19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250,111,649.19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5,926,277.39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5,926,277.39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-150,098,545.99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-130,043.04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-150,228,589.03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49,929,308.84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69,900.99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49,999,209.83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-200,027,854.83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-199,944.03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-200,227,798.86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-5,700,768.81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-5,700,768.81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100,013,103.20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95,465.54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100,108,568.74</w:t>
            </w:r>
          </w:p>
        </w:tc>
      </w:tr>
    </w:tbl>
    <w:p>
      <w:pPr>
        <w:pStyle w:val="19"/>
        <w:rPr>
          <w:rFonts w:hint="eastAsia"/>
        </w:rPr>
      </w:pPr>
      <w:r>
        <w:rPr>
          <w:rFonts w:hint="eastAsia"/>
        </w:rPr>
        <w:t>注：本基金合同生效日为2017年6月16日，上年度可比期间为2017年6月16日至2017年12月31日。</w:t>
      </w:r>
    </w:p>
    <w:p>
      <w:pPr>
        <w:pStyle w:val="16"/>
        <w:rPr>
          <w:rFonts w:hint="eastAsia"/>
        </w:rPr>
      </w:pPr>
      <w:r>
        <w:rPr>
          <w:rFonts w:hint="eastAsia"/>
        </w:rPr>
        <w:t>报表附注为财务报表的组成部分。</w:t>
      </w:r>
    </w:p>
    <w:p>
      <w:pPr>
        <w:pStyle w:val="16"/>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6"/>
              <w:wordWrap w:val="0"/>
              <w:rPr>
                <w:rFonts w:hint="eastAsia"/>
              </w:rPr>
            </w:pPr>
            <w:r>
              <w:rPr>
                <w:rFonts w:hint="eastAsia" w:hAnsi="Calibri"/>
                <w:color w:val="000000"/>
              </w:rPr>
              <w:t>苏彦祝</w:t>
            </w:r>
          </w:p>
          <w:p>
            <w:pPr>
              <w:pStyle w:val="16"/>
              <w:wordWrap w:val="0"/>
              <w:rPr>
                <w:rFonts w:hint="eastAsia"/>
              </w:rPr>
            </w:pPr>
            <w:r>
              <w:rPr>
                <w:rFonts w:hint="eastAsia"/>
              </w:rPr>
              <w:t>—————————</w:t>
            </w:r>
          </w:p>
          <w:p>
            <w:pPr>
              <w:pStyle w:val="16"/>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6"/>
              <w:wordWrap w:val="0"/>
              <w:rPr>
                <w:rFonts w:hint="eastAsia"/>
              </w:rPr>
            </w:pPr>
            <w:r>
              <w:rPr>
                <w:rFonts w:hint="eastAsia"/>
              </w:rPr>
              <w:t>黄越岷</w:t>
            </w:r>
          </w:p>
          <w:p>
            <w:pPr>
              <w:pStyle w:val="16"/>
              <w:wordWrap w:val="0"/>
              <w:rPr>
                <w:rFonts w:hint="eastAsia"/>
              </w:rPr>
            </w:pPr>
            <w:r>
              <w:rPr>
                <w:rFonts w:hint="eastAsia"/>
              </w:rPr>
              <w:t>—————————</w:t>
            </w:r>
          </w:p>
          <w:p>
            <w:pPr>
              <w:pStyle w:val="16"/>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6"/>
              <w:wordWrap w:val="0"/>
              <w:rPr>
                <w:rFonts w:hint="eastAsia"/>
              </w:rPr>
            </w:pPr>
            <w:r>
              <w:rPr>
                <w:rFonts w:hint="eastAsia"/>
              </w:rPr>
              <w:t>安兆国</w:t>
            </w:r>
          </w:p>
          <w:p>
            <w:pPr>
              <w:pStyle w:val="16"/>
              <w:wordWrap w:val="0"/>
              <w:rPr>
                <w:rFonts w:hint="eastAsia"/>
              </w:rPr>
            </w:pPr>
            <w:r>
              <w:rPr>
                <w:rFonts w:hint="eastAsia"/>
              </w:rPr>
              <w:t>—————————</w:t>
            </w:r>
          </w:p>
          <w:p>
            <w:pPr>
              <w:pStyle w:val="16"/>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3"/>
        <w:rPr>
          <w:rFonts w:hint="eastAsia"/>
        </w:rPr>
      </w:pPr>
      <w:bookmarkStart w:id="34" w:name="_Toc4487352"/>
      <w:r>
        <w:rPr>
          <w:rFonts w:hint="eastAsia"/>
          <w:b/>
          <w:bCs/>
        </w:rPr>
        <w:t>7.4 报表附注</w:t>
      </w:r>
      <w:bookmarkEnd w:id="34"/>
    </w:p>
    <w:p>
      <w:pPr>
        <w:pStyle w:val="14"/>
        <w:rPr>
          <w:rFonts w:hint="eastAsia"/>
        </w:rPr>
      </w:pPr>
      <w:r>
        <w:rPr>
          <w:rFonts w:hint="eastAsia"/>
          <w:b/>
          <w:bCs/>
        </w:rPr>
        <w:t>7.4.1 基金基本情况</w:t>
      </w:r>
    </w:p>
    <w:p>
      <w:pPr>
        <w:pStyle w:val="19"/>
        <w:spacing w:before="0"/>
        <w:ind w:left="0" w:firstLine="480"/>
        <w:rPr>
          <w:rFonts w:hint="eastAsia"/>
        </w:rPr>
      </w:pPr>
      <w:r>
        <w:rPr>
          <w:rFonts w:hint="eastAsia"/>
        </w:rPr>
        <w:t>创金合信尊智纯债债券型证券投资基金(以下简称"本基金")经中国证券监督管理委员会(以下简称"中国证监会")证监许可[2016]1653号《关于准予创金合信尊智纯债债券型证券投资基金注册的批复》和机构部函[2017]1174号《关于创金合信尊智纯债债券型证券投资基金延期募集备案的回函》核准，由创金合信基金管理有限公司依照《中华人民共和国证券投资基金法》和《创金合信尊智纯债债券型证券投资基金基金合同》负责公开募集。本基金为契约型开放式，存续期限不定，首次设立募集不包括认购资金利息共募集人民币250,101,647.39元，业经普华永道中天会计师事务所(特殊普通合伙)普华永道中天验字(2017)第323号验资报告予以验证。经向中国证监会备案，《创金合信尊智纯债债券型证券投资基金基金合同》于2017年6月16日正式生效，基金合同生效日的基金份额总额为250,111,649.19份基金份额，其中认购资金利息折合10,001.80份基金份额。本基金的基金管理人为创金合信基金管理有限公司，基金托管人为招商银行股份有限公司(以下简称"招商银行")。</w:t>
      </w:r>
    </w:p>
    <w:p>
      <w:pPr>
        <w:pStyle w:val="19"/>
        <w:spacing w:before="0"/>
        <w:ind w:left="0" w:firstLine="480"/>
        <w:rPr>
          <w:rFonts w:hint="eastAsia"/>
        </w:rPr>
      </w:pPr>
      <w:r>
        <w:rPr>
          <w:rFonts w:hint="eastAsia"/>
        </w:rPr>
        <w:t>根据《中华人民共和国证券投资基金法》和《创金合信尊智纯债债券型证券投资基金基金合同》的有关规定，本基金主要投资于具有良好流动性的金融工具，包括国债、央行票据、政府支持机构债券、政府支持债券、地方政府债、金融债、企业债、公司债、证券公司短期公司债券、中小企业私募债、商业银行次级债、中期票据、短期融资券及超级短期融资券、可转换债券(含可分离交易可转债)、可交换债券、资产支持证券、债券回购、同业存单、银行存款(包括协议存款、定期存款及其他银行存款)、国债期货等，以及法律法规或中国证监会允许基金投资的其他金融工具(但须符合中国证监会相关规定)。本基金的业绩比较基准为：中债综合(全价)指数收益率。</w:t>
      </w:r>
    </w:p>
    <w:p>
      <w:pPr>
        <w:widowControl/>
        <w:jc w:val="left"/>
        <w:rPr>
          <w:rFonts w:hint="eastAsia" w:ascii="宋体" w:hAnsi="宋体" w:cs="宋体"/>
          <w:kern w:val="0"/>
          <w:sz w:val="24"/>
          <w:szCs w:val="24"/>
        </w:rPr>
      </w:pPr>
    </w:p>
    <w:p>
      <w:pPr>
        <w:pStyle w:val="14"/>
        <w:rPr>
          <w:rFonts w:hint="eastAsia"/>
        </w:rPr>
      </w:pPr>
      <w:r>
        <w:rPr>
          <w:rFonts w:hint="eastAsia"/>
          <w:b/>
          <w:bCs/>
        </w:rPr>
        <w:t>7.4.2 会计报表的编制基础</w:t>
      </w:r>
    </w:p>
    <w:p>
      <w:pPr>
        <w:pStyle w:val="19"/>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尊智纯债债券型证券投资基金基金合同》和在财务报表附注7.4.4所列示的中国证监会、中国基金业协会发布的有关规定及允许的基金行业实务操作编制。</w:t>
      </w:r>
    </w:p>
    <w:p>
      <w:pPr>
        <w:pStyle w:val="19"/>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4"/>
        <w:rPr>
          <w:rFonts w:hint="eastAsia"/>
        </w:rPr>
      </w:pPr>
      <w:r>
        <w:rPr>
          <w:rFonts w:hint="eastAsia"/>
          <w:b/>
          <w:bCs/>
        </w:rPr>
        <w:t>7.4.3 遵循企业会计准则及其他有关规定的声明</w:t>
      </w:r>
    </w:p>
    <w:p>
      <w:pPr>
        <w:pStyle w:val="19"/>
        <w:spacing w:before="0"/>
        <w:ind w:left="0" w:firstLine="480"/>
        <w:rPr>
          <w:rFonts w:hint="eastAsia"/>
        </w:rPr>
      </w:pPr>
      <w:r>
        <w:rPr>
          <w:rFonts w:hint="eastAsia"/>
        </w:rPr>
        <w:t>本基金2018年度财务报表符合企业会计准则的要求，真实、完整地反映了本基金2018年12月31日的财务状况以及2018年度的经营成果和基金净值变动情况等有关信息。</w:t>
      </w:r>
    </w:p>
    <w:p>
      <w:pPr>
        <w:widowControl/>
        <w:jc w:val="left"/>
        <w:rPr>
          <w:rFonts w:hint="eastAsia" w:ascii="宋体" w:hAnsi="宋体" w:cs="宋体"/>
          <w:kern w:val="0"/>
          <w:sz w:val="24"/>
          <w:szCs w:val="24"/>
        </w:rPr>
      </w:pPr>
    </w:p>
    <w:p>
      <w:pPr>
        <w:pStyle w:val="14"/>
        <w:rPr>
          <w:rFonts w:hint="eastAsia"/>
        </w:rPr>
      </w:pPr>
      <w:r>
        <w:rPr>
          <w:rFonts w:hint="eastAsia"/>
          <w:b/>
          <w:bCs/>
        </w:rPr>
        <w:t>7.4.4 重要会计政策和会计估计</w:t>
      </w:r>
    </w:p>
    <w:p>
      <w:pPr>
        <w:pStyle w:val="14"/>
        <w:rPr>
          <w:rFonts w:hint="eastAsia"/>
        </w:rPr>
      </w:pPr>
      <w:r>
        <w:rPr>
          <w:rFonts w:hint="eastAsia"/>
          <w:b/>
          <w:bCs/>
        </w:rPr>
        <w:t>7.4.4.1 会计年度</w:t>
      </w:r>
    </w:p>
    <w:p>
      <w:pPr>
        <w:pStyle w:val="19"/>
        <w:spacing w:before="0"/>
        <w:ind w:left="0" w:firstLine="480"/>
        <w:rPr>
          <w:rFonts w:hint="eastAsia"/>
        </w:rPr>
      </w:pPr>
      <w:r>
        <w:rPr>
          <w:rFonts w:hint="eastAsia"/>
        </w:rPr>
        <w:t>本基金会计年度为公历1月1日起至12月31日止。比较财务报表的实际编制期间为2017年6月16日(基金合同生效日)至2017年12月31日。</w:t>
      </w:r>
    </w:p>
    <w:p>
      <w:pPr>
        <w:widowControl/>
        <w:jc w:val="left"/>
        <w:rPr>
          <w:rFonts w:hint="eastAsia" w:ascii="宋体" w:hAnsi="宋体" w:cs="宋体"/>
          <w:kern w:val="0"/>
          <w:sz w:val="24"/>
          <w:szCs w:val="24"/>
        </w:rPr>
      </w:pPr>
    </w:p>
    <w:p>
      <w:pPr>
        <w:pStyle w:val="14"/>
        <w:rPr>
          <w:rFonts w:hint="eastAsia"/>
        </w:rPr>
      </w:pPr>
      <w:r>
        <w:rPr>
          <w:rFonts w:hint="eastAsia"/>
          <w:b/>
          <w:bCs/>
        </w:rPr>
        <w:t>7.4.4.2 记账本位币</w:t>
      </w:r>
    </w:p>
    <w:p>
      <w:pPr>
        <w:pStyle w:val="19"/>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4"/>
        <w:rPr>
          <w:rFonts w:hint="eastAsia"/>
        </w:rPr>
      </w:pPr>
      <w:r>
        <w:rPr>
          <w:rFonts w:hint="eastAsia"/>
          <w:b/>
          <w:bCs/>
        </w:rPr>
        <w:t>7.4.4.3 金融资产和金融负债的分类</w:t>
      </w:r>
    </w:p>
    <w:p>
      <w:pPr>
        <w:pStyle w:val="19"/>
        <w:spacing w:before="0"/>
        <w:ind w:left="0" w:firstLine="480"/>
        <w:rPr>
          <w:rFonts w:hint="eastAsia"/>
        </w:rPr>
      </w:pPr>
      <w:r>
        <w:rPr>
          <w:rFonts w:hint="eastAsia"/>
        </w:rPr>
        <w:t>(1) 金融资产的分类</w:t>
      </w:r>
    </w:p>
    <w:p>
      <w:pPr>
        <w:pStyle w:val="19"/>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19"/>
        <w:spacing w:before="0"/>
        <w:ind w:left="0" w:firstLine="480"/>
        <w:rPr>
          <w:rFonts w:hint="eastAsia"/>
        </w:rPr>
      </w:pPr>
      <w:r>
        <w:rPr>
          <w:rFonts w:hint="eastAsia"/>
        </w:rPr>
        <w:t>本基金目前以交易目的持有的债券投资分类为以公允价值计量且其变动计入当期损益的金融资产。以公允价值计量且其变动计入当期损益的金融资产在资产负债表中以交易性金融资产列示。</w:t>
      </w:r>
    </w:p>
    <w:p>
      <w:pPr>
        <w:pStyle w:val="19"/>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19"/>
        <w:spacing w:before="0"/>
        <w:ind w:left="0" w:firstLine="480"/>
        <w:rPr>
          <w:rFonts w:hint="eastAsia"/>
        </w:rPr>
      </w:pPr>
      <w:r>
        <w:rPr>
          <w:rFonts w:hint="eastAsia"/>
        </w:rPr>
        <w:t>(2) 金融负债的分类</w:t>
      </w:r>
    </w:p>
    <w:p>
      <w:pPr>
        <w:pStyle w:val="19"/>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4"/>
        <w:rPr>
          <w:rFonts w:hint="eastAsia"/>
        </w:rPr>
      </w:pPr>
      <w:r>
        <w:rPr>
          <w:rFonts w:hint="eastAsia"/>
          <w:b/>
          <w:bCs/>
        </w:rPr>
        <w:t>7.4.4.4 金融资产和金融负债的初始确认、后续计量和终止确认</w:t>
      </w:r>
    </w:p>
    <w:p>
      <w:pPr>
        <w:pStyle w:val="19"/>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19"/>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19"/>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19"/>
        <w:spacing w:before="0"/>
        <w:ind w:left="0" w:firstLine="480"/>
        <w:rPr>
          <w:rFonts w:hint="eastAsia"/>
        </w:rPr>
      </w:pPr>
      <w:r>
        <w:rPr>
          <w:rFonts w:hint="eastAsia"/>
        </w:rPr>
        <w:t>金融资产终止确认时，其账面价值与收到的对价的差额，计入当期损益。</w:t>
      </w:r>
    </w:p>
    <w:p>
      <w:pPr>
        <w:pStyle w:val="19"/>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4"/>
        <w:rPr>
          <w:rFonts w:hint="eastAsia"/>
        </w:rPr>
      </w:pPr>
      <w:r>
        <w:rPr>
          <w:rFonts w:hint="eastAsia"/>
          <w:b/>
          <w:bCs/>
        </w:rPr>
        <w:t>7.4.4.5 金融资产和金融负债的估值原则</w:t>
      </w:r>
    </w:p>
    <w:p>
      <w:pPr>
        <w:pStyle w:val="19"/>
        <w:spacing w:before="0"/>
        <w:ind w:left="0" w:firstLine="480"/>
        <w:rPr>
          <w:rFonts w:hint="eastAsia"/>
        </w:rPr>
      </w:pPr>
      <w:r>
        <w:rPr>
          <w:rFonts w:hint="eastAsia"/>
        </w:rPr>
        <w:t>本基金持有的债券投资和衍生工具按如下原则确定公允价值并进行估值：</w:t>
      </w:r>
    </w:p>
    <w:p>
      <w:pPr>
        <w:pStyle w:val="19"/>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19"/>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19"/>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4"/>
        <w:rPr>
          <w:rFonts w:hint="eastAsia"/>
        </w:rPr>
      </w:pPr>
      <w:r>
        <w:rPr>
          <w:rFonts w:hint="eastAsia"/>
          <w:b/>
          <w:bCs/>
        </w:rPr>
        <w:t>7.4.4.6 金融资产和金融负债的抵销</w:t>
      </w:r>
    </w:p>
    <w:p>
      <w:pPr>
        <w:pStyle w:val="19"/>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4"/>
        <w:rPr>
          <w:rFonts w:hint="eastAsia"/>
        </w:rPr>
      </w:pPr>
      <w:r>
        <w:rPr>
          <w:rFonts w:hint="eastAsia"/>
          <w:b/>
          <w:bCs/>
        </w:rPr>
        <w:t>7.4.4.7 实收基金</w:t>
      </w:r>
    </w:p>
    <w:p>
      <w:pPr>
        <w:pStyle w:val="19"/>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w:t>
      </w:r>
    </w:p>
    <w:p>
      <w:pPr>
        <w:widowControl/>
        <w:jc w:val="left"/>
        <w:rPr>
          <w:rFonts w:hint="eastAsia" w:ascii="宋体" w:hAnsi="宋体" w:cs="宋体"/>
          <w:kern w:val="0"/>
          <w:sz w:val="24"/>
          <w:szCs w:val="24"/>
        </w:rPr>
      </w:pPr>
    </w:p>
    <w:p>
      <w:pPr>
        <w:pStyle w:val="14"/>
        <w:rPr>
          <w:rFonts w:hint="eastAsia"/>
        </w:rPr>
      </w:pPr>
      <w:r>
        <w:rPr>
          <w:rFonts w:hint="eastAsia"/>
          <w:b/>
          <w:bCs/>
        </w:rPr>
        <w:t>7.4.4.8 损益平准金</w:t>
      </w:r>
    </w:p>
    <w:p>
      <w:pPr>
        <w:pStyle w:val="19"/>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4"/>
        <w:rPr>
          <w:rFonts w:hint="eastAsia"/>
        </w:rPr>
      </w:pPr>
      <w:r>
        <w:rPr>
          <w:rFonts w:hint="eastAsia"/>
          <w:b/>
          <w:bCs/>
        </w:rPr>
        <w:t>7.4.4.9 收入/（损失）的确认和计量</w:t>
      </w:r>
    </w:p>
    <w:p>
      <w:pPr>
        <w:pStyle w:val="19"/>
        <w:spacing w:before="0"/>
        <w:ind w:left="0" w:firstLine="480"/>
        <w:rPr>
          <w:rFonts w:hint="eastAsia"/>
        </w:rPr>
      </w:pPr>
      <w:r>
        <w:rPr>
          <w:rFonts w:hint="eastAsia"/>
        </w:rPr>
        <w:t>债券投资在持有期间应取得的按票面利率或者发行价计算的利息扣除在适用情况下由债券发行企业代扣代缴的个人所得税及由基金管理人缴纳的增值税后的净额确认为利息收入。</w:t>
      </w:r>
    </w:p>
    <w:p>
      <w:pPr>
        <w:pStyle w:val="19"/>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19"/>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4"/>
        <w:rPr>
          <w:rFonts w:hint="eastAsia"/>
        </w:rPr>
      </w:pPr>
      <w:r>
        <w:rPr>
          <w:rFonts w:hint="eastAsia"/>
          <w:b/>
          <w:bCs/>
        </w:rPr>
        <w:t>7.4.4.10 费用的确认和计量</w:t>
      </w:r>
    </w:p>
    <w:p>
      <w:pPr>
        <w:pStyle w:val="19"/>
        <w:spacing w:before="0"/>
        <w:ind w:left="0" w:firstLine="480"/>
        <w:rPr>
          <w:rFonts w:hint="eastAsia"/>
        </w:rPr>
      </w:pPr>
      <w:r>
        <w:rPr>
          <w:rFonts w:hint="eastAsia"/>
        </w:rPr>
        <w:t>本基金的管理人报酬和托管费在费用涵盖期间按基金合同约定的费率和计算方法逐日确认。</w:t>
      </w:r>
    </w:p>
    <w:p>
      <w:pPr>
        <w:pStyle w:val="19"/>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4"/>
        <w:rPr>
          <w:rFonts w:hint="eastAsia"/>
        </w:rPr>
      </w:pPr>
      <w:r>
        <w:rPr>
          <w:rFonts w:hint="eastAsia"/>
          <w:b/>
          <w:bCs/>
        </w:rPr>
        <w:t>7.4.4.11 基金的收益分配政策</w:t>
      </w:r>
    </w:p>
    <w:p>
      <w:pPr>
        <w:pStyle w:val="19"/>
        <w:spacing w:before="0"/>
        <w:ind w:left="0" w:firstLine="480"/>
        <w:rPr>
          <w:rFonts w:hint="eastAsia"/>
        </w:rPr>
      </w:pPr>
      <w:r>
        <w:rPr>
          <w:rFonts w:hint="eastAsia"/>
        </w:rPr>
        <w:t>本基金的收益分配政策为：(1)本基金收益分配方式分两种：现金分红与红利再投资，投资者可选择现金红利或将现金红利自动转为基金份额进行再投资；若投资者不选择，本基金默认的收益分配方式是现金分红；(2)基金收益分配后基金份额净值不能低于面值，即基金收益分配基准日的基金份额净值减去每单位基金份额收益分配金额后不能低于面值；(3)每一基金份额享有同等分配权；(4)在对基金份额持有人利益无实质不利影响的前提下，基金管理人与基金托管人协商一致后可调整基金收益的分配原则和支付方式，不需召开基金份额持有人大会审议；(5)法律法规或监管机关另有规定的，从其规定。</w:t>
      </w:r>
    </w:p>
    <w:p>
      <w:pPr>
        <w:widowControl/>
        <w:jc w:val="left"/>
        <w:rPr>
          <w:rFonts w:hint="eastAsia" w:ascii="宋体" w:hAnsi="宋体" w:cs="宋体"/>
          <w:kern w:val="0"/>
          <w:sz w:val="24"/>
          <w:szCs w:val="24"/>
        </w:rPr>
      </w:pPr>
    </w:p>
    <w:p>
      <w:pPr>
        <w:pStyle w:val="14"/>
        <w:rPr>
          <w:rFonts w:hint="eastAsia"/>
        </w:rPr>
      </w:pPr>
      <w:r>
        <w:rPr>
          <w:rFonts w:hint="eastAsia"/>
          <w:b/>
          <w:bCs/>
        </w:rPr>
        <w:t>7.4.4.12 分部报告</w:t>
      </w:r>
    </w:p>
    <w:p>
      <w:pPr>
        <w:pStyle w:val="19"/>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19"/>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4"/>
        <w:rPr>
          <w:rFonts w:hint="eastAsia"/>
        </w:rPr>
      </w:pPr>
      <w:r>
        <w:rPr>
          <w:rFonts w:hint="eastAsia"/>
          <w:b/>
          <w:bCs/>
        </w:rPr>
        <w:t>7.4.4.13 其他重要的会计政策和会计估计</w:t>
      </w:r>
    </w:p>
    <w:p>
      <w:pPr>
        <w:pStyle w:val="19"/>
        <w:spacing w:before="0"/>
        <w:ind w:left="0" w:firstLine="480"/>
        <w:rPr>
          <w:rFonts w:hint="eastAsia"/>
        </w:rPr>
      </w:pPr>
      <w:r>
        <w:rPr>
          <w:rFonts w:hint="eastAsia"/>
        </w:rPr>
        <w:t>根据本基金的估值原则和中国证监会允许的基金行业估值实务操作，本基金确定以下类别债券投资的公允价值时采用的估值方法及其关键假设如下：</w:t>
      </w:r>
    </w:p>
    <w:p>
      <w:pPr>
        <w:pStyle w:val="19"/>
        <w:spacing w:before="0"/>
        <w:ind w:left="0" w:firstLine="480"/>
        <w:rPr>
          <w:rFonts w:hint="eastAsia"/>
        </w:rPr>
      </w:pPr>
      <w:r>
        <w:rPr>
          <w:rFonts w:hint="eastAsia"/>
        </w:rPr>
        <w:t>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4"/>
        <w:rPr>
          <w:rFonts w:hint="eastAsia"/>
        </w:rPr>
      </w:pPr>
      <w:r>
        <w:rPr>
          <w:rFonts w:hint="eastAsia"/>
          <w:b/>
          <w:bCs/>
        </w:rPr>
        <w:t>7.4.5 会计政策和会计估计变更以及差错更正的说明</w:t>
      </w:r>
    </w:p>
    <w:p>
      <w:pPr>
        <w:pStyle w:val="14"/>
        <w:rPr>
          <w:rFonts w:hint="eastAsia"/>
        </w:rPr>
      </w:pPr>
      <w:r>
        <w:rPr>
          <w:rFonts w:hint="eastAsia"/>
          <w:b/>
          <w:bCs/>
        </w:rPr>
        <w:t>7.4.5.1 会计政策变更的说明</w:t>
      </w:r>
    </w:p>
    <w:p>
      <w:pPr>
        <w:pStyle w:val="19"/>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4"/>
        <w:rPr>
          <w:rFonts w:hint="eastAsia"/>
        </w:rPr>
      </w:pPr>
      <w:r>
        <w:rPr>
          <w:rFonts w:hint="eastAsia"/>
          <w:b/>
          <w:bCs/>
        </w:rPr>
        <w:t>7.4.5.2 会计估计变更的说明</w:t>
      </w:r>
    </w:p>
    <w:p>
      <w:pPr>
        <w:pStyle w:val="19"/>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4"/>
        <w:rPr>
          <w:rFonts w:hint="eastAsia"/>
        </w:rPr>
      </w:pPr>
      <w:r>
        <w:rPr>
          <w:rFonts w:hint="eastAsia"/>
          <w:b/>
          <w:bCs/>
        </w:rPr>
        <w:t>7.4.5.3 差错更正的说明</w:t>
      </w:r>
    </w:p>
    <w:p>
      <w:pPr>
        <w:pStyle w:val="19"/>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4"/>
        <w:rPr>
          <w:rFonts w:hint="eastAsia"/>
        </w:rPr>
      </w:pPr>
      <w:r>
        <w:rPr>
          <w:rFonts w:hint="eastAsia"/>
          <w:b/>
          <w:bCs/>
        </w:rPr>
        <w:t>7.4.6 税项</w:t>
      </w:r>
    </w:p>
    <w:p>
      <w:pPr>
        <w:pStyle w:val="19"/>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19"/>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19"/>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基金、非货物期货，可以选择按照实际买入价计算销售额，或者以2017年最后一个交易日的基金份额净值、非货物期货结算价格作为买入价计算销售额。</w:t>
      </w:r>
    </w:p>
    <w:p>
      <w:pPr>
        <w:pStyle w:val="19"/>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19"/>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19"/>
        <w:spacing w:before="0"/>
        <w:ind w:left="0" w:firstLine="480"/>
        <w:rPr>
          <w:rFonts w:hint="eastAsia"/>
        </w:rPr>
      </w:pPr>
      <w:r>
        <w:rPr>
          <w:rFonts w:hint="eastAsia"/>
        </w:rPr>
        <w:t>(4) 基金卖出股票按0.1%的税率缴纳股票交易印花税，买入股票不征收股票交易印花税。</w:t>
      </w:r>
    </w:p>
    <w:p>
      <w:pPr>
        <w:pStyle w:val="19"/>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4"/>
        <w:rPr>
          <w:rFonts w:hint="eastAsia"/>
        </w:rPr>
      </w:pPr>
      <w:r>
        <w:rPr>
          <w:rFonts w:hint="eastAsia"/>
          <w:b/>
          <w:bCs/>
        </w:rPr>
        <w:t>7.4.7 重要财务报表项目的说明</w:t>
      </w:r>
    </w:p>
    <w:p>
      <w:pPr>
        <w:pStyle w:val="14"/>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95,690.68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12,000,238.62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95,690.68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12,000,238.62</w:t>
            </w:r>
          </w:p>
        </w:tc>
      </w:tr>
    </w:tbl>
    <w:p>
      <w:pPr>
        <w:widowControl/>
        <w:jc w:val="left"/>
        <w:rPr>
          <w:rFonts w:hint="eastAsia" w:ascii="宋体" w:hAnsi="宋体" w:cs="宋体"/>
          <w:kern w:val="0"/>
          <w:sz w:val="24"/>
          <w:szCs w:val="24"/>
        </w:rPr>
      </w:pPr>
    </w:p>
    <w:p>
      <w:pPr>
        <w:pStyle w:val="14"/>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400,348,602.98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404,721,819.50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4,373,216.52</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9,881,710.00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9,999,000.00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117,290.00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410,230,312.98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414,720,819.50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4,490,506.52</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410,230,312.98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414,720,819.50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4,490,506.52</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20,072,949.32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19,993,000.00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-79,949.32</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55,182,543.43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55,219,500.00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36,956.57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75,255,492.75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75,212,500.00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-42,992.75</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75,255,492.75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75,212,500.00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-42,992.75</w:t>
            </w:r>
          </w:p>
        </w:tc>
      </w:tr>
    </w:tbl>
    <w:p>
      <w:pPr>
        <w:widowControl/>
        <w:jc w:val="left"/>
        <w:rPr>
          <w:rFonts w:hint="eastAsia" w:ascii="宋体" w:hAnsi="宋体" w:cs="宋体"/>
          <w:kern w:val="0"/>
          <w:sz w:val="24"/>
          <w:szCs w:val="24"/>
        </w:rPr>
      </w:pPr>
    </w:p>
    <w:p>
      <w:pPr>
        <w:pStyle w:val="14"/>
        <w:rPr>
          <w:rFonts w:hint="eastAsia"/>
        </w:rPr>
      </w:pPr>
      <w:r>
        <w:rPr>
          <w:rFonts w:hint="eastAsia"/>
          <w:b/>
          <w:bCs/>
        </w:rPr>
        <w:t>7.4.7.3 衍生金融资产/负债</w:t>
      </w:r>
    </w:p>
    <w:p>
      <w:pPr>
        <w:pStyle w:val="19"/>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14"/>
        <w:rPr>
          <w:rFonts w:hint="eastAsia"/>
        </w:rPr>
      </w:pPr>
      <w:r>
        <w:rPr>
          <w:rFonts w:hint="eastAsia"/>
          <w:b/>
          <w:bCs/>
        </w:rPr>
        <w:t>7.4.7.4 买入返售金融资产</w:t>
      </w:r>
    </w:p>
    <w:p>
      <w:pPr>
        <w:pStyle w:val="14"/>
        <w:rPr>
          <w:rFonts w:hint="eastAsia"/>
        </w:rPr>
      </w:pPr>
      <w:r>
        <w:rPr>
          <w:rFonts w:hint="eastAsia"/>
          <w:b/>
          <w:bCs/>
        </w:rPr>
        <w:t>7.4.7.4.1 各项买入返售金融资产期末余额</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3071"/>
        <w:gridCol w:w="4099"/>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9,999,135.00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10,999,135.00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4"/>
        <w:rPr>
          <w:rFonts w:hint="eastAsia"/>
        </w:rPr>
      </w:pPr>
      <w:r>
        <w:rPr>
          <w:rFonts w:hint="eastAsia"/>
          <w:b/>
          <w:bCs/>
        </w:rPr>
        <w:t>7.4.7.4.2 期末买断式逆回购交易中取得的债券</w:t>
      </w:r>
    </w:p>
    <w:p>
      <w:pPr>
        <w:pStyle w:val="19"/>
        <w:rPr>
          <w:rFonts w:hint="eastAsia"/>
        </w:rPr>
      </w:pPr>
      <w:r>
        <w:rPr>
          <w:rFonts w:hint="eastAsia"/>
        </w:rPr>
        <w:t>本基金本报告期末及上年度末未持有买断式逆回购交易中取得的债券。 </w:t>
      </w:r>
    </w:p>
    <w:p>
      <w:pPr>
        <w:widowControl/>
        <w:jc w:val="left"/>
        <w:rPr>
          <w:rFonts w:hint="eastAsia" w:ascii="宋体" w:hAnsi="宋体" w:cs="宋体"/>
          <w:kern w:val="0"/>
          <w:sz w:val="24"/>
          <w:szCs w:val="24"/>
        </w:rPr>
      </w:pPr>
    </w:p>
    <w:p>
      <w:pPr>
        <w:pStyle w:val="14"/>
        <w:rPr>
          <w:rFonts w:hint="eastAsia"/>
        </w:rPr>
      </w:pPr>
      <w:r>
        <w:rPr>
          <w:rFonts w:hint="eastAsia"/>
          <w:b/>
          <w:bCs/>
        </w:rPr>
        <w:t>7.4.7.5 应收利息</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3,031.63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5,223.02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6,342,948.35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1,991,966.56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24,239.32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6,348,203.68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2,019,283.71</w:t>
            </w:r>
          </w:p>
        </w:tc>
      </w:tr>
    </w:tbl>
    <w:p>
      <w:pPr>
        <w:widowControl/>
        <w:jc w:val="left"/>
        <w:rPr>
          <w:rFonts w:hint="eastAsia" w:ascii="宋体" w:hAnsi="宋体" w:cs="宋体"/>
          <w:kern w:val="0"/>
          <w:sz w:val="24"/>
          <w:szCs w:val="24"/>
        </w:rPr>
      </w:pPr>
    </w:p>
    <w:p>
      <w:pPr>
        <w:pStyle w:val="14"/>
        <w:rPr>
          <w:rFonts w:hint="eastAsia"/>
        </w:rPr>
      </w:pPr>
      <w:r>
        <w:rPr>
          <w:rFonts w:hint="eastAsia"/>
          <w:b/>
          <w:bCs/>
        </w:rPr>
        <w:t>7.4.7.6 其他资产</w:t>
      </w:r>
    </w:p>
    <w:p>
      <w:pPr>
        <w:pStyle w:val="19"/>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14"/>
        <w:rPr>
          <w:rFonts w:hint="eastAsia"/>
        </w:rPr>
      </w:pPr>
      <w:r>
        <w:rPr>
          <w:rFonts w:hint="eastAsia"/>
          <w:b/>
          <w:bCs/>
        </w:rPr>
        <w:t>7.4.7.7 应付交易费用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18,619.04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18,619.04</w:t>
            </w:r>
          </w:p>
        </w:tc>
      </w:tr>
    </w:tbl>
    <w:p>
      <w:pPr>
        <w:widowControl/>
        <w:jc w:val="left"/>
        <w:rPr>
          <w:rFonts w:hint="eastAsia" w:ascii="宋体" w:hAnsi="宋体" w:cs="宋体"/>
          <w:kern w:val="0"/>
          <w:sz w:val="24"/>
          <w:szCs w:val="24"/>
        </w:rPr>
      </w:pPr>
    </w:p>
    <w:p>
      <w:pPr>
        <w:pStyle w:val="14"/>
        <w:rPr>
          <w:rFonts w:hint="eastAsia"/>
        </w:rPr>
      </w:pPr>
      <w:r>
        <w:rPr>
          <w:rFonts w:hint="eastAsia"/>
          <w:b/>
          <w:bCs/>
        </w:rPr>
        <w:t>7.4.7.8 其他负债</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184,600.00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184,600.00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124,000.00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7.4.7.9 实收基金</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100,013,103.20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100,013,103.20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303,033,225.38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303,033,225.38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-100,499,642.33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-100,499,642.33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302,546,686.25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302,546,686.25</w:t>
            </w:r>
          </w:p>
        </w:tc>
      </w:tr>
    </w:tbl>
    <w:p>
      <w:pPr>
        <w:pStyle w:val="19"/>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4"/>
        <w:rPr>
          <w:rFonts w:hint="eastAsia"/>
        </w:rPr>
      </w:pPr>
      <w:r>
        <w:rPr>
          <w:rFonts w:hint="eastAsia"/>
          <w:b/>
          <w:bCs/>
        </w:rPr>
        <w:t>7.4.7.10 未分配利润</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134,653.83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-39,188.29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95,465.54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11,707,163.47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4,533,499.27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16,240,662.74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-2,677,450.48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-104,403.33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-2,781,853.81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-2,438,723.17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-101,460.47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-2,540,183.64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-238,727.31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-2,942.86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-241,670.17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9,164,366.82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4,389,907.65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13,554,274.47</w:t>
            </w:r>
          </w:p>
        </w:tc>
      </w:tr>
    </w:tbl>
    <w:p>
      <w:pPr>
        <w:widowControl/>
        <w:jc w:val="left"/>
        <w:rPr>
          <w:rFonts w:hint="eastAsia" w:ascii="宋体" w:hAnsi="宋体" w:cs="宋体"/>
          <w:kern w:val="0"/>
          <w:sz w:val="24"/>
          <w:szCs w:val="24"/>
        </w:rPr>
      </w:pPr>
    </w:p>
    <w:p>
      <w:pPr>
        <w:pStyle w:val="14"/>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上年度可比期间2017年06月16日（基金合同生效日）至2017年12月31日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15,776.45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49,177.68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3,333.33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1,089,652.78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80,737.76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258.53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100,289.16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1,139,090.32</w:t>
            </w:r>
          </w:p>
        </w:tc>
      </w:tr>
    </w:tbl>
    <w:p>
      <w:pPr>
        <w:widowControl/>
        <w:jc w:val="left"/>
        <w:rPr>
          <w:rFonts w:hint="eastAsia" w:ascii="宋体" w:hAnsi="宋体" w:cs="宋体"/>
          <w:kern w:val="0"/>
          <w:sz w:val="24"/>
          <w:szCs w:val="24"/>
        </w:rPr>
      </w:pPr>
    </w:p>
    <w:p>
      <w:pPr>
        <w:pStyle w:val="14"/>
        <w:rPr>
          <w:rFonts w:hint="eastAsia"/>
        </w:rPr>
      </w:pPr>
      <w:r>
        <w:rPr>
          <w:rFonts w:hint="eastAsia"/>
          <w:b/>
          <w:bCs/>
        </w:rPr>
        <w:t>7.4.7.12 股票投资收益</w:t>
      </w:r>
    </w:p>
    <w:p>
      <w:pPr>
        <w:pStyle w:val="19"/>
        <w:rPr>
          <w:rFonts w:hint="eastAsia"/>
        </w:rPr>
      </w:pPr>
      <w:r>
        <w:rPr>
          <w:rFonts w:hint="eastAsia"/>
        </w:rPr>
        <w:t>本基金本报告期及上年度可比期间无股票投资收益。</w:t>
      </w:r>
    </w:p>
    <w:p>
      <w:pPr>
        <w:widowControl/>
        <w:jc w:val="left"/>
        <w:rPr>
          <w:rFonts w:hint="eastAsia" w:ascii="宋体" w:hAnsi="宋体" w:cs="宋体"/>
          <w:kern w:val="0"/>
          <w:sz w:val="24"/>
          <w:szCs w:val="24"/>
        </w:rPr>
      </w:pPr>
    </w:p>
    <w:p>
      <w:pPr>
        <w:pStyle w:val="14"/>
        <w:rPr>
          <w:rFonts w:hint="eastAsia"/>
        </w:rPr>
      </w:pPr>
      <w:r>
        <w:rPr>
          <w:rFonts w:hint="eastAsia"/>
          <w:b/>
          <w:bCs/>
        </w:rPr>
        <w:t>7.4.7.13 债券投资收益</w:t>
      </w:r>
    </w:p>
    <w:p>
      <w:pPr>
        <w:pStyle w:val="14"/>
        <w:rPr>
          <w:rFonts w:hint="eastAsia"/>
        </w:rPr>
      </w:pPr>
      <w:r>
        <w:rPr>
          <w:rFonts w:hint="eastAsia"/>
          <w:b/>
          <w:bCs/>
        </w:rPr>
        <w:t>7.4.7.13.1 债券投资收益项目构成</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2017年06月16日（基金合同生效日）至2017年12月31日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2,641,469.21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-457,821.38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2,641,469.21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-457,821.38</w:t>
            </w:r>
          </w:p>
        </w:tc>
      </w:tr>
    </w:tbl>
    <w:p>
      <w:pPr>
        <w:widowControl/>
        <w:jc w:val="left"/>
        <w:rPr>
          <w:rFonts w:hint="eastAsia" w:ascii="宋体" w:hAnsi="宋体" w:cs="宋体"/>
          <w:kern w:val="0"/>
          <w:sz w:val="24"/>
          <w:szCs w:val="24"/>
        </w:rPr>
      </w:pPr>
    </w:p>
    <w:p>
      <w:pPr>
        <w:pStyle w:val="14"/>
        <w:rPr>
          <w:rFonts w:hint="eastAsia"/>
        </w:rPr>
      </w:pPr>
      <w:r>
        <w:rPr>
          <w:rFonts w:hint="eastAsia"/>
          <w:b/>
          <w:bCs/>
        </w:rPr>
        <w:t>7.4.7.13.2 债券投资收益——买卖债券差价收入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2650"/>
        <w:gridCol w:w="4134"/>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2017年06月16日（基金合同生效日）至2017年12月31日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554,387,868.72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1,020,917,437.44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541,257,764.18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1,006,193,194.94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10,488,635.33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15,182,063.88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2,641,469.21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-457,821.38</w:t>
            </w:r>
          </w:p>
        </w:tc>
      </w:tr>
    </w:tbl>
    <w:p>
      <w:pPr>
        <w:widowControl/>
        <w:jc w:val="left"/>
        <w:rPr>
          <w:rFonts w:hint="eastAsia" w:ascii="宋体" w:hAnsi="宋体" w:cs="宋体"/>
          <w:kern w:val="0"/>
          <w:sz w:val="24"/>
          <w:szCs w:val="24"/>
        </w:rPr>
      </w:pPr>
    </w:p>
    <w:p>
      <w:pPr>
        <w:pStyle w:val="14"/>
        <w:rPr>
          <w:rFonts w:hint="eastAsia"/>
        </w:rPr>
      </w:pPr>
      <w:r>
        <w:rPr>
          <w:rFonts w:hint="eastAsia"/>
          <w:b/>
          <w:bCs/>
        </w:rPr>
        <w:t>7.4.7.14 衍生工具收益</w:t>
      </w:r>
    </w:p>
    <w:p>
      <w:pPr>
        <w:pStyle w:val="19"/>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14"/>
        <w:rPr>
          <w:rFonts w:hint="eastAsia"/>
        </w:rPr>
      </w:pPr>
      <w:r>
        <w:rPr>
          <w:rFonts w:hint="eastAsia"/>
          <w:b/>
          <w:bCs/>
        </w:rPr>
        <w:t>7.4.7.15 股利收益</w:t>
      </w:r>
    </w:p>
    <w:p>
      <w:pPr>
        <w:pStyle w:val="19"/>
        <w:rPr>
          <w:rFonts w:hint="eastAsia"/>
        </w:rPr>
      </w:pPr>
      <w:r>
        <w:rPr>
          <w:rFonts w:hint="eastAsia"/>
        </w:rPr>
        <w:t>本基金本报告期及上年度可比期间无股利收益。</w:t>
      </w:r>
    </w:p>
    <w:p>
      <w:pPr>
        <w:widowControl/>
        <w:jc w:val="left"/>
        <w:rPr>
          <w:rFonts w:hint="eastAsia" w:ascii="宋体" w:hAnsi="宋体" w:cs="宋体"/>
          <w:kern w:val="0"/>
          <w:sz w:val="24"/>
          <w:szCs w:val="24"/>
        </w:rPr>
      </w:pPr>
    </w:p>
    <w:p>
      <w:pPr>
        <w:pStyle w:val="14"/>
        <w:rPr>
          <w:rFonts w:hint="eastAsia"/>
        </w:rPr>
      </w:pPr>
      <w:r>
        <w:rPr>
          <w:rFonts w:hint="eastAsia"/>
          <w:b/>
          <w:bCs/>
        </w:rPr>
        <w:t>7.4.7.16 公允价值变动收益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2474"/>
        <w:gridCol w:w="3858"/>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2017年06月16日（基金合同生效日）至2017年12月31日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4,533,499.27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-42,992.75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4,533,499.27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-42,992.75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4,533,499.27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-42,992.75</w:t>
            </w:r>
          </w:p>
        </w:tc>
      </w:tr>
    </w:tbl>
    <w:p>
      <w:pPr>
        <w:widowControl/>
        <w:jc w:val="left"/>
        <w:rPr>
          <w:rFonts w:hint="eastAsia" w:ascii="宋体" w:hAnsi="宋体" w:cs="宋体"/>
          <w:kern w:val="0"/>
          <w:sz w:val="24"/>
          <w:szCs w:val="24"/>
        </w:rPr>
      </w:pPr>
    </w:p>
    <w:p>
      <w:pPr>
        <w:pStyle w:val="14"/>
        <w:rPr>
          <w:rFonts w:hint="eastAsia"/>
        </w:rPr>
      </w:pPr>
      <w:r>
        <w:rPr>
          <w:rFonts w:hint="eastAsia"/>
          <w:b/>
          <w:bCs/>
        </w:rPr>
        <w:t>7.4.7.17 其他收入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2017年06月16日（基金合同生效日）至2017年12月31日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0.51</w:t>
            </w:r>
          </w:p>
        </w:tc>
      </w:tr>
    </w:tbl>
    <w:p>
      <w:pPr>
        <w:widowControl/>
        <w:jc w:val="left"/>
        <w:rPr>
          <w:rFonts w:hint="eastAsia" w:ascii="宋体" w:hAnsi="宋体" w:cs="宋体"/>
          <w:kern w:val="0"/>
          <w:sz w:val="24"/>
          <w:szCs w:val="24"/>
        </w:rPr>
      </w:pPr>
    </w:p>
    <w:p>
      <w:pPr>
        <w:pStyle w:val="14"/>
        <w:rPr>
          <w:rFonts w:hint="eastAsia"/>
        </w:rPr>
      </w:pPr>
      <w:r>
        <w:rPr>
          <w:rFonts w:hint="eastAsia"/>
          <w:b/>
          <w:bCs/>
        </w:rPr>
        <w:t>7.4.7.18 交易费用</w:t>
      </w:r>
    </w:p>
    <w:p>
      <w:pPr>
        <w:pStyle w:val="18"/>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2017年06月16日（基金合同生效日）至2017年12月31日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4,866.95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193.86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15,539.62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6,866.95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15,733.48</w:t>
            </w:r>
          </w:p>
        </w:tc>
      </w:tr>
    </w:tbl>
    <w:p>
      <w:pPr>
        <w:widowControl/>
        <w:jc w:val="left"/>
        <w:rPr>
          <w:rFonts w:hint="eastAsia" w:ascii="宋体" w:hAnsi="宋体" w:cs="宋体"/>
          <w:kern w:val="0"/>
          <w:sz w:val="24"/>
          <w:szCs w:val="24"/>
        </w:rPr>
      </w:pPr>
    </w:p>
    <w:p>
      <w:pPr>
        <w:pStyle w:val="14"/>
        <w:rPr>
          <w:rFonts w:hint="eastAsia"/>
        </w:rPr>
      </w:pPr>
      <w:r>
        <w:rPr>
          <w:rFonts w:hint="eastAsia"/>
          <w:b/>
          <w:bCs/>
        </w:rPr>
        <w:t>7.4.7.19 其他费用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2017年06月16日（基金合同生效日）至2017年12月31日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5,066.76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6,122.46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16,900.00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201,966.76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138,222.46</w:t>
            </w:r>
          </w:p>
        </w:tc>
      </w:tr>
    </w:tbl>
    <w:p>
      <w:pPr>
        <w:widowControl/>
        <w:jc w:val="left"/>
        <w:rPr>
          <w:rFonts w:hint="eastAsia" w:ascii="宋体" w:hAnsi="宋体" w:cs="宋体"/>
          <w:kern w:val="0"/>
          <w:sz w:val="24"/>
          <w:szCs w:val="24"/>
        </w:rPr>
      </w:pPr>
    </w:p>
    <w:p>
      <w:pPr>
        <w:pStyle w:val="14"/>
        <w:rPr>
          <w:rFonts w:hint="eastAsia"/>
        </w:rPr>
      </w:pPr>
      <w:r>
        <w:rPr>
          <w:rFonts w:hint="eastAsia"/>
          <w:b/>
          <w:bCs/>
        </w:rPr>
        <w:t>7.4.8 或有事项、资产负债表日后事项的说明</w:t>
      </w:r>
    </w:p>
    <w:p>
      <w:pPr>
        <w:pStyle w:val="14"/>
        <w:rPr>
          <w:rFonts w:hint="eastAsia"/>
        </w:rPr>
      </w:pPr>
      <w:r>
        <w:rPr>
          <w:rFonts w:hint="eastAsia"/>
          <w:b/>
          <w:bCs/>
        </w:rPr>
        <w:t>7.4.8.1 或有事项</w:t>
      </w:r>
    </w:p>
    <w:p>
      <w:pPr>
        <w:pStyle w:val="19"/>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4"/>
        <w:rPr>
          <w:rFonts w:hint="eastAsia"/>
        </w:rPr>
      </w:pPr>
      <w:r>
        <w:rPr>
          <w:rFonts w:hint="eastAsia"/>
          <w:b/>
          <w:bCs/>
        </w:rPr>
        <w:t>7.4.8.2 资产负债表日后事项</w:t>
      </w:r>
    </w:p>
    <w:p>
      <w:pPr>
        <w:pStyle w:val="19"/>
        <w:spacing w:before="0"/>
        <w:ind w:left="0" w:firstLine="480"/>
        <w:rPr>
          <w:rFonts w:hint="eastAsia"/>
        </w:rPr>
      </w:pPr>
      <w:r>
        <w:rPr>
          <w:rFonts w:hint="eastAsia"/>
        </w:rPr>
        <w:t>本基金于2019年3月18日宣告进行2019年度第1次分红，向截至2019年3月20日止登记在册的全体持有人按每10份基金份额派发红利0.2元。</w:t>
      </w:r>
    </w:p>
    <w:p>
      <w:pPr>
        <w:widowControl/>
        <w:jc w:val="left"/>
        <w:rPr>
          <w:rFonts w:hint="eastAsia" w:ascii="宋体" w:hAnsi="宋体" w:cs="宋体"/>
          <w:kern w:val="0"/>
          <w:sz w:val="24"/>
          <w:szCs w:val="24"/>
        </w:rPr>
      </w:pPr>
    </w:p>
    <w:p>
      <w:pPr>
        <w:pStyle w:val="14"/>
        <w:rPr>
          <w:b/>
          <w:bCs/>
        </w:rPr>
      </w:pPr>
      <w:r>
        <w:rPr>
          <w:rFonts w:hint="eastAsia"/>
          <w:b/>
          <w:bCs/>
        </w:rPr>
        <w:t>7.4.9 关联方关系</w:t>
      </w:r>
    </w:p>
    <w:p>
      <w:pPr>
        <w:pStyle w:val="14"/>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4"/>
        <w:ind w:firstLine="480" w:firstLineChars="200"/>
      </w:pPr>
      <w:r>
        <w:rPr>
          <w:rFonts w:hint="eastAsia"/>
        </w:rPr>
        <w:t>本报告期不存在重大关联方发生变化的情况。</w:t>
      </w:r>
    </w:p>
    <w:p>
      <w:pPr>
        <w:pStyle w:val="14"/>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bl>
    <w:p>
      <w:pPr>
        <w:pStyle w:val="19"/>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4"/>
        <w:rPr>
          <w:rFonts w:hint="eastAsia"/>
        </w:rPr>
      </w:pPr>
      <w:r>
        <w:rPr>
          <w:rFonts w:hint="eastAsia"/>
          <w:b/>
          <w:bCs/>
        </w:rPr>
        <w:t>7.4.10 本报告期及上年度可比期间的关联方交易</w:t>
      </w:r>
    </w:p>
    <w:p>
      <w:pPr>
        <w:pStyle w:val="14"/>
        <w:rPr>
          <w:rFonts w:hint="eastAsia"/>
        </w:rPr>
      </w:pPr>
      <w:r>
        <w:rPr>
          <w:rFonts w:hint="eastAsia"/>
          <w:b/>
          <w:bCs/>
        </w:rPr>
        <w:t>7.4.10.1 通过关联方交易单元进行的交易</w:t>
      </w:r>
    </w:p>
    <w:p>
      <w:pPr>
        <w:pStyle w:val="14"/>
        <w:rPr>
          <w:rFonts w:hint="eastAsia"/>
        </w:rPr>
      </w:pPr>
      <w:r>
        <w:rPr>
          <w:rFonts w:hint="eastAsia"/>
          <w:b/>
          <w:bCs/>
        </w:rPr>
        <w:t>7.4.10.1.1 股票交易</w:t>
      </w:r>
    </w:p>
    <w:p>
      <w:pPr>
        <w:pStyle w:val="19"/>
        <w:rPr>
          <w:rFonts w:hint="eastAsia"/>
        </w:rPr>
      </w:pPr>
      <w:r>
        <w:rPr>
          <w:rFonts w:hint="eastAsia"/>
        </w:rPr>
        <w:t>本基金于本报告期及上年度可比期间均未通过关联方交易单元进行股票交易。 </w:t>
      </w:r>
    </w:p>
    <w:p>
      <w:pPr>
        <w:widowControl/>
        <w:jc w:val="left"/>
        <w:rPr>
          <w:rFonts w:hint="eastAsia" w:ascii="宋体" w:hAnsi="宋体" w:cs="宋体"/>
          <w:kern w:val="0"/>
          <w:sz w:val="24"/>
          <w:szCs w:val="24"/>
        </w:rPr>
      </w:pPr>
    </w:p>
    <w:p>
      <w:pPr>
        <w:pStyle w:val="14"/>
        <w:rPr>
          <w:rFonts w:hint="eastAsia"/>
        </w:rPr>
      </w:pPr>
      <w:r>
        <w:rPr>
          <w:rFonts w:hint="eastAsia"/>
          <w:b/>
          <w:bCs/>
        </w:rPr>
        <w:t>7.4.10.1.2 权证交易</w:t>
      </w:r>
    </w:p>
    <w:p>
      <w:pPr>
        <w:pStyle w:val="19"/>
        <w:rPr>
          <w:rFonts w:hint="eastAsia"/>
        </w:rPr>
      </w:pPr>
      <w:r>
        <w:rPr>
          <w:rFonts w:hint="eastAsia"/>
        </w:rPr>
        <w:t>本基金于本报告期及上年度可比期间均未通过关联方交易单元进行权证交易。 </w:t>
      </w:r>
    </w:p>
    <w:p>
      <w:pPr>
        <w:widowControl/>
        <w:jc w:val="left"/>
        <w:rPr>
          <w:rFonts w:hint="eastAsia" w:ascii="宋体" w:hAnsi="宋体" w:cs="宋体"/>
          <w:kern w:val="0"/>
          <w:sz w:val="24"/>
          <w:szCs w:val="24"/>
        </w:rPr>
      </w:pPr>
    </w:p>
    <w:p>
      <w:pPr>
        <w:pStyle w:val="14"/>
        <w:rPr>
          <w:rFonts w:hint="eastAsia"/>
        </w:rPr>
      </w:pPr>
      <w:r>
        <w:rPr>
          <w:rFonts w:hint="eastAsia"/>
          <w:b/>
          <w:bCs/>
        </w:rPr>
        <w:t>7.4.10.1.3 债券交易</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r>
              <w:rPr>
                <w:rFonts w:hint="eastAsia"/>
              </w:rPr>
              <w:br w:type="textWrapping"/>
            </w:r>
            <w:r>
              <w:rPr>
                <w:rFonts w:hint="eastAsia"/>
              </w:rPr>
              <w:t>2017年06月16日（基金合同生效日）至2017年12月31日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占当期债券买卖成交总额的比例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1,158,171,805.46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39,659,476.71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7.4.10.1.4 债券回购交易</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r>
              <w:rPr>
                <w:rFonts w:hint="eastAsia"/>
              </w:rPr>
              <w:br w:type="textWrapping"/>
            </w:r>
            <w:r>
              <w:rPr>
                <w:rFonts w:hint="eastAsia"/>
              </w:rPr>
              <w:t>2017年06月16日（基金合同生效日）至2017年12月31日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12,822,080,000.00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7.4.10.1.5 应支付关联方的佣金</w:t>
      </w:r>
    </w:p>
    <w:p>
      <w:pPr>
        <w:pStyle w:val="19"/>
        <w:rPr>
          <w:rFonts w:hint="eastAsia"/>
        </w:rPr>
      </w:pPr>
      <w:r>
        <w:rPr>
          <w:rFonts w:hint="eastAsia"/>
        </w:rPr>
        <w:t>本基金于本报告期末及上年度末均无应支付关联方的佣金。</w:t>
      </w:r>
    </w:p>
    <w:p>
      <w:pPr>
        <w:widowControl/>
        <w:jc w:val="left"/>
        <w:rPr>
          <w:rFonts w:hint="eastAsia" w:ascii="宋体" w:hAnsi="宋体" w:cs="宋体"/>
          <w:kern w:val="0"/>
          <w:sz w:val="24"/>
          <w:szCs w:val="24"/>
        </w:rPr>
      </w:pPr>
    </w:p>
    <w:p>
      <w:pPr>
        <w:pStyle w:val="14"/>
        <w:rPr>
          <w:rFonts w:hint="eastAsia"/>
        </w:rPr>
      </w:pPr>
      <w:r>
        <w:rPr>
          <w:rFonts w:hint="eastAsia"/>
          <w:b/>
          <w:bCs/>
        </w:rPr>
        <w:t>7.4.10.2 关联方报酬</w:t>
      </w:r>
    </w:p>
    <w:p>
      <w:pPr>
        <w:pStyle w:val="14"/>
        <w:rPr>
          <w:rFonts w:hint="eastAsia"/>
        </w:rPr>
      </w:pPr>
      <w:r>
        <w:rPr>
          <w:rFonts w:hint="eastAsia"/>
          <w:b/>
          <w:bCs/>
        </w:rPr>
        <w:t>7.4.10.2.1 基金管理费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2017年06月16日（基金合同生效日）至2017年12月31日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710,332.94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466,307.14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pStyle w:val="19"/>
        <w:rPr>
          <w:rFonts w:hint="eastAsia"/>
        </w:rPr>
      </w:pPr>
      <w:r>
        <w:rPr>
          <w:rFonts w:hint="eastAsia"/>
        </w:rPr>
        <w:t>注:本基金的管理费按前一日基金资产净值的0.30%年费率计提。管理费的计算方法如下：</w:t>
      </w:r>
      <w:r>
        <w:rPr>
          <w:rFonts w:hint="eastAsia"/>
        </w:rPr>
        <w:br w:type="textWrapping"/>
      </w:r>
      <w:r>
        <w:rPr>
          <w:rFonts w:hint="eastAsia"/>
        </w:rPr>
        <w:t>H＝E×0.30%÷当年天数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7.4.10.2.2 基金托管费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2017年06月16日（基金合同生效日）至2017年12月31日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236,777.51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155,435.68</w:t>
            </w:r>
          </w:p>
        </w:tc>
      </w:tr>
    </w:tbl>
    <w:p>
      <w:pPr>
        <w:pStyle w:val="19"/>
        <w:rPr>
          <w:rFonts w:hint="eastAsia"/>
        </w:rPr>
      </w:pPr>
      <w:r>
        <w:rPr>
          <w:rFonts w:hint="eastAsia"/>
        </w:rPr>
        <w:t>注：本基金的托管费按前一日基金资产净值的0.10%的年费率计提。托管费的计算方法如下：</w:t>
      </w:r>
      <w:r>
        <w:rPr>
          <w:rFonts w:hint="eastAsia"/>
        </w:rPr>
        <w:br w:type="textWrapping"/>
      </w:r>
      <w:r>
        <w:rPr>
          <w:rFonts w:hint="eastAsia"/>
        </w:rPr>
        <w:t>H＝E×0.10%÷当年天数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7.4.10.3 与关联方进行银行间同业市场的债券(含回购)交易</w:t>
      </w:r>
    </w:p>
    <w:p>
      <w:pPr>
        <w:pStyle w:val="19"/>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4"/>
        <w:rPr>
          <w:rFonts w:hint="eastAsia"/>
        </w:rPr>
      </w:pPr>
      <w:r>
        <w:rPr>
          <w:rFonts w:hint="eastAsia"/>
          <w:b/>
          <w:bCs/>
        </w:rPr>
        <w:t>7.4.10.4 各关联方投资本基金的情况</w:t>
      </w:r>
    </w:p>
    <w:p>
      <w:pPr>
        <w:pStyle w:val="14"/>
        <w:rPr>
          <w:rFonts w:hint="eastAsia"/>
        </w:rPr>
      </w:pPr>
      <w:r>
        <w:rPr>
          <w:rFonts w:hint="eastAsia"/>
          <w:b/>
          <w:bCs/>
        </w:rPr>
        <w:t>7.4.10.4.1 报告期内基金管理人运用固有资金投资本基金的情况</w:t>
      </w:r>
    </w:p>
    <w:p>
      <w:pPr>
        <w:pStyle w:val="18"/>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2017年06月16日（基金合同生效日）至2017年12月31日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基金合同生效日（2017年06月16日）持有的基金份额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494,893.49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494,893.49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r>
    </w:tbl>
    <w:p>
      <w:pPr>
        <w:widowControl/>
        <w:jc w:val="left"/>
        <w:rPr>
          <w:rFonts w:hint="eastAsia" w:ascii="宋体" w:hAnsi="宋体" w:cs="宋体"/>
          <w:kern w:val="0"/>
          <w:sz w:val="24"/>
          <w:szCs w:val="24"/>
        </w:rPr>
      </w:pPr>
    </w:p>
    <w:p>
      <w:pPr>
        <w:pStyle w:val="14"/>
        <w:rPr>
          <w:rFonts w:hint="eastAsia"/>
        </w:rPr>
      </w:pPr>
      <w:r>
        <w:rPr>
          <w:rFonts w:hint="eastAsia"/>
          <w:b/>
          <w:bCs/>
        </w:rPr>
        <w:t>7.4.10.4.2 报告期末除基金管理人之外的其他关联方投资本基金的情况</w:t>
      </w:r>
    </w:p>
    <w:p>
      <w:pPr>
        <w:pStyle w:val="19"/>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7.4.10.5 由关联方保管的银行存款余额及当期产生的利息收入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6"/>
        <w:gridCol w:w="1709"/>
        <w:gridCol w:w="2180"/>
        <w:gridCol w:w="2012"/>
        <w:gridCol w:w="1878"/>
      </w:tblGrid>
      <w:tr>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2017年06月16日（基金合同生效日）至2017年12月31日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95,690.68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15,776.45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12,000,238.62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49,177.68</w:t>
            </w:r>
          </w:p>
        </w:tc>
      </w:tr>
    </w:tbl>
    <w:p>
      <w:pPr>
        <w:pStyle w:val="19"/>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14"/>
        <w:rPr>
          <w:rFonts w:hint="eastAsia"/>
        </w:rPr>
      </w:pPr>
      <w:r>
        <w:rPr>
          <w:rFonts w:hint="eastAsia"/>
          <w:b/>
          <w:bCs/>
        </w:rPr>
        <w:t>7.4.10.6 本基金在承销期内参与关联方承销证券的情况</w:t>
      </w:r>
    </w:p>
    <w:p>
      <w:pPr>
        <w:pStyle w:val="19"/>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14"/>
        <w:rPr>
          <w:rFonts w:hint="eastAsia"/>
        </w:rPr>
      </w:pPr>
      <w:r>
        <w:rPr>
          <w:rFonts w:hint="eastAsia"/>
          <w:b/>
          <w:bCs/>
        </w:rPr>
        <w:t>7.4.10.7 其他关联交易事项的说明</w:t>
      </w:r>
    </w:p>
    <w:p>
      <w:pPr>
        <w:pStyle w:val="19"/>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14"/>
        <w:rPr>
          <w:rFonts w:hint="eastAsia"/>
        </w:rPr>
      </w:pPr>
      <w:r>
        <w:rPr>
          <w:rFonts w:hint="eastAsia"/>
          <w:b/>
          <w:bCs/>
        </w:rPr>
        <w:t>7.4.11 利润分配情况--非货币市场基金</w:t>
      </w:r>
    </w:p>
    <w:p>
      <w:pPr>
        <w:pStyle w:val="19"/>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4"/>
        <w:rPr>
          <w:rFonts w:hint="eastAsia"/>
        </w:rPr>
      </w:pPr>
      <w:r>
        <w:rPr>
          <w:rFonts w:hint="eastAsia"/>
          <w:b/>
          <w:bCs/>
        </w:rPr>
        <w:t>7.4.12 期末（2018年12月31日）本基金持有的流通受限证券</w:t>
      </w:r>
    </w:p>
    <w:p>
      <w:pPr>
        <w:pStyle w:val="14"/>
        <w:rPr>
          <w:rFonts w:hint="eastAsia"/>
        </w:rPr>
      </w:pPr>
      <w:r>
        <w:rPr>
          <w:rFonts w:hint="eastAsia"/>
          <w:b/>
          <w:bCs/>
        </w:rPr>
        <w:t>7.4.12.1 因认购新发/增发证券而于期末持有的流通受限证券</w:t>
      </w:r>
    </w:p>
    <w:p>
      <w:pPr>
        <w:pStyle w:val="19"/>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4"/>
        <w:rPr>
          <w:rFonts w:hint="eastAsia"/>
        </w:rPr>
      </w:pPr>
      <w:r>
        <w:rPr>
          <w:rFonts w:hint="eastAsia"/>
          <w:b/>
          <w:bCs/>
        </w:rPr>
        <w:t>7.4.12.2 期末持有的暂时停牌等流通受限股票</w:t>
      </w:r>
    </w:p>
    <w:p>
      <w:pPr>
        <w:pStyle w:val="19"/>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4"/>
        <w:rPr>
          <w:rFonts w:hint="eastAsia"/>
        </w:rPr>
      </w:pPr>
      <w:r>
        <w:rPr>
          <w:rFonts w:hint="eastAsia"/>
          <w:b/>
          <w:bCs/>
        </w:rPr>
        <w:t>7.4.12.3 期末债券正回购交易中作为抵押的债券</w:t>
      </w:r>
    </w:p>
    <w:p>
      <w:pPr>
        <w:pStyle w:val="14"/>
        <w:rPr>
          <w:rFonts w:hint="eastAsia"/>
        </w:rPr>
      </w:pPr>
      <w:r>
        <w:rPr>
          <w:rFonts w:hint="eastAsia"/>
          <w:b/>
          <w:bCs/>
        </w:rPr>
        <w:t>7.4.12.3.1 银行间市场债券正回购</w:t>
      </w:r>
    </w:p>
    <w:p>
      <w:pPr>
        <w:pStyle w:val="19"/>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4"/>
        <w:rPr>
          <w:rFonts w:hint="eastAsia"/>
        </w:rPr>
      </w:pPr>
      <w:r>
        <w:rPr>
          <w:rFonts w:hint="eastAsia"/>
          <w:b/>
          <w:bCs/>
        </w:rPr>
        <w:t>7.4.12.3.2 交易所市场债券正回购</w:t>
      </w:r>
    </w:p>
    <w:p>
      <w:pPr>
        <w:pStyle w:val="19"/>
        <w:spacing w:before="0"/>
        <w:ind w:left="0" w:firstLine="480"/>
        <w:rPr>
          <w:rFonts w:hint="eastAsia"/>
        </w:rPr>
      </w:pPr>
      <w:r>
        <w:rPr>
          <w:rFonts w:hint="eastAsia"/>
        </w:rPr>
        <w:t>截至本报告期末2018年12月31日止，基金从事证券交易所债券正回购交易形成的卖出回购证券款余额115,370,000.00元，于2019年1月2日到期。该类交易要求本基金在回购期内持有的证券交易所交易的债券和/或在新质押式回购下转入质押库的债券，按证券交易所规定的比例折算为标准券后，不低于债券回购交易的余额。</w:t>
      </w:r>
    </w:p>
    <w:p>
      <w:pPr>
        <w:widowControl/>
        <w:jc w:val="left"/>
        <w:rPr>
          <w:rFonts w:hint="eastAsia" w:ascii="宋体" w:hAnsi="宋体" w:cs="宋体"/>
          <w:kern w:val="0"/>
          <w:sz w:val="24"/>
          <w:szCs w:val="24"/>
        </w:rPr>
      </w:pPr>
    </w:p>
    <w:p>
      <w:pPr>
        <w:pStyle w:val="14"/>
        <w:rPr>
          <w:rFonts w:hint="eastAsia"/>
        </w:rPr>
      </w:pPr>
      <w:r>
        <w:rPr>
          <w:rFonts w:hint="eastAsia"/>
          <w:b/>
          <w:bCs/>
        </w:rPr>
        <w:t>7.4.13 金融工具风险及管理</w:t>
      </w:r>
    </w:p>
    <w:p>
      <w:pPr>
        <w:pStyle w:val="14"/>
        <w:rPr>
          <w:rFonts w:hint="eastAsia"/>
        </w:rPr>
      </w:pPr>
      <w:r>
        <w:rPr>
          <w:rFonts w:hint="eastAsia"/>
          <w:b/>
          <w:bCs/>
        </w:rPr>
        <w:t>7.4.13.1 风险管理政策和组织架构</w:t>
      </w:r>
    </w:p>
    <w:p>
      <w:pPr>
        <w:pStyle w:val="19"/>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19"/>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4"/>
        <w:rPr>
          <w:rFonts w:hint="eastAsia"/>
        </w:rPr>
      </w:pPr>
      <w:r>
        <w:rPr>
          <w:rFonts w:hint="eastAsia"/>
          <w:b/>
          <w:bCs/>
        </w:rPr>
        <w:t>7.4.13.2 信用风险</w:t>
      </w:r>
    </w:p>
    <w:p>
      <w:pPr>
        <w:pStyle w:val="19"/>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19"/>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19"/>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19"/>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4"/>
        <w:rPr>
          <w:rFonts w:hint="eastAsia"/>
        </w:rPr>
      </w:pPr>
      <w:r>
        <w:rPr>
          <w:rFonts w:hint="eastAsia"/>
          <w:b/>
          <w:bCs/>
        </w:rPr>
        <w:t>7.4.13.2.1 按短期信用评级列示的债券投资</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10,073,000.00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30,148,000.00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40,221,000.00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7.4.13.2.2 按长期信用评级列示的债券投资</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397,691,019.50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19,993,000.00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17,029,800.00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14,998,500.00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414,720,819.50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34,991,500.00</w:t>
            </w:r>
          </w:p>
        </w:tc>
      </w:tr>
    </w:tbl>
    <w:p>
      <w:pPr>
        <w:widowControl/>
        <w:jc w:val="left"/>
        <w:rPr>
          <w:rFonts w:hint="eastAsia" w:ascii="宋体" w:hAnsi="宋体" w:cs="宋体"/>
          <w:kern w:val="0"/>
          <w:sz w:val="24"/>
          <w:szCs w:val="24"/>
        </w:rPr>
      </w:pPr>
    </w:p>
    <w:p>
      <w:pPr>
        <w:pStyle w:val="14"/>
        <w:rPr>
          <w:rFonts w:hint="eastAsia"/>
        </w:rPr>
      </w:pPr>
      <w:r>
        <w:rPr>
          <w:rFonts w:hint="eastAsia"/>
          <w:b/>
          <w:bCs/>
        </w:rPr>
        <w:t>7.4.13.3 流动性风险</w:t>
      </w:r>
    </w:p>
    <w:p>
      <w:pPr>
        <w:pStyle w:val="19"/>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19"/>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19"/>
        <w:spacing w:before="0"/>
        <w:ind w:left="0" w:firstLine="480"/>
        <w:rPr>
          <w:rFonts w:hint="eastAsia"/>
        </w:rPr>
      </w:pPr>
      <w:r>
        <w:rPr>
          <w:rFonts w:hint="eastAsia"/>
        </w:rPr>
        <w:t>于2018年12月31日，除卖出回购金融资产款余额中有115,370,000.00元将在一个月以内到期且计息(该利息金额不重大)外，本基金所承担的其他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4"/>
        <w:rPr>
          <w:rFonts w:hint="eastAsia"/>
        </w:rPr>
      </w:pPr>
      <w:r>
        <w:rPr>
          <w:rFonts w:hint="eastAsia"/>
          <w:b/>
          <w:bCs/>
        </w:rPr>
        <w:t>7.4.13.3.1 报告期内本基金组合资产的流动性风险分析</w:t>
      </w:r>
    </w:p>
    <w:p>
      <w:pPr>
        <w:pStyle w:val="19"/>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19"/>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19"/>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0.00%。</w:t>
      </w:r>
    </w:p>
    <w:p>
      <w:pPr>
        <w:pStyle w:val="19"/>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421,239,498.21元，超过经确认的当日净赎回金额。</w:t>
      </w:r>
    </w:p>
    <w:p>
      <w:pPr>
        <w:pStyle w:val="19"/>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19"/>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4"/>
        <w:rPr>
          <w:rFonts w:hint="eastAsia"/>
        </w:rPr>
      </w:pPr>
      <w:r>
        <w:rPr>
          <w:rFonts w:hint="eastAsia"/>
          <w:b/>
          <w:bCs/>
        </w:rPr>
        <w:t>7.4.13.4 市场风险</w:t>
      </w:r>
    </w:p>
    <w:p>
      <w:pPr>
        <w:pStyle w:val="19"/>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4"/>
        <w:rPr>
          <w:rFonts w:hint="eastAsia"/>
        </w:rPr>
      </w:pPr>
      <w:r>
        <w:rPr>
          <w:rFonts w:hint="eastAsia"/>
          <w:b/>
          <w:bCs/>
        </w:rPr>
        <w:t>7.4.13.4.1 利率风险</w:t>
      </w:r>
    </w:p>
    <w:p>
      <w:pPr>
        <w:pStyle w:val="19"/>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19"/>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19"/>
        <w:spacing w:before="0"/>
        <w:ind w:left="0" w:firstLine="480"/>
        <w:rPr>
          <w:rFonts w:hint="eastAsia"/>
        </w:rPr>
      </w:pPr>
      <w:r>
        <w:rPr>
          <w:rFonts w:hint="eastAsia"/>
        </w:rPr>
        <w:t>本基金主要投资于交易所及银行间市场交易的固定收益品种，因此存在相应的利率风险。</w:t>
      </w:r>
    </w:p>
    <w:p>
      <w:pPr>
        <w:pStyle w:val="14"/>
        <w:rPr>
          <w:rFonts w:hint="eastAsia"/>
        </w:rPr>
      </w:pPr>
      <w:r>
        <w:rPr>
          <w:rFonts w:hint="eastAsia"/>
          <w:b/>
          <w:bCs/>
        </w:rPr>
        <w:t>7.4.13.4.1.1 利率风险敞口</w:t>
      </w:r>
    </w:p>
    <w:p>
      <w:pPr>
        <w:pStyle w:val="18"/>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21"/>
        <w:gridCol w:w="2003"/>
        <w:gridCol w:w="2002"/>
        <w:gridCol w:w="1417"/>
        <w:gridCol w:w="1755"/>
        <w:gridCol w:w="2002"/>
      </w:tblGrid>
      <w:tr>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95,690.68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95,690.68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10,551,460.54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10,551,460.54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32,174.10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32,174.10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76,941,600.00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337,779,219.50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414,720,819.50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80,039.68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80,039.68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6,348,203.68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6,348,203.68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87,620,925.32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337,779,219.50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6,428,243.36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431,828,388.18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sz w:val="21"/>
                <w:szCs w:val="21"/>
              </w:rPr>
            </w:pPr>
            <w:r>
              <w:rPr>
                <w:rFonts w:hint="eastAsia"/>
                <w:sz w:val="21"/>
                <w:szCs w:val="21"/>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115,370,000.00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115,370,000.00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82,397.14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82,397.14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80,477.11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80,477.11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26,825.70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26,825.70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应交税费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1,418.66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1,418.66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-18,291.15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-18,291.15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184,600.00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184,600.00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115,370,000.00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357,427.46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115,727,427.46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-27,749,074.68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337,779,219.50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6,070,815.90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316,100,960.72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12,000,238.62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12,000,238.62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92,176.12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92,176.12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1,026.26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1,026.26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75,212,500.00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75,212,500.00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10,999,135.00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10,999,135.00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2,019,283.71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2,019,283.71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98,305,076.00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2,019,283.71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100,324,359.71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54,878.96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54,878.96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18,292.97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18,292.97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18,619.04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18,619.04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124,000.00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124,000.00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215,790.97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215,790.97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98,305,076.00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1,803,492.74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100,108,568.74</w:t>
            </w:r>
          </w:p>
        </w:tc>
      </w:tr>
    </w:tbl>
    <w:p>
      <w:pPr>
        <w:pStyle w:val="19"/>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4"/>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1"/>
        <w:gridCol w:w="2889"/>
        <w:gridCol w:w="2575"/>
        <w:gridCol w:w="2575"/>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-1,778,574.04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-43,984.87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1,792,090.63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44,136.35</w:t>
            </w:r>
          </w:p>
        </w:tc>
      </w:tr>
    </w:tbl>
    <w:p>
      <w:pPr>
        <w:widowControl/>
        <w:jc w:val="left"/>
        <w:rPr>
          <w:rFonts w:hint="eastAsia" w:ascii="宋体" w:hAnsi="宋体" w:cs="宋体"/>
          <w:kern w:val="0"/>
          <w:sz w:val="24"/>
          <w:szCs w:val="24"/>
        </w:rPr>
      </w:pPr>
    </w:p>
    <w:p>
      <w:pPr>
        <w:pStyle w:val="14"/>
        <w:rPr>
          <w:rFonts w:hint="eastAsia"/>
        </w:rPr>
      </w:pPr>
      <w:r>
        <w:rPr>
          <w:rFonts w:hint="eastAsia"/>
          <w:b/>
          <w:bCs/>
        </w:rPr>
        <w:t>7.4.13.4.2 外汇风险</w:t>
      </w:r>
    </w:p>
    <w:p>
      <w:pPr>
        <w:pStyle w:val="19"/>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4"/>
        <w:rPr>
          <w:rFonts w:hint="eastAsia"/>
        </w:rPr>
      </w:pPr>
      <w:r>
        <w:rPr>
          <w:rFonts w:hint="eastAsia"/>
          <w:b/>
          <w:bCs/>
        </w:rPr>
        <w:t>7.4.13.4.3 其他价格风险</w:t>
      </w:r>
    </w:p>
    <w:p>
      <w:pPr>
        <w:pStyle w:val="19"/>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债券，因此无重大其他价格风险。</w:t>
      </w:r>
    </w:p>
    <w:p>
      <w:pPr>
        <w:pStyle w:val="14"/>
        <w:rPr>
          <w:rFonts w:hint="eastAsia"/>
        </w:rPr>
      </w:pPr>
      <w:r>
        <w:rPr>
          <w:rFonts w:hint="eastAsia"/>
          <w:b/>
          <w:bCs/>
        </w:rPr>
        <w:t>7.4.13.4.3.1 其他价格风险敞口</w:t>
      </w:r>
    </w:p>
    <w:p>
      <w:pPr>
        <w:pStyle w:val="19"/>
        <w:rPr>
          <w:rFonts w:hint="eastAsia"/>
        </w:rPr>
      </w:pPr>
      <w:r>
        <w:rPr>
          <w:rFonts w:hint="eastAsia"/>
        </w:rPr>
        <w:t>本基金本报告期末未持有交易性权益类投资,因此除市场利率和外汇汇率以外的市场价格因素的变动对于本基金资产净值无重大影响。</w:t>
      </w:r>
    </w:p>
    <w:p>
      <w:pPr>
        <w:widowControl/>
        <w:jc w:val="left"/>
        <w:rPr>
          <w:rFonts w:hint="eastAsia" w:ascii="宋体" w:hAnsi="宋体" w:cs="宋体"/>
          <w:kern w:val="0"/>
          <w:sz w:val="24"/>
          <w:szCs w:val="24"/>
        </w:rPr>
      </w:pPr>
    </w:p>
    <w:p>
      <w:pPr>
        <w:pStyle w:val="14"/>
        <w:rPr>
          <w:rFonts w:hint="eastAsia"/>
        </w:rPr>
      </w:pPr>
      <w:r>
        <w:rPr>
          <w:rFonts w:hint="eastAsia"/>
          <w:b/>
          <w:bCs/>
        </w:rPr>
        <w:t>7.4.14 有助于理解和分析会计报表需要说明的其他事项</w:t>
      </w:r>
    </w:p>
    <w:p>
      <w:pPr>
        <w:pStyle w:val="19"/>
        <w:spacing w:before="0"/>
        <w:ind w:left="0" w:firstLine="480"/>
        <w:rPr>
          <w:rFonts w:hint="eastAsia"/>
        </w:rPr>
      </w:pPr>
      <w:r>
        <w:rPr>
          <w:rFonts w:hint="eastAsia"/>
        </w:rPr>
        <w:t>(1)公允价值</w:t>
      </w:r>
    </w:p>
    <w:p>
      <w:pPr>
        <w:pStyle w:val="19"/>
        <w:spacing w:before="0"/>
        <w:ind w:left="0" w:firstLine="480"/>
        <w:rPr>
          <w:rFonts w:hint="eastAsia"/>
        </w:rPr>
      </w:pPr>
      <w:r>
        <w:rPr>
          <w:rFonts w:hint="eastAsia"/>
        </w:rPr>
        <w:t>(a) 金融工具公允价值计量的方法</w:t>
      </w:r>
    </w:p>
    <w:p>
      <w:pPr>
        <w:pStyle w:val="19"/>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19"/>
        <w:spacing w:before="0"/>
        <w:ind w:left="0" w:firstLine="480"/>
        <w:rPr>
          <w:rFonts w:hint="eastAsia"/>
        </w:rPr>
      </w:pPr>
      <w:r>
        <w:rPr>
          <w:rFonts w:hint="eastAsia"/>
        </w:rPr>
        <w:t>第一层次：相同资产或负债在活跃市场上未经调整的报价。</w:t>
      </w:r>
    </w:p>
    <w:p>
      <w:pPr>
        <w:pStyle w:val="19"/>
        <w:spacing w:before="0"/>
        <w:ind w:left="0" w:firstLine="480"/>
        <w:rPr>
          <w:rFonts w:hint="eastAsia"/>
        </w:rPr>
      </w:pPr>
      <w:r>
        <w:rPr>
          <w:rFonts w:hint="eastAsia"/>
        </w:rPr>
        <w:t>第二层次：除第一层次输入值外相关资产或负债直接或间接可观察的输入值。</w:t>
      </w:r>
    </w:p>
    <w:p>
      <w:pPr>
        <w:pStyle w:val="19"/>
        <w:spacing w:before="0"/>
        <w:ind w:left="0" w:firstLine="480"/>
        <w:rPr>
          <w:rFonts w:hint="eastAsia"/>
        </w:rPr>
      </w:pPr>
      <w:r>
        <w:rPr>
          <w:rFonts w:hint="eastAsia"/>
        </w:rPr>
        <w:t>第三层次：相关资产或负债的不可观察输入值。</w:t>
      </w:r>
    </w:p>
    <w:p>
      <w:pPr>
        <w:pStyle w:val="19"/>
        <w:spacing w:before="0"/>
        <w:ind w:left="0" w:firstLine="480"/>
        <w:rPr>
          <w:rFonts w:hint="eastAsia"/>
        </w:rPr>
      </w:pPr>
      <w:r>
        <w:rPr>
          <w:rFonts w:hint="eastAsia"/>
        </w:rPr>
        <w:t>(b) 持续的以公允价值计量的金融工具</w:t>
      </w:r>
    </w:p>
    <w:p>
      <w:pPr>
        <w:pStyle w:val="19"/>
        <w:spacing w:before="0"/>
        <w:ind w:left="0" w:firstLine="480"/>
        <w:rPr>
          <w:rFonts w:hint="eastAsia"/>
        </w:rPr>
      </w:pPr>
      <w:r>
        <w:rPr>
          <w:rFonts w:hint="eastAsia"/>
        </w:rPr>
        <w:t>(i) 各层次金融工具公允价值</w:t>
      </w:r>
    </w:p>
    <w:p>
      <w:pPr>
        <w:pStyle w:val="19"/>
        <w:spacing w:before="0"/>
        <w:ind w:left="0" w:firstLine="480"/>
        <w:rPr>
          <w:rFonts w:hint="eastAsia"/>
        </w:rPr>
      </w:pPr>
      <w:r>
        <w:rPr>
          <w:rFonts w:hint="eastAsia"/>
        </w:rPr>
        <w:t>于2018年12月31日，本基金持有的以公允价值计量且其变动计入当期损益的金融资产中属于第二层次的余额为414,720,819.50元，无属于第一或第三层次的余额(2017年12月31日：第二层次75,212,500.00元，无第一或第三层次)。</w:t>
      </w:r>
    </w:p>
    <w:p>
      <w:pPr>
        <w:pStyle w:val="19"/>
        <w:spacing w:before="0"/>
        <w:ind w:left="0" w:firstLine="480"/>
        <w:rPr>
          <w:rFonts w:hint="eastAsia"/>
        </w:rPr>
      </w:pPr>
      <w:r>
        <w:rPr>
          <w:rFonts w:hint="eastAsia"/>
        </w:rPr>
        <w:t>(ii) 公允价值所属层次间的重大变动</w:t>
      </w:r>
    </w:p>
    <w:p>
      <w:pPr>
        <w:pStyle w:val="19"/>
        <w:spacing w:before="0"/>
        <w:ind w:left="0" w:firstLine="480"/>
        <w:rPr>
          <w:rFonts w:hint="eastAsia"/>
        </w:rPr>
      </w:pPr>
      <w:r>
        <w:rPr>
          <w:rFonts w:hint="eastAsia"/>
        </w:rPr>
        <w:t>本基金本期及上年度可比期间持有的以公允价值计量的金融工具的公允价值所属层次未发生重大变动。</w:t>
      </w:r>
    </w:p>
    <w:p>
      <w:pPr>
        <w:pStyle w:val="19"/>
        <w:spacing w:before="0"/>
        <w:ind w:left="0" w:firstLine="480"/>
        <w:rPr>
          <w:rFonts w:hint="eastAsia"/>
        </w:rPr>
      </w:pPr>
      <w:r>
        <w:rPr>
          <w:rFonts w:hint="eastAsia"/>
        </w:rPr>
        <w:t>(iii) 第三层次公允价值余额和本期变动金额</w:t>
      </w:r>
    </w:p>
    <w:p>
      <w:pPr>
        <w:pStyle w:val="19"/>
        <w:spacing w:before="0"/>
        <w:ind w:left="0" w:firstLine="480"/>
        <w:rPr>
          <w:rFonts w:hint="eastAsia"/>
        </w:rPr>
      </w:pPr>
      <w:r>
        <w:rPr>
          <w:rFonts w:hint="eastAsia"/>
        </w:rPr>
        <w:t>无。</w:t>
      </w:r>
    </w:p>
    <w:p>
      <w:pPr>
        <w:pStyle w:val="19"/>
        <w:spacing w:before="0"/>
        <w:ind w:left="0" w:firstLine="480"/>
        <w:rPr>
          <w:rFonts w:hint="eastAsia"/>
        </w:rPr>
      </w:pPr>
      <w:r>
        <w:rPr>
          <w:rFonts w:hint="eastAsia"/>
        </w:rPr>
        <w:t>(c) 非持续的以公允价值计量的金融工具</w:t>
      </w:r>
    </w:p>
    <w:p>
      <w:pPr>
        <w:pStyle w:val="19"/>
        <w:spacing w:before="0"/>
        <w:ind w:left="0" w:firstLine="480"/>
        <w:rPr>
          <w:rFonts w:hint="eastAsia"/>
        </w:rPr>
      </w:pPr>
      <w:r>
        <w:rPr>
          <w:rFonts w:hint="eastAsia"/>
        </w:rPr>
        <w:t>于2018年12月31日，本基金未持有非持续的以公允价值计量的金融资产(2017年12月31日：同)。</w:t>
      </w:r>
    </w:p>
    <w:p>
      <w:pPr>
        <w:pStyle w:val="19"/>
        <w:spacing w:before="0"/>
        <w:ind w:left="0" w:firstLine="480"/>
        <w:rPr>
          <w:rFonts w:hint="eastAsia"/>
        </w:rPr>
      </w:pPr>
      <w:r>
        <w:rPr>
          <w:rFonts w:hint="eastAsia"/>
        </w:rPr>
        <w:t>(d) 不以公允价值计量的金融工具</w:t>
      </w:r>
    </w:p>
    <w:p>
      <w:pPr>
        <w:pStyle w:val="19"/>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19"/>
        <w:spacing w:before="0"/>
        <w:ind w:left="0" w:firstLine="480"/>
        <w:rPr>
          <w:rFonts w:hint="eastAsia"/>
        </w:rPr>
      </w:pPr>
      <w:r>
        <w:rPr>
          <w:rFonts w:hint="eastAsia"/>
        </w:rPr>
        <w:t>(2)其他</w:t>
      </w:r>
    </w:p>
    <w:p>
      <w:pPr>
        <w:pStyle w:val="19"/>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2"/>
        <w:rPr>
          <w:rFonts w:hint="eastAsia"/>
        </w:rPr>
      </w:pPr>
      <w:bookmarkStart w:id="35" w:name="_Toc4487353"/>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3"/>
        <w:rPr>
          <w:rFonts w:hint="eastAsia"/>
        </w:rPr>
      </w:pPr>
      <w:bookmarkStart w:id="36" w:name="_Toc4487354"/>
      <w:r>
        <w:rPr>
          <w:rFonts w:hint="eastAsia"/>
          <w:b/>
          <w:bCs/>
        </w:rPr>
        <w:t>8.1 期末基金资产组合情况</w:t>
      </w:r>
      <w:bookmarkEnd w:id="36"/>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414,720,819.50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96.04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414,720,819.50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96.04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10,647,151.22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6,460,417.46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431,828,388.18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3"/>
        <w:rPr>
          <w:rFonts w:hint="eastAsia"/>
        </w:rPr>
      </w:pPr>
      <w:bookmarkStart w:id="37" w:name="_Toc4487355"/>
      <w:r>
        <w:rPr>
          <w:rFonts w:hint="eastAsia"/>
          <w:b/>
          <w:bCs/>
        </w:rPr>
        <w:t>8.2 报告期末按行业分类的股票投资组合</w:t>
      </w:r>
      <w:bookmarkEnd w:id="37"/>
    </w:p>
    <w:p>
      <w:pPr>
        <w:pStyle w:val="19"/>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3"/>
        <w:rPr>
          <w:rFonts w:hint="eastAsia"/>
        </w:rPr>
      </w:pPr>
      <w:bookmarkStart w:id="38" w:name="_Toc4487356"/>
      <w:r>
        <w:rPr>
          <w:rFonts w:hint="eastAsia"/>
          <w:b/>
          <w:bCs/>
        </w:rPr>
        <w:t>8.3 期末按公允价值占基金资产净值比例大小排序的所有股票投资明细</w:t>
      </w:r>
      <w:bookmarkEnd w:id="38"/>
    </w:p>
    <w:p>
      <w:pPr>
        <w:pStyle w:val="19"/>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3"/>
        <w:rPr>
          <w:rFonts w:hint="eastAsia"/>
        </w:rPr>
      </w:pPr>
      <w:bookmarkStart w:id="39" w:name="_Toc4487357"/>
      <w:r>
        <w:rPr>
          <w:rFonts w:hint="eastAsia"/>
          <w:b/>
          <w:bCs/>
        </w:rPr>
        <w:t>8.4 报告期内股票投资组合的重大变动</w:t>
      </w:r>
      <w:bookmarkEnd w:id="39"/>
    </w:p>
    <w:p>
      <w:pPr>
        <w:pStyle w:val="14"/>
        <w:rPr>
          <w:rFonts w:hint="eastAsia"/>
        </w:rPr>
      </w:pPr>
      <w:r>
        <w:rPr>
          <w:rFonts w:hint="eastAsia"/>
          <w:b/>
          <w:bCs/>
        </w:rPr>
        <w:t>8.4.1 累计买入金额超出期初基金资产净值2%或前20名的股票明细</w:t>
      </w:r>
    </w:p>
    <w:p>
      <w:pPr>
        <w:pStyle w:val="19"/>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4"/>
        <w:rPr>
          <w:rFonts w:hint="eastAsia"/>
        </w:rPr>
      </w:pPr>
      <w:r>
        <w:rPr>
          <w:rFonts w:hint="eastAsia"/>
          <w:b/>
          <w:bCs/>
        </w:rPr>
        <w:t>8.4.2 累计卖出金额超出期初基金资产净值2%或前20名的股票明细</w:t>
      </w:r>
    </w:p>
    <w:p>
      <w:pPr>
        <w:pStyle w:val="19"/>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4"/>
        <w:rPr>
          <w:rFonts w:hint="eastAsia"/>
        </w:rPr>
      </w:pPr>
      <w:r>
        <w:rPr>
          <w:rFonts w:hint="eastAsia"/>
          <w:b/>
          <w:bCs/>
        </w:rPr>
        <w:t>8.4.3 买入股票的成本总额及卖出股票的收入总额</w:t>
      </w:r>
    </w:p>
    <w:p>
      <w:pPr>
        <w:pStyle w:val="19"/>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3"/>
        <w:rPr>
          <w:rFonts w:hint="eastAsia"/>
        </w:rPr>
      </w:pPr>
      <w:bookmarkStart w:id="40" w:name="_Toc4487358"/>
      <w:r>
        <w:rPr>
          <w:rFonts w:hint="eastAsia"/>
          <w:b/>
          <w:bCs/>
        </w:rPr>
        <w:t>8.5 期末按债券品种分类的债券投资组合</w:t>
      </w:r>
      <w:bookmarkEnd w:id="40"/>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17,029,800.00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17,029,800.00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397,691,019.50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125.81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414,720,819.50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131.20</w:t>
            </w:r>
          </w:p>
        </w:tc>
      </w:tr>
    </w:tbl>
    <w:p>
      <w:pPr>
        <w:widowControl/>
        <w:jc w:val="left"/>
        <w:rPr>
          <w:rFonts w:hint="eastAsia" w:ascii="宋体" w:hAnsi="宋体" w:cs="宋体"/>
          <w:kern w:val="0"/>
          <w:sz w:val="24"/>
          <w:szCs w:val="24"/>
        </w:rPr>
      </w:pPr>
    </w:p>
    <w:p>
      <w:pPr>
        <w:pStyle w:val="13"/>
        <w:rPr>
          <w:rFonts w:hint="eastAsia"/>
        </w:rPr>
      </w:pPr>
      <w:bookmarkStart w:id="41" w:name="_Toc4487359"/>
      <w:r>
        <w:rPr>
          <w:rFonts w:hint="eastAsia"/>
          <w:b/>
          <w:bCs/>
        </w:rPr>
        <w:t>8.6 期末按公允价值占基金资产净值比例大小排序的前五名债券投资明细</w:t>
      </w:r>
      <w:bookmarkEnd w:id="41"/>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112513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17华股01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29,362,500.00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136456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16银河G2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28,530,200.00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136061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15东证债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24,081,067.50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143685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18中证G1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21,478,800.00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143529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18海通02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20,552,000.00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6.50</w:t>
            </w:r>
          </w:p>
        </w:tc>
      </w:tr>
    </w:tbl>
    <w:p>
      <w:pPr>
        <w:widowControl/>
        <w:jc w:val="left"/>
        <w:rPr>
          <w:rFonts w:hint="eastAsia" w:ascii="宋体" w:hAnsi="宋体" w:cs="宋体"/>
          <w:kern w:val="0"/>
          <w:sz w:val="24"/>
          <w:szCs w:val="24"/>
        </w:rPr>
      </w:pPr>
    </w:p>
    <w:p>
      <w:pPr>
        <w:pStyle w:val="13"/>
        <w:rPr>
          <w:rFonts w:hint="eastAsia"/>
        </w:rPr>
      </w:pPr>
      <w:bookmarkStart w:id="42" w:name="_Toc4487360"/>
      <w:r>
        <w:rPr>
          <w:rFonts w:hint="eastAsia"/>
          <w:b/>
          <w:bCs/>
        </w:rPr>
        <w:t>8.7 期末按公允价值占基金资产净值比例大小排序的所有资产支持证券投资明细</w:t>
      </w:r>
      <w:bookmarkEnd w:id="42"/>
    </w:p>
    <w:p>
      <w:pPr>
        <w:pStyle w:val="19"/>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3"/>
        <w:rPr>
          <w:rFonts w:hint="eastAsia"/>
        </w:rPr>
      </w:pPr>
      <w:bookmarkStart w:id="43" w:name="_Toc4487361"/>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本基金本报告期末未持有贵金属。</w:t>
      </w:r>
    </w:p>
    <w:p>
      <w:pPr>
        <w:widowControl/>
        <w:jc w:val="left"/>
        <w:rPr>
          <w:rFonts w:hint="eastAsia" w:ascii="宋体" w:hAnsi="宋体" w:cs="宋体"/>
          <w:kern w:val="0"/>
          <w:sz w:val="24"/>
          <w:szCs w:val="24"/>
        </w:rPr>
      </w:pPr>
    </w:p>
    <w:p>
      <w:pPr>
        <w:pStyle w:val="13"/>
        <w:rPr>
          <w:rFonts w:hint="eastAsia"/>
        </w:rPr>
      </w:pPr>
      <w:bookmarkStart w:id="44" w:name="_Toc4487362"/>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本基金本报告期末未持有权证。</w:t>
      </w:r>
    </w:p>
    <w:p>
      <w:pPr>
        <w:widowControl/>
        <w:jc w:val="left"/>
        <w:rPr>
          <w:rFonts w:hint="eastAsia" w:ascii="宋体" w:hAnsi="宋体" w:cs="宋体"/>
          <w:kern w:val="0"/>
          <w:sz w:val="24"/>
          <w:szCs w:val="24"/>
        </w:rPr>
      </w:pPr>
    </w:p>
    <w:p>
      <w:pPr>
        <w:pStyle w:val="13"/>
        <w:rPr>
          <w:rFonts w:hint="eastAsia"/>
        </w:rPr>
      </w:pPr>
      <w:bookmarkStart w:id="45" w:name="_Toc4487363"/>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本基金本报告期未投资股指期货。</w:t>
      </w:r>
    </w:p>
    <w:p>
      <w:pPr>
        <w:widowControl/>
        <w:jc w:val="left"/>
        <w:rPr>
          <w:rFonts w:hint="eastAsia" w:ascii="宋体" w:hAnsi="宋体" w:cs="宋体"/>
          <w:kern w:val="0"/>
          <w:sz w:val="24"/>
          <w:szCs w:val="24"/>
        </w:rPr>
      </w:pPr>
    </w:p>
    <w:p>
      <w:pPr>
        <w:pStyle w:val="13"/>
        <w:rPr>
          <w:rFonts w:hint="eastAsia"/>
        </w:rPr>
      </w:pPr>
      <w:bookmarkStart w:id="46" w:name="_Toc4487364"/>
      <w:r>
        <w:rPr>
          <w:rFonts w:hint="eastAsia"/>
          <w:b/>
          <w:bCs/>
        </w:rPr>
        <w:t>8.11 报告期末本基金投资的国债期货交易情况说明</w:t>
      </w:r>
      <w:bookmarkEnd w:id="46"/>
    </w:p>
    <w:p>
      <w:pPr>
        <w:pStyle w:val="19"/>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3"/>
        <w:rPr>
          <w:rFonts w:hint="eastAsia"/>
        </w:rPr>
      </w:pPr>
      <w:bookmarkStart w:id="47" w:name="_Toc4487365"/>
      <w:r>
        <w:rPr>
          <w:rFonts w:hint="eastAsia"/>
          <w:b/>
          <w:bCs/>
        </w:rPr>
        <w:t>8.12 投资组合报告附注</w:t>
      </w:r>
      <w:bookmarkEnd w:id="47"/>
    </w:p>
    <w:p>
      <w:pPr>
        <w:pStyle w:val="14"/>
        <w:rPr>
          <w:rFonts w:hint="eastAsia"/>
        </w:rPr>
      </w:pPr>
      <w:r>
        <w:rPr>
          <w:rFonts w:hint="eastAsia"/>
          <w:b/>
          <w:bCs/>
        </w:rPr>
        <w:t>8.12.1 2018年8月2日，东方证券股份有限公司（以下简称"公司"） 的控股子公司东方花旗证券有限公司（以下简称"东方花旗"）收到中国证券监督管理委员会（以下简称"中国证监会"）《调查通知书》（粤证调查通字180138号），该通知认定东方花旗在担任广东广州日报传媒股份有限公司财务顾问期间涉嫌违反证券法律法规，决定予以立案调查，并于2018年11月1号处以责令改正，相关负责人警告罚款。 本基金投研人员分析认为，相关处罚不影响公司的正常经营状况。本基金基金经理依据基金合同和公司投资管理制度，在投资授权范围内，经正常投资决策程序对公司相关债券进行了投资。</w:t>
      </w:r>
    </w:p>
    <w:p>
      <w:pPr>
        <w:widowControl/>
        <w:jc w:val="left"/>
        <w:rPr>
          <w:rFonts w:hint="eastAsia" w:ascii="宋体" w:hAnsi="宋体" w:cs="宋体"/>
          <w:kern w:val="0"/>
          <w:sz w:val="24"/>
          <w:szCs w:val="24"/>
        </w:rPr>
      </w:pPr>
    </w:p>
    <w:p>
      <w:pPr>
        <w:pStyle w:val="14"/>
        <w:rPr>
          <w:rFonts w:hint="eastAsia"/>
        </w:rPr>
      </w:pPr>
      <w:r>
        <w:rPr>
          <w:rFonts w:hint="eastAsia"/>
          <w:b/>
          <w:bCs/>
        </w:rPr>
        <w:t>8.12.2 本报告期内未投资股票。</w:t>
      </w:r>
    </w:p>
    <w:p>
      <w:pPr>
        <w:widowControl/>
        <w:jc w:val="left"/>
        <w:rPr>
          <w:rFonts w:hint="eastAsia" w:ascii="宋体" w:hAnsi="宋体" w:cs="宋体"/>
          <w:kern w:val="0"/>
          <w:sz w:val="24"/>
          <w:szCs w:val="24"/>
        </w:rPr>
      </w:pPr>
    </w:p>
    <w:p>
      <w:pPr>
        <w:pStyle w:val="14"/>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32,174.10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80,039.68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6,348,203.68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6,460,417.46</w:t>
            </w:r>
          </w:p>
        </w:tc>
      </w:tr>
    </w:tbl>
    <w:p>
      <w:pPr>
        <w:widowControl/>
        <w:jc w:val="left"/>
        <w:rPr>
          <w:rFonts w:hint="eastAsia" w:ascii="宋体" w:hAnsi="宋体" w:cs="宋体"/>
          <w:kern w:val="0"/>
          <w:sz w:val="24"/>
          <w:szCs w:val="24"/>
        </w:rPr>
      </w:pPr>
    </w:p>
    <w:p>
      <w:pPr>
        <w:pStyle w:val="14"/>
        <w:rPr>
          <w:rFonts w:hint="eastAsia"/>
        </w:rPr>
      </w:pPr>
      <w:r>
        <w:rPr>
          <w:rFonts w:hint="eastAsia"/>
          <w:b/>
          <w:bCs/>
        </w:rPr>
        <w:t>8.12.4 期末持有的处于转股期的可转换债券明细</w:t>
      </w:r>
    </w:p>
    <w:p>
      <w:pPr>
        <w:pStyle w:val="19"/>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4"/>
        <w:rPr>
          <w:rFonts w:hint="eastAsia"/>
        </w:rPr>
      </w:pPr>
      <w:r>
        <w:rPr>
          <w:rFonts w:hint="eastAsia"/>
          <w:b/>
          <w:bCs/>
        </w:rPr>
        <w:t>8.12.5 期末前十名股票中存在流通受限情况的说明</w:t>
      </w:r>
    </w:p>
    <w:p>
      <w:pPr>
        <w:pStyle w:val="19"/>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2"/>
        <w:rPr>
          <w:rFonts w:hint="eastAsia"/>
        </w:rPr>
      </w:pPr>
      <w:bookmarkStart w:id="48" w:name="_Toc4487366"/>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3"/>
        <w:rPr>
          <w:rFonts w:hint="eastAsia"/>
        </w:rPr>
      </w:pPr>
      <w:bookmarkStart w:id="49" w:name="_Toc4487367"/>
      <w:r>
        <w:rPr>
          <w:rFonts w:hint="eastAsia"/>
          <w:b/>
          <w:bCs/>
        </w:rPr>
        <w:t>9.1 期末基金份额持有人户数及持有人结构</w:t>
      </w:r>
      <w:bookmarkEnd w:id="49"/>
    </w:p>
    <w:p>
      <w:pPr>
        <w:pStyle w:val="18"/>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904"/>
        <w:gridCol w:w="2261"/>
        <w:gridCol w:w="1809"/>
        <w:gridCol w:w="1131"/>
        <w:gridCol w:w="1809"/>
        <w:gridCol w:w="1131"/>
      </w:tblGrid>
      <w:tr>
        <w:tblPrEx>
          <w:tblCellMar>
            <w:top w:w="0" w:type="dxa"/>
            <w:left w:w="108" w:type="dxa"/>
            <w:bottom w:w="0" w:type="dxa"/>
            <w:right w:w="108" w:type="dxa"/>
          </w:tblCellMar>
        </w:tblPrEx>
        <w:trPr>
          <w:wBefore w:w="0" w:type="auto"/>
        </w:trPr>
        <w:tc>
          <w:tcPr>
            <w:tcW w:w="4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户均持有的基金份额</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机构投资者</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8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c>
          <w:tcPr>
            <w:tcW w:w="8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1,255,380.44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302,538,321.90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8,364.35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bl>
    <w:p>
      <w:pPr>
        <w:widowControl/>
        <w:jc w:val="left"/>
        <w:rPr>
          <w:rFonts w:hint="eastAsia" w:ascii="宋体" w:hAnsi="宋体" w:cs="宋体"/>
          <w:kern w:val="0"/>
          <w:sz w:val="24"/>
          <w:szCs w:val="24"/>
        </w:rPr>
      </w:pPr>
    </w:p>
    <w:p>
      <w:pPr>
        <w:pStyle w:val="13"/>
        <w:rPr>
          <w:rFonts w:hint="eastAsia"/>
        </w:rPr>
      </w:pPr>
      <w:bookmarkStart w:id="50" w:name="_Toc4487368"/>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4116"/>
        <w:gridCol w:w="2336"/>
        <w:gridCol w:w="2593"/>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3,237.66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0.0000%</w:t>
            </w:r>
          </w:p>
        </w:tc>
      </w:tr>
    </w:tbl>
    <w:p>
      <w:pPr>
        <w:widowControl/>
        <w:jc w:val="left"/>
        <w:rPr>
          <w:rFonts w:hint="eastAsia" w:ascii="宋体" w:hAnsi="宋体" w:cs="宋体"/>
          <w:kern w:val="0"/>
          <w:sz w:val="24"/>
          <w:szCs w:val="24"/>
        </w:rPr>
      </w:pPr>
    </w:p>
    <w:p>
      <w:pPr>
        <w:pStyle w:val="13"/>
        <w:rPr>
          <w:rFonts w:hint="eastAsia"/>
        </w:rPr>
      </w:pPr>
      <w:bookmarkStart w:id="51" w:name="_Toc4487369"/>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4522"/>
        <w:gridCol w:w="4523"/>
      </w:tblGrid>
      <w:tr>
        <w:tblPrEx>
          <w:tblCellMar>
            <w:top w:w="0" w:type="dxa"/>
            <w:left w:w="108" w:type="dxa"/>
            <w:bottom w:w="0" w:type="dxa"/>
            <w:right w:w="108" w:type="dxa"/>
          </w:tblCellMar>
        </w:tblPrEx>
        <w:trPr>
          <w:wBefore w:w="0" w:type="auto"/>
        </w:trPr>
        <w:tc>
          <w:tcPr>
            <w:tcW w:w="2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bl>
    <w:p>
      <w:pPr>
        <w:widowControl/>
        <w:jc w:val="left"/>
        <w:rPr>
          <w:rFonts w:hint="eastAsia" w:ascii="宋体" w:hAnsi="宋体" w:cs="宋体"/>
          <w:kern w:val="0"/>
          <w:sz w:val="24"/>
          <w:szCs w:val="24"/>
        </w:rPr>
      </w:pPr>
    </w:p>
    <w:p>
      <w:pPr>
        <w:pStyle w:val="12"/>
        <w:rPr>
          <w:rFonts w:hint="eastAsia"/>
        </w:rPr>
      </w:pPr>
      <w:bookmarkStart w:id="52" w:name="_Toc4487370"/>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0" w:type="auto"/>
        <w:tblInd w:w="108" w:type="dxa"/>
        <w:tblLayout w:type="autofit"/>
        <w:tblCellMar>
          <w:top w:w="0" w:type="dxa"/>
          <w:left w:w="108" w:type="dxa"/>
          <w:bottom w:w="0" w:type="dxa"/>
          <w:right w:w="108" w:type="dxa"/>
        </w:tblCellMar>
      </w:tblPr>
      <w:tblGrid>
        <w:gridCol w:w="6138"/>
        <w:gridCol w:w="2890"/>
      </w:tblGrid>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基金合同生效日(2017年06月16日)基金份额总额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250,111,649.19</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本报告期期初基金份额总额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100,013,103.20</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本报告期基金总申购份额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303,033,225.38</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减：本报告期基金总赎回份额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100,499,642.33</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本报告期基金拆分变动份额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本报告期期末基金份额总额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302,546,686.25</w:t>
            </w:r>
          </w:p>
        </w:tc>
      </w:tr>
    </w:tbl>
    <w:p>
      <w:pPr>
        <w:widowControl/>
        <w:jc w:val="left"/>
        <w:rPr>
          <w:rFonts w:hint="eastAsia" w:ascii="宋体" w:hAnsi="宋体" w:cs="宋体"/>
          <w:kern w:val="0"/>
          <w:sz w:val="24"/>
          <w:szCs w:val="24"/>
        </w:rPr>
      </w:pPr>
    </w:p>
    <w:p>
      <w:pPr>
        <w:pStyle w:val="12"/>
        <w:rPr>
          <w:rFonts w:hint="eastAsia"/>
        </w:rPr>
      </w:pPr>
      <w:bookmarkStart w:id="53" w:name="_Toc4487371"/>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3"/>
        <w:rPr>
          <w:rFonts w:hint="eastAsia"/>
        </w:rPr>
      </w:pPr>
      <w:bookmarkStart w:id="54" w:name="_Toc4487372"/>
      <w:r>
        <w:rPr>
          <w:rFonts w:hint="eastAsia"/>
          <w:b/>
          <w:bCs/>
        </w:rPr>
        <w:t>11.1 基金份额持有人大会决议</w:t>
      </w:r>
      <w:bookmarkEnd w:id="54"/>
    </w:p>
    <w:p>
      <w:pPr>
        <w:pStyle w:val="19"/>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3"/>
        <w:rPr>
          <w:rFonts w:hint="eastAsia"/>
        </w:rPr>
      </w:pPr>
      <w:bookmarkStart w:id="55" w:name="_Toc4487373"/>
      <w:r>
        <w:rPr>
          <w:rFonts w:hint="eastAsia"/>
          <w:b/>
          <w:bCs/>
        </w:rPr>
        <w:t>11.2 基金管理人、基金托管人的专门基金托管部门的重大人事变动</w:t>
      </w:r>
      <w:bookmarkEnd w:id="55"/>
    </w:p>
    <w:p>
      <w:pPr>
        <w:pStyle w:val="19"/>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3"/>
        <w:rPr>
          <w:rFonts w:hint="eastAsia"/>
        </w:rPr>
      </w:pPr>
      <w:bookmarkStart w:id="56" w:name="_Toc4487374"/>
      <w:r>
        <w:rPr>
          <w:rFonts w:hint="eastAsia"/>
          <w:b/>
          <w:bCs/>
        </w:rPr>
        <w:t>11.3 涉及基金管理人、基金财产、基金托管业务的诉讼</w:t>
      </w:r>
      <w:bookmarkEnd w:id="56"/>
    </w:p>
    <w:p>
      <w:pPr>
        <w:pStyle w:val="19"/>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3"/>
        <w:rPr>
          <w:rFonts w:hint="eastAsia"/>
        </w:rPr>
      </w:pPr>
      <w:bookmarkStart w:id="57" w:name="_Toc4487375"/>
      <w:r>
        <w:rPr>
          <w:rFonts w:hint="eastAsia"/>
          <w:b/>
          <w:bCs/>
        </w:rPr>
        <w:t>11.4 基金投资策略的改变</w:t>
      </w:r>
      <w:bookmarkEnd w:id="57"/>
    </w:p>
    <w:p>
      <w:pPr>
        <w:pStyle w:val="19"/>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3"/>
        <w:rPr>
          <w:rFonts w:hint="eastAsia"/>
        </w:rPr>
      </w:pPr>
      <w:bookmarkStart w:id="58" w:name="_Toc4487376"/>
      <w:r>
        <w:rPr>
          <w:rFonts w:hint="eastAsia"/>
          <w:b/>
          <w:bCs/>
        </w:rPr>
        <w:t>11.5 为基金进行审计的会计师事务所情况</w:t>
      </w:r>
      <w:bookmarkEnd w:id="58"/>
    </w:p>
    <w:p>
      <w:pPr>
        <w:pStyle w:val="19"/>
        <w:spacing w:before="0"/>
        <w:ind w:left="0" w:firstLine="480"/>
        <w:rPr>
          <w:rFonts w:hint="eastAsia"/>
        </w:rPr>
      </w:pPr>
      <w:r>
        <w:rPr>
          <w:rFonts w:hint="eastAsia"/>
        </w:rPr>
        <w:t xml:space="preserve">本报告期内本基金未更换会计师事务所,本年度支付给普华永道中天会计师事务所(特殊普通合伙)审计费用80,000.00元,该审计机构连续提供审计服务的年限为2年。 </w:t>
      </w:r>
    </w:p>
    <w:p>
      <w:pPr>
        <w:widowControl/>
        <w:jc w:val="left"/>
        <w:rPr>
          <w:rFonts w:hint="eastAsia" w:ascii="宋体" w:hAnsi="宋体" w:cs="宋体"/>
          <w:kern w:val="0"/>
          <w:sz w:val="24"/>
          <w:szCs w:val="24"/>
        </w:rPr>
      </w:pPr>
    </w:p>
    <w:p>
      <w:pPr>
        <w:pStyle w:val="13"/>
        <w:rPr>
          <w:rFonts w:hint="eastAsia"/>
        </w:rPr>
      </w:pPr>
      <w:bookmarkStart w:id="59" w:name="_Toc4487377"/>
      <w:r>
        <w:rPr>
          <w:rFonts w:hint="eastAsia"/>
          <w:b/>
          <w:bCs/>
        </w:rPr>
        <w:t>11.6 管理人、托管人及其高级管理人员受稽查或处罚等情况</w:t>
      </w:r>
      <w:bookmarkEnd w:id="59"/>
    </w:p>
    <w:p>
      <w:pPr>
        <w:pStyle w:val="19"/>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3"/>
        <w:rPr>
          <w:rFonts w:hint="eastAsia"/>
        </w:rPr>
      </w:pPr>
      <w:bookmarkStart w:id="60" w:name="_Toc4487378"/>
      <w:r>
        <w:rPr>
          <w:rFonts w:hint="eastAsia"/>
          <w:b/>
          <w:bCs/>
        </w:rPr>
        <w:t>11.7 基金租用证券公司交易单元的有关情况</w:t>
      </w:r>
      <w:bookmarkEnd w:id="60"/>
    </w:p>
    <w:p>
      <w:pPr>
        <w:pStyle w:val="14"/>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9"/>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本基金报告期内新增招商证券，广发证券，中信建投证券，英大证券，安信证券，中泰证券、长江证券7家券商的13个交易单元。</w:t>
      </w:r>
    </w:p>
    <w:p>
      <w:pPr>
        <w:widowControl/>
        <w:jc w:val="left"/>
        <w:rPr>
          <w:rFonts w:hint="eastAsia" w:ascii="宋体" w:hAnsi="宋体" w:cs="宋体"/>
          <w:kern w:val="0"/>
          <w:sz w:val="24"/>
          <w:szCs w:val="24"/>
        </w:rPr>
      </w:pPr>
    </w:p>
    <w:p>
      <w:pPr>
        <w:pStyle w:val="14"/>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1,158,171,805.46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12,822,080,000.00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3"/>
        <w:rPr>
          <w:rFonts w:hint="eastAsia"/>
        </w:rPr>
      </w:pPr>
      <w:bookmarkStart w:id="61" w:name="_Toc4487379"/>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创金合信尊智纯债债券型证券投资基金2017年第4季度报告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创金合信尊智纯债债券型证券投资基金（2017年第1号）招募说明书（更新）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创金合信尊智纯债债券型证券投资基金招募说明书（更新）摘要（2017年第1号）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创金合信基金管理有限公司关于创金合信尊智纯债债券型证券投资基金修订基金合同、托管协议部分条款及调整赎回费相关规则的公告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创金合信尊智纯债债券型证券投资基金（2017年第1号）招募说明书（更新）（2018年3月修订）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创金合信尊智纯债债券型证券投资基金基金合同（2018年3月修订）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创金合信尊智纯债债券型证券投资基金托管协议（2018年3月修订）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创金合信尊智纯债债券型证券投资基金招募说明书（更新）摘要（2017年第1号）（2018年3月修订）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创金合信尊智纯债债券型证券投资基金2017年年度报告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创金合信尊智纯债债券型证券投资基金2017年年度报告摘要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创金合信尊智纯债债券型证券投资基金2018年第1季度报告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创金合信尊智纯债债券型证券投资基金2018年第2季度报告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创金合信尊智纯债债券型证券投资基金（2018年第1号）招募说明书（更新）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2018-07-30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创金合信尊智纯债债券型证券投资基金招募说明书（更新）摘要（2018年第1号）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2018-07-30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创金合信尊智纯债债券型证券投资基金暂停大额申购业务的公告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创金合信尊智纯债债券型证券投资基金2018年半年度报告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创金合信尊智纯债债券型证券投资基金基金经理变更公告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创金合信尊智纯债债券型证券投资基金2018年第3季度报告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2018-10-25</w:t>
            </w:r>
          </w:p>
        </w:tc>
      </w:tr>
    </w:tbl>
    <w:p>
      <w:pPr>
        <w:widowControl/>
        <w:jc w:val="left"/>
        <w:rPr>
          <w:rFonts w:hint="eastAsia" w:ascii="宋体" w:hAnsi="宋体" w:cs="宋体"/>
          <w:kern w:val="0"/>
          <w:sz w:val="24"/>
          <w:szCs w:val="24"/>
        </w:rPr>
      </w:pPr>
    </w:p>
    <w:p>
      <w:pPr>
        <w:pStyle w:val="12"/>
        <w:rPr>
          <w:rFonts w:hint="eastAsia"/>
        </w:rPr>
      </w:pPr>
      <w:bookmarkStart w:id="62" w:name="_Toc4487380"/>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p>
    <w:p>
      <w:pPr>
        <w:pStyle w:val="13"/>
        <w:rPr>
          <w:rFonts w:hint="eastAsia"/>
        </w:rPr>
      </w:pPr>
      <w:bookmarkStart w:id="63" w:name="_Toc4487381"/>
      <w:r>
        <w:rPr>
          <w:rFonts w:hint="eastAsia"/>
          <w:b/>
          <w:bCs/>
        </w:rPr>
        <w:t>12.1 报告期内单一投资者持有基金份额比例达到或超过20%的情况</w:t>
      </w:r>
      <w:bookmarkEnd w:id="63"/>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69"/>
        <w:gridCol w:w="1389"/>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20180101 - 20180108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100,003,000.00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100,003,000.00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20180109 - 20180327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494,893.49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494,893.49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20180328 - 20181231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100,846,107.30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100,846,107.30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33.33%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20180328 - 20181231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100,846,107.30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100,846,107.30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33.33%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20180328 - 20181231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100,846,107.30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100,846,107.30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33.33%</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19"/>
              <w:wordWrap w:val="0"/>
              <w:spacing w:before="0"/>
              <w:ind w:left="0" w:firstLine="480"/>
              <w:rPr>
                <w:rFonts w:hint="eastAsia"/>
              </w:rPr>
            </w:pPr>
            <w:r>
              <w:rPr>
                <w:rFonts w:hint="eastAsia"/>
              </w:rPr>
              <w:t>1、大额申购风险</w:t>
            </w:r>
          </w:p>
          <w:p>
            <w:pPr>
              <w:pStyle w:val="19"/>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19"/>
              <w:wordWrap w:val="0"/>
              <w:spacing w:before="0"/>
              <w:ind w:left="0" w:firstLine="480"/>
              <w:rPr>
                <w:rFonts w:hint="eastAsia"/>
              </w:rPr>
            </w:pPr>
            <w:r>
              <w:rPr>
                <w:rFonts w:hint="eastAsia"/>
              </w:rPr>
              <w:t>2、大额赎回风险</w:t>
            </w:r>
          </w:p>
          <w:p>
            <w:pPr>
              <w:pStyle w:val="19"/>
              <w:wordWrap w:val="0"/>
              <w:spacing w:before="0"/>
              <w:ind w:left="0" w:firstLine="480"/>
              <w:rPr>
                <w:rFonts w:hint="eastAsia"/>
              </w:rPr>
            </w:pPr>
            <w:r>
              <w:rPr>
                <w:rFonts w:hint="eastAsia"/>
              </w:rPr>
              <w:t>（1）若本基金在短时间内难以变现足够的资产予以应对，可能导致流动性风险；</w:t>
            </w:r>
          </w:p>
          <w:p>
            <w:pPr>
              <w:pStyle w:val="19"/>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19"/>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19"/>
              <w:wordWrap w:val="0"/>
              <w:spacing w:before="0"/>
              <w:ind w:left="0" w:firstLine="480"/>
              <w:rPr>
                <w:rFonts w:hint="eastAsia"/>
              </w:rPr>
            </w:pPr>
            <w:r>
              <w:rPr>
                <w:rFonts w:hint="eastAsia"/>
              </w:rPr>
              <w:t>（4）因基金净值精度计算问题，可能因赎回费归入基金资产，导致基金净值有较大波动；</w:t>
            </w:r>
          </w:p>
          <w:p>
            <w:pPr>
              <w:pStyle w:val="19"/>
              <w:wordWrap w:val="0"/>
              <w:spacing w:before="0"/>
              <w:ind w:left="0" w:firstLine="480"/>
              <w:rPr>
                <w:rFonts w:hint="eastAsia"/>
              </w:rPr>
            </w:pPr>
            <w:r>
              <w:rPr>
                <w:rFonts w:hint="eastAsia"/>
              </w:rPr>
              <w:t>（5）大额赎回导致基金资产规模过小，不能满足存续条件，可能导致基金合同终止、清算等风险。</w:t>
            </w:r>
          </w:p>
          <w:p>
            <w:pPr>
              <w:pStyle w:val="19"/>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3"/>
        <w:rPr>
          <w:rFonts w:hint="eastAsia"/>
        </w:rPr>
      </w:pPr>
      <w:bookmarkStart w:id="64" w:name="_Toc4487382"/>
      <w:r>
        <w:rPr>
          <w:rFonts w:hint="eastAsia"/>
          <w:b/>
          <w:bCs/>
        </w:rPr>
        <w:t>12.2 影响投资者决策的其他重要信息</w:t>
      </w:r>
      <w:bookmarkEnd w:id="64"/>
    </w:p>
    <w:p>
      <w:pPr>
        <w:pStyle w:val="16"/>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2"/>
        <w:rPr>
          <w:rFonts w:hint="eastAsia"/>
        </w:rPr>
      </w:pPr>
      <w:bookmarkStart w:id="65" w:name="_Toc4487383"/>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3"/>
        <w:rPr>
          <w:rFonts w:hint="eastAsia"/>
        </w:rPr>
      </w:pPr>
      <w:bookmarkStart w:id="66" w:name="_Toc4487384"/>
      <w:r>
        <w:rPr>
          <w:rFonts w:hint="eastAsia"/>
          <w:b/>
          <w:bCs/>
        </w:rPr>
        <w:t>13.1 备查文件目录</w:t>
      </w:r>
      <w:bookmarkEnd w:id="66"/>
    </w:p>
    <w:p>
      <w:pPr>
        <w:pStyle w:val="19"/>
        <w:spacing w:before="0"/>
        <w:ind w:left="0" w:firstLine="480"/>
        <w:rPr>
          <w:rFonts w:hint="eastAsia"/>
        </w:rPr>
      </w:pPr>
      <w:r>
        <w:rPr>
          <w:rFonts w:hint="eastAsia"/>
        </w:rPr>
        <w:t>1、《创金合信尊智纯债债券型证券投资基金基金合同》；</w:t>
      </w:r>
    </w:p>
    <w:p>
      <w:pPr>
        <w:pStyle w:val="19"/>
        <w:spacing w:before="0"/>
        <w:ind w:left="0" w:firstLine="480"/>
        <w:rPr>
          <w:rFonts w:hint="eastAsia"/>
        </w:rPr>
      </w:pPr>
      <w:r>
        <w:rPr>
          <w:rFonts w:hint="eastAsia"/>
        </w:rPr>
        <w:t>2、《创金合信尊智纯债债券型证券投资基金托管协议》；</w:t>
      </w:r>
    </w:p>
    <w:p>
      <w:pPr>
        <w:pStyle w:val="19"/>
        <w:spacing w:before="0"/>
        <w:ind w:left="0" w:firstLine="480"/>
        <w:rPr>
          <w:rFonts w:hint="eastAsia"/>
        </w:rPr>
      </w:pPr>
      <w:r>
        <w:rPr>
          <w:rFonts w:hint="eastAsia"/>
        </w:rPr>
        <w:t>3、创金合信尊智纯债债券型证券投资基金2018年年度报告。</w:t>
      </w:r>
    </w:p>
    <w:p>
      <w:pPr>
        <w:widowControl/>
        <w:jc w:val="left"/>
        <w:rPr>
          <w:rFonts w:hint="eastAsia" w:ascii="宋体" w:hAnsi="宋体" w:cs="宋体"/>
          <w:kern w:val="0"/>
          <w:sz w:val="24"/>
          <w:szCs w:val="24"/>
        </w:rPr>
      </w:pPr>
    </w:p>
    <w:p>
      <w:pPr>
        <w:pStyle w:val="13"/>
        <w:rPr>
          <w:rFonts w:hint="eastAsia"/>
        </w:rPr>
      </w:pPr>
      <w:bookmarkStart w:id="67" w:name="_Toc4487385"/>
      <w:r>
        <w:rPr>
          <w:rFonts w:hint="eastAsia"/>
          <w:b/>
          <w:bCs/>
        </w:rPr>
        <w:t>13.2 存放地点</w:t>
      </w:r>
      <w:bookmarkEnd w:id="67"/>
    </w:p>
    <w:p>
      <w:pPr>
        <w:pStyle w:val="19"/>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3"/>
        <w:rPr>
          <w:rFonts w:hint="eastAsia"/>
        </w:rPr>
      </w:pPr>
      <w:bookmarkStart w:id="68" w:name="_Toc4487386"/>
      <w:r>
        <w:rPr>
          <w:rFonts w:hint="eastAsia"/>
          <w:b/>
          <w:bCs/>
        </w:rPr>
        <w:t>13.3 查阅方式</w:t>
      </w:r>
      <w:bookmarkEnd w:id="68"/>
    </w:p>
    <w:p>
      <w:pPr>
        <w:pStyle w:val="19"/>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8"/>
        <w:rPr>
          <w:rFonts w:hint="eastAsia"/>
        </w:rPr>
      </w:pPr>
      <w:r>
        <w:rPr>
          <w:rFonts w:hint="eastAsia" w:hAnsi="Calibri"/>
          <w:b/>
          <w:bCs/>
          <w:color w:val="000000"/>
        </w:rPr>
        <w:t>创金合信基金管理有限公司</w:t>
      </w:r>
    </w:p>
    <w:p>
      <w:pPr>
        <w:pStyle w:val="18"/>
        <w:rPr>
          <w:rFonts w:hint="eastAsia"/>
        </w:rPr>
      </w:pPr>
      <w:r>
        <w:rPr>
          <w:rFonts w:hint="eastAsia" w:hAnsi="Calibri"/>
          <w:b/>
          <w:bCs/>
          <w:color w:val="000000"/>
        </w:rPr>
        <w:t>二〇一九年三月二十九日</w:t>
      </w:r>
    </w:p>
    <w:p>
      <w:pPr>
        <w:pStyle w:val="23"/>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lang/>
      </w:rPr>
      <w:t>30</w:t>
    </w:r>
    <w:r>
      <w:rPr>
        <w:rStyle w:val="9"/>
      </w:rPr>
      <w:fldChar w:fldCharType="end"/>
    </w:r>
  </w:p>
  <w:p>
    <w:pPr>
      <w:pStyle w:val="2"/>
      <w:jc w:val="center"/>
    </w:pPr>
    <w:r>
      <w:rPr>
        <w:rFonts w:hint="eastAsia"/>
      </w:rPr>
      <w:t xml:space="preserve">                   第       页，共58页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创金合信尊智纯债债券型证券投资基金2018年年度报告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6112"/>
    <w:rsid w:val="000A1569"/>
    <w:rsid w:val="00346178"/>
    <w:rsid w:val="00686112"/>
    <w:rsid w:val="00AD2687"/>
    <w:rsid w:val="70AD110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5"/>
    <w:unhideWhenUsed/>
    <w:uiPriority w:val="99"/>
    <w:pPr>
      <w:tabs>
        <w:tab w:val="center" w:pos="4153"/>
        <w:tab w:val="right" w:pos="8306"/>
      </w:tabs>
      <w:snapToGrid w:val="0"/>
      <w:jc w:val="left"/>
    </w:pPr>
    <w:rPr>
      <w:sz w:val="18"/>
      <w:szCs w:val="18"/>
    </w:rPr>
  </w:style>
  <w:style w:type="paragraph" w:styleId="3">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page number"/>
    <w:semiHidden/>
    <w:unhideWhenUsed/>
    <w:uiPriority w:val="99"/>
  </w:style>
  <w:style w:type="character" w:styleId="10">
    <w:name w:val="Hyperlink"/>
    <w:unhideWhenUsed/>
    <w:uiPriority w:val="99"/>
    <w:rPr>
      <w:color w:val="0563C1"/>
      <w:u w:val="single"/>
    </w:rPr>
  </w:style>
  <w:style w:type="paragraph" w:customStyle="1" w:styleId="11">
    <w:name w:val="msonormal1"/>
    <w:qFormat/>
    <w:uiPriority w:val="0"/>
    <w:pPr>
      <w:widowControl w:val="0"/>
      <w:jc w:val="both"/>
    </w:pPr>
    <w:rPr>
      <w:kern w:val="2"/>
      <w:sz w:val="21"/>
      <w:szCs w:val="22"/>
      <w:lang w:val="en-US" w:eastAsia="zh-CN" w:bidi="ar-SA"/>
    </w:rPr>
  </w:style>
  <w:style w:type="paragraph" w:customStyle="1" w:styleId="12">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3">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4">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5">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6">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7">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8">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19">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0">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1">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3">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4">
    <w:name w:val="页眉 Char"/>
    <w:link w:val="3"/>
    <w:locked/>
    <w:uiPriority w:val="99"/>
    <w:rPr>
      <w:rFonts w:hint="default" w:ascii="Times New Roman" w:hAnsi="Times New Roman" w:cs="Times New Roman"/>
      <w:sz w:val="18"/>
      <w:szCs w:val="18"/>
    </w:rPr>
  </w:style>
  <w:style w:type="character" w:customStyle="1" w:styleId="25">
    <w:name w:val="页脚 Char"/>
    <w:link w:val="2"/>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57</Pages>
  <Words>6511</Words>
  <Characters>37114</Characters>
  <Lines>309</Lines>
  <Paragraphs>87</Paragraphs>
  <TotalTime>0</TotalTime>
  <ScaleCrop>false</ScaleCrop>
  <LinksUpToDate>false</LinksUpToDate>
  <CharactersWithSpaces>43538</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2019-03-26T02:08:00Z</dcterms:created>
  <dc:creator>石怡翔</dc:creator>
  <cp:lastModifiedBy>Administrator</cp:lastModifiedBy>
  <dcterms:modified xsi:type="dcterms:W3CDTF">2019-12-26T14:07:09Z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