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105" w:name="_GoBack"/>
      <w:bookmarkEnd w:id="105"/>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创金合信医疗保健行业股票型证券投资基金</w:t>
      </w:r>
    </w:p>
    <w:p>
      <w:pPr>
        <w:widowControl/>
        <w:spacing w:before="240" w:after="120"/>
        <w:jc w:val="center"/>
        <w:rPr>
          <w:rFonts w:ascii="宋体" w:hAnsi="宋体"/>
          <w:b/>
          <w:color w:val="000000"/>
          <w:sz w:val="36"/>
        </w:rPr>
      </w:pPr>
      <w:r>
        <w:rPr>
          <w:rFonts w:ascii="宋体" w:hAnsi="宋体"/>
          <w:b/>
          <w:color w:val="000000"/>
          <w:sz w:val="36"/>
        </w:rPr>
        <w:t>（原创金合信鑫动力灵活配置混合型证券投资基金转型）</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hint="eastAsia" w:ascii="宋体" w:hAnsi="宋体"/>
          <w:b/>
          <w:color w:val="000000"/>
          <w:sz w:val="24"/>
        </w:rPr>
        <w:t>2</w:t>
      </w:r>
      <w:r>
        <w:rPr>
          <w:rFonts w:ascii="宋体" w:hAnsi="宋体"/>
          <w:b/>
          <w:color w:val="000000"/>
          <w:sz w:val="24"/>
        </w:rPr>
        <w:t>018年</w:t>
      </w:r>
      <w:r>
        <w:rPr>
          <w:rFonts w:hint="eastAsia" w:ascii="宋体" w:hAnsi="宋体"/>
          <w:b/>
          <w:color w:val="000000"/>
          <w:sz w:val="24"/>
        </w:rPr>
        <w:t>12月31</w:t>
      </w:r>
      <w:r>
        <w:rPr>
          <w:rFonts w:ascii="宋体" w:hAnsi="宋体"/>
          <w:b/>
          <w:color w:val="000000"/>
          <w:sz w:val="24"/>
        </w:rPr>
        <w:t>日</w:t>
      </w:r>
    </w:p>
    <w:p>
      <w:pPr>
        <w:widowControl/>
        <w:spacing w:before="240" w:after="120"/>
        <w:rPr>
          <w:rFonts w:hint="eastAsia"/>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基金托管人:中国邮政储蓄银行股份有限公司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20"/>
        <w:spacing w:before="240" w:after="120"/>
      </w:pPr>
      <w:bookmarkStart w:id="0" w:name="_Toc4612735"/>
      <w:r>
        <w:rPr>
          <w:rFonts w:hint="eastAsia" w:hAnsi="Calibri"/>
          <w:b/>
          <w:color w:val="000000"/>
        </w:rPr>
        <w:t>§1  重要提示及目录</w:t>
      </w:r>
      <w:bookmarkEnd w:id="0"/>
      <w:r>
        <w:rPr>
          <w:rFonts w:hint="eastAsia"/>
        </w:rPr>
        <w:t xml:space="preserve"> </w:t>
      </w:r>
    </w:p>
    <w:p>
      <w:pPr>
        <w:pStyle w:val="21"/>
        <w:rPr>
          <w:rFonts w:hint="eastAsia"/>
        </w:rPr>
      </w:pPr>
      <w:bookmarkStart w:id="1" w:name="_Toc4612736"/>
      <w:r>
        <w:rPr>
          <w:rFonts w:hint="eastAsia"/>
          <w:b/>
          <w:bCs/>
        </w:rPr>
        <w:t>1.1 重要提示</w:t>
      </w:r>
      <w:bookmarkEnd w:id="1"/>
    </w:p>
    <w:tbl>
      <w:tblPr>
        <w:tblStyle w:val="14"/>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24"/>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7"/>
              <w:wordWrap w:val="0"/>
              <w:spacing w:before="0"/>
              <w:ind w:left="0" w:firstLine="480"/>
              <w:rPr>
                <w:rFonts w:hint="eastAsia"/>
              </w:rPr>
            </w:pPr>
            <w:r>
              <w:rPr>
                <w:rFonts w:hint="eastAsia"/>
              </w:rPr>
              <w:t>基金托管人中国邮政储蓄银行股份有限公司根据本基金合同规定，于2019年3月27日复核了本报告中的财务指标、净值表现、利润分配情况、财务会计报告、投资组合报告等内容，保证复核内容不存在虚假记载、误导性陈述或者重大遗漏。</w:t>
            </w:r>
          </w:p>
          <w:p>
            <w:pPr>
              <w:pStyle w:val="27"/>
              <w:wordWrap w:val="0"/>
              <w:spacing w:before="0"/>
              <w:ind w:left="0" w:firstLine="480"/>
              <w:rPr>
                <w:rFonts w:hint="eastAsia"/>
              </w:rPr>
            </w:pPr>
            <w:r>
              <w:rPr>
                <w:rFonts w:hint="eastAsia"/>
              </w:rPr>
              <w:t>基金管理人承诺以诚实信用、勤勉尽责的原则管理和运用基金资产，但不保证基金一定盈利。</w:t>
            </w:r>
          </w:p>
          <w:p>
            <w:pPr>
              <w:pStyle w:val="27"/>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7"/>
              <w:wordWrap w:val="0"/>
              <w:spacing w:before="0"/>
              <w:ind w:left="0" w:firstLine="480"/>
              <w:rPr>
                <w:rFonts w:hint="eastAsia"/>
              </w:rPr>
            </w:pPr>
            <w:r>
              <w:rPr>
                <w:rFonts w:hint="eastAsia"/>
              </w:rPr>
              <w:t>自2018年10月31日起，创金合信鑫动力灵活配置混合型证券投资基金正式变更为创金合信医疗保健行业股票型证券投资基金，原创金合信鑫动力灵活配置混合型证券投资基金报告期自2018年01月01日起至2018年10月30日止，创金合信医疗保健行业股票型证券投资基金报告期自2018年10月31日起至2018年12月31日止。</w:t>
            </w:r>
          </w:p>
        </w:tc>
      </w:tr>
    </w:tbl>
    <w:p>
      <w:pPr>
        <w:pStyle w:val="21"/>
        <w:rPr>
          <w:rFonts w:hint="eastAsia"/>
        </w:rPr>
      </w:pPr>
      <w:r>
        <w:rPr>
          <w:rFonts w:ascii="Times New Roman" w:hAnsi="Times New Roman"/>
        </w:rPr>
        <w:br w:type="page"/>
      </w:r>
      <w:bookmarkStart w:id="2" w:name="_Toc4612737"/>
      <w:r>
        <w:rPr>
          <w:rFonts w:hint="eastAsia"/>
          <w:b/>
          <w:bCs/>
        </w:rPr>
        <w:t>1.2 目录</w:t>
      </w:r>
      <w:bookmarkEnd w:id="2"/>
    </w:p>
    <w:p>
      <w:pPr>
        <w:pStyle w:val="8"/>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8"/>
          <w:lang/>
        </w:rPr>
        <w:fldChar w:fldCharType="begin"/>
      </w:r>
      <w:r>
        <w:rPr>
          <w:rStyle w:val="18"/>
          <w:lang/>
        </w:rPr>
        <w:instrText xml:space="preserve"> </w:instrText>
      </w:r>
      <w:r>
        <w:rPr>
          <w:lang/>
        </w:rPr>
        <w:instrText xml:space="preserve">HYPERLINK \l "_Toc4612735"</w:instrText>
      </w:r>
      <w:r>
        <w:rPr>
          <w:rStyle w:val="18"/>
          <w:lang/>
        </w:rPr>
        <w:instrText xml:space="preserve"> </w:instrText>
      </w:r>
      <w:r>
        <w:rPr>
          <w:rStyle w:val="18"/>
          <w:lang/>
        </w:rPr>
        <w:fldChar w:fldCharType="separate"/>
      </w:r>
      <w:r>
        <w:rPr>
          <w:rStyle w:val="18"/>
          <w:b/>
          <w:lang/>
        </w:rPr>
        <w:t xml:space="preserve">§1  </w:t>
      </w:r>
      <w:r>
        <w:rPr>
          <w:rStyle w:val="18"/>
          <w:rFonts w:hint="eastAsia"/>
          <w:b/>
          <w:lang/>
        </w:rPr>
        <w:t>重要提示及目录</w:t>
      </w:r>
      <w:r>
        <w:rPr>
          <w:lang/>
        </w:rPr>
        <w:tab/>
      </w:r>
      <w:r>
        <w:rPr>
          <w:lang/>
        </w:rPr>
        <w:fldChar w:fldCharType="begin"/>
      </w:r>
      <w:r>
        <w:rPr>
          <w:lang/>
        </w:rPr>
        <w:instrText xml:space="preserve"> PAGEREF _Toc4612735 \h </w:instrText>
      </w:r>
      <w:r>
        <w:rPr>
          <w:lang/>
        </w:rPr>
        <w:fldChar w:fldCharType="separate"/>
      </w:r>
      <w:r>
        <w:rPr>
          <w:lang/>
        </w:rPr>
        <w:t>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"_Toc4612736"</w:instrText>
      </w:r>
      <w:r>
        <w:rPr>
          <w:rStyle w:val="18"/>
          <w:lang/>
        </w:rPr>
        <w:instrText xml:space="preserve"> </w:instrText>
      </w:r>
      <w:r>
        <w:rPr>
          <w:rStyle w:val="18"/>
          <w:lang/>
        </w:rPr>
        <w:fldChar w:fldCharType="separate"/>
      </w:r>
      <w:r>
        <w:rPr>
          <w:rStyle w:val="18"/>
          <w:b/>
          <w:bCs/>
          <w:lang/>
        </w:rPr>
        <w:t xml:space="preserve">1.1 </w:t>
      </w:r>
      <w:r>
        <w:rPr>
          <w:rStyle w:val="18"/>
          <w:rFonts w:hint="eastAsia"/>
          <w:b/>
          <w:bCs/>
          <w:lang/>
        </w:rPr>
        <w:t>重要提示</w:t>
      </w:r>
      <w:r>
        <w:rPr>
          <w:lang/>
        </w:rPr>
        <w:tab/>
      </w:r>
      <w:r>
        <w:rPr>
          <w:lang/>
        </w:rPr>
        <w:fldChar w:fldCharType="begin"/>
      </w:r>
      <w:r>
        <w:rPr>
          <w:lang/>
        </w:rPr>
        <w:instrText xml:space="preserve"> PAGEREF _Toc4612736 \h </w:instrText>
      </w:r>
      <w:r>
        <w:rPr>
          <w:lang/>
        </w:rPr>
        <w:fldChar w:fldCharType="separate"/>
      </w:r>
      <w:r>
        <w:rPr>
          <w:lang/>
        </w:rPr>
        <w:t>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"_Toc4612737"</w:instrText>
      </w:r>
      <w:r>
        <w:rPr>
          <w:rStyle w:val="18"/>
          <w:lang/>
        </w:rPr>
        <w:instrText xml:space="preserve"> </w:instrText>
      </w:r>
      <w:r>
        <w:rPr>
          <w:rStyle w:val="18"/>
          <w:lang/>
        </w:rPr>
        <w:fldChar w:fldCharType="separate"/>
      </w:r>
      <w:r>
        <w:rPr>
          <w:rStyle w:val="18"/>
          <w:b/>
          <w:bCs/>
          <w:lang/>
        </w:rPr>
        <w:t xml:space="preserve">1.2 </w:t>
      </w:r>
      <w:r>
        <w:rPr>
          <w:rStyle w:val="18"/>
          <w:rFonts w:hint="eastAsia"/>
          <w:b/>
          <w:bCs/>
          <w:lang/>
        </w:rPr>
        <w:t>目录</w:t>
      </w:r>
      <w:r>
        <w:rPr>
          <w:lang/>
        </w:rPr>
        <w:tab/>
      </w:r>
      <w:r>
        <w:rPr>
          <w:lang/>
        </w:rPr>
        <w:fldChar w:fldCharType="begin"/>
      </w:r>
      <w:r>
        <w:rPr>
          <w:lang/>
        </w:rPr>
        <w:instrText xml:space="preserve"> PAGEREF _Toc4612737 \h </w:instrText>
      </w:r>
      <w:r>
        <w:rPr>
          <w:lang/>
        </w:rPr>
        <w:fldChar w:fldCharType="separate"/>
      </w:r>
      <w:r>
        <w:rPr>
          <w:lang/>
        </w:rPr>
        <w:t>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"_Toc4612738"</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_Toc4612738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"_Toc4612739"</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_Toc4612739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"_Toc4612740"</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_Toc4612740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"_Toc4612741"</w:instrText>
      </w:r>
      <w:r>
        <w:rPr>
          <w:rStyle w:val="18"/>
          <w:lang/>
        </w:rPr>
        <w:instrText xml:space="preserve"> </w:instrText>
      </w:r>
      <w:r>
        <w:rPr>
          <w:rStyle w:val="18"/>
          <w:lang/>
        </w:rPr>
        <w:fldChar w:fldCharType="separate"/>
      </w:r>
      <w:r>
        <w:rPr>
          <w:rStyle w:val="18"/>
          <w:b/>
          <w:bCs/>
          <w:lang/>
        </w:rPr>
        <w:t xml:space="preserve">2.3 </w:t>
      </w:r>
      <w:r>
        <w:rPr>
          <w:rStyle w:val="18"/>
          <w:rFonts w:hint="eastAsia"/>
          <w:b/>
          <w:bCs/>
          <w:lang/>
        </w:rPr>
        <w:t>基金管理人和基金托管人</w:t>
      </w:r>
      <w:r>
        <w:rPr>
          <w:lang/>
        </w:rPr>
        <w:tab/>
      </w:r>
      <w:r>
        <w:rPr>
          <w:lang/>
        </w:rPr>
        <w:fldChar w:fldCharType="begin"/>
      </w:r>
      <w:r>
        <w:rPr>
          <w:lang/>
        </w:rPr>
        <w:instrText xml:space="preserve"> PAGEREF _Toc4612741 \h </w:instrText>
      </w:r>
      <w:r>
        <w:rPr>
          <w:lang/>
        </w:rPr>
        <w:fldChar w:fldCharType="separate"/>
      </w:r>
      <w:r>
        <w:rPr>
          <w:lang/>
        </w:rPr>
        <w:t>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"_Toc4612742"</w:instrText>
      </w:r>
      <w:r>
        <w:rPr>
          <w:rStyle w:val="18"/>
          <w:lang/>
        </w:rPr>
        <w:instrText xml:space="preserve"> </w:instrText>
      </w:r>
      <w:r>
        <w:rPr>
          <w:rStyle w:val="18"/>
          <w:lang/>
        </w:rPr>
        <w:fldChar w:fldCharType="separate"/>
      </w:r>
      <w:r>
        <w:rPr>
          <w:rStyle w:val="18"/>
          <w:b/>
          <w:bCs/>
          <w:lang/>
        </w:rPr>
        <w:t xml:space="preserve">2.4 </w:t>
      </w:r>
      <w:r>
        <w:rPr>
          <w:rStyle w:val="18"/>
          <w:rFonts w:hint="eastAsia"/>
          <w:b/>
          <w:bCs/>
          <w:lang/>
        </w:rPr>
        <w:t>信息披露方式</w:t>
      </w:r>
      <w:r>
        <w:rPr>
          <w:lang/>
        </w:rPr>
        <w:tab/>
      </w:r>
      <w:r>
        <w:rPr>
          <w:lang/>
        </w:rPr>
        <w:fldChar w:fldCharType="begin"/>
      </w:r>
      <w:r>
        <w:rPr>
          <w:lang/>
        </w:rPr>
        <w:instrText xml:space="preserve"> PAGEREF _Toc4612742 \h </w:instrText>
      </w:r>
      <w:r>
        <w:rPr>
          <w:lang/>
        </w:rPr>
        <w:fldChar w:fldCharType="separate"/>
      </w:r>
      <w:r>
        <w:rPr>
          <w:lang/>
        </w:rPr>
        <w:t>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"_Toc4612743"</w:instrText>
      </w:r>
      <w:r>
        <w:rPr>
          <w:rStyle w:val="18"/>
          <w:lang/>
        </w:rPr>
        <w:instrText xml:space="preserve"> </w:instrText>
      </w:r>
      <w:r>
        <w:rPr>
          <w:rStyle w:val="18"/>
          <w:lang/>
        </w:rPr>
        <w:fldChar w:fldCharType="separate"/>
      </w:r>
      <w:r>
        <w:rPr>
          <w:rStyle w:val="18"/>
          <w:b/>
          <w:bCs/>
          <w:lang/>
        </w:rPr>
        <w:t xml:space="preserve">2.5 </w:t>
      </w:r>
      <w:r>
        <w:rPr>
          <w:rStyle w:val="18"/>
          <w:rFonts w:hint="eastAsia"/>
          <w:b/>
          <w:bCs/>
          <w:lang/>
        </w:rPr>
        <w:t>其他相关资料</w:t>
      </w:r>
      <w:r>
        <w:rPr>
          <w:lang/>
        </w:rPr>
        <w:tab/>
      </w:r>
      <w:r>
        <w:rPr>
          <w:lang/>
        </w:rPr>
        <w:fldChar w:fldCharType="begin"/>
      </w:r>
      <w:r>
        <w:rPr>
          <w:lang/>
        </w:rPr>
        <w:instrText xml:space="preserve"> PAGEREF _Toc4612743 \h </w:instrText>
      </w:r>
      <w:r>
        <w:rPr>
          <w:lang/>
        </w:rPr>
        <w:fldChar w:fldCharType="separate"/>
      </w:r>
      <w:r>
        <w:rPr>
          <w:lang/>
        </w:rPr>
        <w:t>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"_Toc4612744"</w:instrText>
      </w:r>
      <w:r>
        <w:rPr>
          <w:rStyle w:val="18"/>
          <w:lang/>
        </w:rPr>
        <w:instrText xml:space="preserve"> </w:instrText>
      </w:r>
      <w:r>
        <w:rPr>
          <w:rStyle w:val="18"/>
          <w:lang/>
        </w:rPr>
        <w:fldChar w:fldCharType="separate"/>
      </w:r>
      <w:r>
        <w:rPr>
          <w:rStyle w:val="18"/>
          <w:b/>
          <w:lang/>
        </w:rPr>
        <w:t xml:space="preserve">§2  </w:t>
      </w:r>
      <w:r>
        <w:rPr>
          <w:rStyle w:val="18"/>
          <w:rFonts w:hint="eastAsia"/>
          <w:b/>
          <w:lang/>
        </w:rPr>
        <w:t>基金简介</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_Toc4612744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"_Toc4612745"</w:instrText>
      </w:r>
      <w:r>
        <w:rPr>
          <w:rStyle w:val="18"/>
          <w:lang/>
        </w:rPr>
        <w:instrText xml:space="preserve"> </w:instrText>
      </w:r>
      <w:r>
        <w:rPr>
          <w:rStyle w:val="18"/>
          <w:lang/>
        </w:rPr>
        <w:fldChar w:fldCharType="separate"/>
      </w:r>
      <w:r>
        <w:rPr>
          <w:rStyle w:val="18"/>
          <w:b/>
          <w:bCs/>
          <w:lang/>
        </w:rPr>
        <w:t xml:space="preserve">2.1 </w:t>
      </w:r>
      <w:r>
        <w:rPr>
          <w:rStyle w:val="18"/>
          <w:rFonts w:hint="eastAsia"/>
          <w:b/>
          <w:bCs/>
          <w:lang/>
        </w:rPr>
        <w:t>基金基本情况</w:t>
      </w:r>
      <w:r>
        <w:rPr>
          <w:lang/>
        </w:rPr>
        <w:tab/>
      </w:r>
      <w:r>
        <w:rPr>
          <w:lang/>
        </w:rPr>
        <w:fldChar w:fldCharType="begin"/>
      </w:r>
      <w:r>
        <w:rPr>
          <w:lang/>
        </w:rPr>
        <w:instrText xml:space="preserve"> PAGEREF _Toc4612745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"_Toc4612746"</w:instrText>
      </w:r>
      <w:r>
        <w:rPr>
          <w:rStyle w:val="18"/>
          <w:lang/>
        </w:rPr>
        <w:instrText xml:space="preserve"> </w:instrText>
      </w:r>
      <w:r>
        <w:rPr>
          <w:rStyle w:val="18"/>
          <w:lang/>
        </w:rPr>
        <w:fldChar w:fldCharType="separate"/>
      </w:r>
      <w:r>
        <w:rPr>
          <w:rStyle w:val="18"/>
          <w:b/>
          <w:bCs/>
          <w:lang/>
        </w:rPr>
        <w:t xml:space="preserve">2.2 </w:t>
      </w:r>
      <w:r>
        <w:rPr>
          <w:rStyle w:val="18"/>
          <w:rFonts w:hint="eastAsia"/>
          <w:b/>
          <w:bCs/>
          <w:lang/>
        </w:rPr>
        <w:t>基金产品说明</w:t>
      </w:r>
      <w:r>
        <w:rPr>
          <w:lang/>
        </w:rPr>
        <w:tab/>
      </w:r>
      <w:r>
        <w:rPr>
          <w:lang/>
        </w:rPr>
        <w:fldChar w:fldCharType="begin"/>
      </w:r>
      <w:r>
        <w:rPr>
          <w:lang/>
        </w:rPr>
        <w:instrText xml:space="preserve"> PAGEREF _Toc4612746 \h </w:instrText>
      </w:r>
      <w:r>
        <w:rPr>
          <w:lang/>
        </w:rPr>
        <w:fldChar w:fldCharType="separate"/>
      </w:r>
      <w:r>
        <w:rPr>
          <w:lang/>
        </w:rPr>
        <w:t>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"_Toc4612747"</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_Toc4612747 \h </w:instrText>
      </w:r>
      <w:r>
        <w:rPr>
          <w:lang/>
        </w:rPr>
        <w:fldChar w:fldCharType="separate"/>
      </w:r>
      <w:r>
        <w:rPr>
          <w:lang/>
        </w:rPr>
        <w:t>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"_Toc4612748"</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_Toc4612748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"_Toc4612749"</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_Toc4612749 \h </w:instrText>
      </w:r>
      <w:r>
        <w:rPr>
          <w:lang/>
        </w:rPr>
        <w:fldChar w:fldCharType="separate"/>
      </w:r>
      <w:r>
        <w:rPr>
          <w:lang/>
        </w:rPr>
        <w:t>10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"_Toc4612750"</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_Toc4612750 \h </w:instrText>
      </w:r>
      <w:r>
        <w:rPr>
          <w:lang/>
        </w:rPr>
        <w:fldChar w:fldCharType="separate"/>
      </w:r>
      <w:r>
        <w:rPr>
          <w:lang/>
        </w:rPr>
        <w:t>13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"_Toc4612751"</w:instrText>
      </w:r>
      <w:r>
        <w:rPr>
          <w:rStyle w:val="18"/>
          <w:lang/>
        </w:rPr>
        <w:instrText xml:space="preserve"> </w:instrText>
      </w:r>
      <w:r>
        <w:rPr>
          <w:rStyle w:val="18"/>
          <w:lang/>
        </w:rPr>
        <w:fldChar w:fldCharType="separate"/>
      </w:r>
      <w:r>
        <w:rPr>
          <w:rStyle w:val="18"/>
          <w:b/>
          <w:lang/>
        </w:rPr>
        <w:t xml:space="preserve">§3  </w:t>
      </w:r>
      <w:r>
        <w:rPr>
          <w:rStyle w:val="18"/>
          <w:rFonts w:hint="eastAsia"/>
          <w:b/>
          <w:lang/>
        </w:rPr>
        <w:t>主要财务指标、基金净值表现及利润分配情况（转型前）</w:t>
      </w:r>
      <w:r>
        <w:rPr>
          <w:lang/>
        </w:rPr>
        <w:tab/>
      </w:r>
      <w:r>
        <w:rPr>
          <w:lang/>
        </w:rPr>
        <w:fldChar w:fldCharType="begin"/>
      </w:r>
      <w:r>
        <w:rPr>
          <w:lang/>
        </w:rPr>
        <w:instrText xml:space="preserve"> PAGEREF _Toc4612751 \h </w:instrText>
      </w:r>
      <w:r>
        <w:rPr>
          <w:lang/>
        </w:rPr>
        <w:fldChar w:fldCharType="separate"/>
      </w:r>
      <w:r>
        <w:rPr>
          <w:lang/>
        </w:rPr>
        <w:t>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"_Toc4612752"</w:instrText>
      </w:r>
      <w:r>
        <w:rPr>
          <w:rStyle w:val="18"/>
          <w:lang/>
        </w:rPr>
        <w:instrText xml:space="preserve"> </w:instrText>
      </w:r>
      <w:r>
        <w:rPr>
          <w:rStyle w:val="18"/>
          <w:lang/>
        </w:rPr>
        <w:fldChar w:fldCharType="separate"/>
      </w:r>
      <w:r>
        <w:rPr>
          <w:rStyle w:val="18"/>
          <w:b/>
          <w:bCs/>
          <w:lang/>
        </w:rPr>
        <w:t xml:space="preserve">3.1 </w:t>
      </w:r>
      <w:r>
        <w:rPr>
          <w:rStyle w:val="18"/>
          <w:rFonts w:hint="eastAsia"/>
          <w:b/>
          <w:bCs/>
          <w:lang/>
        </w:rPr>
        <w:t>主要会计数据和财务指标</w:t>
      </w:r>
      <w:r>
        <w:rPr>
          <w:lang/>
        </w:rPr>
        <w:tab/>
      </w:r>
      <w:r>
        <w:rPr>
          <w:lang/>
        </w:rPr>
        <w:fldChar w:fldCharType="begin"/>
      </w:r>
      <w:r>
        <w:rPr>
          <w:lang/>
        </w:rPr>
        <w:instrText xml:space="preserve"> PAGEREF _Toc4612752 \h </w:instrText>
      </w:r>
      <w:r>
        <w:rPr>
          <w:lang/>
        </w:rPr>
        <w:fldChar w:fldCharType="separate"/>
      </w:r>
      <w:r>
        <w:rPr>
          <w:lang/>
        </w:rPr>
        <w:t>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"_Toc4612753"</w:instrText>
      </w:r>
      <w:r>
        <w:rPr>
          <w:rStyle w:val="18"/>
          <w:lang/>
        </w:rPr>
        <w:instrText xml:space="preserve"> </w:instrText>
      </w:r>
      <w:r>
        <w:rPr>
          <w:rStyle w:val="18"/>
          <w:lang/>
        </w:rPr>
        <w:fldChar w:fldCharType="separate"/>
      </w:r>
      <w:r>
        <w:rPr>
          <w:rStyle w:val="18"/>
          <w:b/>
          <w:bCs/>
          <w:lang/>
        </w:rPr>
        <w:t xml:space="preserve">3.2 </w:t>
      </w:r>
      <w:r>
        <w:rPr>
          <w:rStyle w:val="18"/>
          <w:rFonts w:hint="eastAsia"/>
          <w:b/>
          <w:bCs/>
          <w:lang/>
        </w:rPr>
        <w:t>基金净值表现</w:t>
      </w:r>
      <w:r>
        <w:rPr>
          <w:lang/>
        </w:rPr>
        <w:tab/>
      </w:r>
      <w:r>
        <w:rPr>
          <w:lang/>
        </w:rPr>
        <w:fldChar w:fldCharType="begin"/>
      </w:r>
      <w:r>
        <w:rPr>
          <w:lang/>
        </w:rPr>
        <w:instrText xml:space="preserve"> PAGEREF _Toc4612753 \h </w:instrText>
      </w:r>
      <w:r>
        <w:rPr>
          <w:lang/>
        </w:rPr>
        <w:fldChar w:fldCharType="separate"/>
      </w:r>
      <w:r>
        <w:rPr>
          <w:lang/>
        </w:rPr>
        <w:t>15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"_Toc4612754"</w:instrText>
      </w:r>
      <w:r>
        <w:rPr>
          <w:rStyle w:val="18"/>
          <w:lang/>
        </w:rPr>
        <w:instrText xml:space="preserve"> </w:instrText>
      </w:r>
      <w:r>
        <w:rPr>
          <w:rStyle w:val="18"/>
          <w:lang/>
        </w:rPr>
        <w:fldChar w:fldCharType="separate"/>
      </w:r>
      <w:r>
        <w:rPr>
          <w:rStyle w:val="18"/>
          <w:b/>
          <w:lang/>
        </w:rPr>
        <w:t xml:space="preserve">3.3 </w:t>
      </w:r>
      <w:r>
        <w:rPr>
          <w:rStyle w:val="18"/>
          <w:rFonts w:hint="eastAsia"/>
          <w:b/>
          <w:lang/>
        </w:rPr>
        <w:t>过去三年基金的利润分配情况</w:t>
      </w:r>
      <w:r>
        <w:rPr>
          <w:lang/>
        </w:rPr>
        <w:tab/>
      </w:r>
      <w:r>
        <w:rPr>
          <w:lang/>
        </w:rPr>
        <w:fldChar w:fldCharType="begin"/>
      </w:r>
      <w:r>
        <w:rPr>
          <w:lang/>
        </w:rPr>
        <w:instrText xml:space="preserve"> PAGEREF _Toc4612754 \h </w:instrText>
      </w:r>
      <w:r>
        <w:rPr>
          <w:lang/>
        </w:rPr>
        <w:fldChar w:fldCharType="separate"/>
      </w:r>
      <w:r>
        <w:rPr>
          <w:lang/>
        </w:rPr>
        <w:t>18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"_Toc4612755"</w:instrText>
      </w:r>
      <w:r>
        <w:rPr>
          <w:rStyle w:val="18"/>
          <w:lang/>
        </w:rPr>
        <w:instrText xml:space="preserve"> </w:instrText>
      </w:r>
      <w:r>
        <w:rPr>
          <w:rStyle w:val="18"/>
          <w:lang/>
        </w:rPr>
        <w:fldChar w:fldCharType="separate"/>
      </w:r>
      <w:r>
        <w:rPr>
          <w:rStyle w:val="18"/>
          <w:b/>
          <w:lang/>
        </w:rPr>
        <w:t xml:space="preserve">§4  </w:t>
      </w:r>
      <w:r>
        <w:rPr>
          <w:rStyle w:val="18"/>
          <w:rFonts w:hint="eastAsia"/>
          <w:b/>
          <w:lang/>
        </w:rPr>
        <w:t>管理人报告</w:t>
      </w:r>
      <w:r>
        <w:rPr>
          <w:lang/>
        </w:rPr>
        <w:tab/>
      </w:r>
      <w:r>
        <w:rPr>
          <w:lang/>
        </w:rPr>
        <w:fldChar w:fldCharType="begin"/>
      </w:r>
      <w:r>
        <w:rPr>
          <w:lang/>
        </w:rPr>
        <w:instrText xml:space="preserve"> PAGEREF _Toc4612755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"_Toc4612756"</w:instrText>
      </w:r>
      <w:r>
        <w:rPr>
          <w:rStyle w:val="18"/>
          <w:lang/>
        </w:rPr>
        <w:instrText xml:space="preserve"> </w:instrText>
      </w:r>
      <w:r>
        <w:rPr>
          <w:rStyle w:val="18"/>
          <w:lang/>
        </w:rPr>
        <w:fldChar w:fldCharType="separate"/>
      </w:r>
      <w:r>
        <w:rPr>
          <w:rStyle w:val="18"/>
          <w:b/>
          <w:bCs/>
          <w:lang/>
        </w:rPr>
        <w:t xml:space="preserve">4.1 </w:t>
      </w:r>
      <w:r>
        <w:rPr>
          <w:rStyle w:val="18"/>
          <w:rFonts w:hint="eastAsia"/>
          <w:b/>
          <w:bCs/>
          <w:lang/>
        </w:rPr>
        <w:t>基金管理人及基金经理情况</w:t>
      </w:r>
      <w:r>
        <w:rPr>
          <w:lang/>
        </w:rPr>
        <w:tab/>
      </w:r>
      <w:r>
        <w:rPr>
          <w:lang/>
        </w:rPr>
        <w:fldChar w:fldCharType="begin"/>
      </w:r>
      <w:r>
        <w:rPr>
          <w:lang/>
        </w:rPr>
        <w:instrText xml:space="preserve"> PAGEREF _Toc4612756 \h </w:instrText>
      </w:r>
      <w:r>
        <w:rPr>
          <w:lang/>
        </w:rPr>
        <w:fldChar w:fldCharType="separate"/>
      </w:r>
      <w:r>
        <w:rPr>
          <w:lang/>
        </w:rPr>
        <w:t>18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"_Toc4612757"</w:instrText>
      </w:r>
      <w:r>
        <w:rPr>
          <w:rStyle w:val="18"/>
          <w:lang/>
        </w:rPr>
        <w:instrText xml:space="preserve"> </w:instrText>
      </w:r>
      <w:r>
        <w:rPr>
          <w:rStyle w:val="18"/>
          <w:lang/>
        </w:rPr>
        <w:fldChar w:fldCharType="separate"/>
      </w:r>
      <w:r>
        <w:rPr>
          <w:rStyle w:val="18"/>
          <w:b/>
          <w:lang/>
        </w:rPr>
        <w:t xml:space="preserve">4.2 </w:t>
      </w:r>
      <w:r>
        <w:rPr>
          <w:rStyle w:val="18"/>
          <w:rFonts w:hint="eastAsia"/>
          <w:b/>
          <w:lang/>
        </w:rPr>
        <w:t>管理人对报告期内本基金运作遵规守信情况的说明</w:t>
      </w:r>
      <w:r>
        <w:rPr>
          <w:lang/>
        </w:rPr>
        <w:tab/>
      </w:r>
      <w:r>
        <w:rPr>
          <w:lang/>
        </w:rPr>
        <w:fldChar w:fldCharType="begin"/>
      </w:r>
      <w:r>
        <w:rPr>
          <w:lang/>
        </w:rPr>
        <w:instrText xml:space="preserve"> PAGEREF _Toc4612757 \h </w:instrText>
      </w:r>
      <w:r>
        <w:rPr>
          <w:lang/>
        </w:rPr>
        <w:fldChar w:fldCharType="separate"/>
      </w:r>
      <w:r>
        <w:rPr>
          <w:lang/>
        </w:rPr>
        <w:t>19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"_Toc4612758"</w:instrText>
      </w:r>
      <w:r>
        <w:rPr>
          <w:rStyle w:val="18"/>
          <w:lang/>
        </w:rPr>
        <w:instrText xml:space="preserve"> </w:instrText>
      </w:r>
      <w:r>
        <w:rPr>
          <w:rStyle w:val="18"/>
          <w:lang/>
        </w:rPr>
        <w:fldChar w:fldCharType="separate"/>
      </w:r>
      <w:r>
        <w:rPr>
          <w:rStyle w:val="18"/>
          <w:b/>
          <w:lang/>
        </w:rPr>
        <w:t xml:space="preserve">4.3 </w:t>
      </w:r>
      <w:r>
        <w:rPr>
          <w:rStyle w:val="18"/>
          <w:rFonts w:hint="eastAsia"/>
          <w:b/>
          <w:lang/>
        </w:rPr>
        <w:t>管理人对报告期内公平交易情况的专项说明</w:t>
      </w:r>
      <w:r>
        <w:rPr>
          <w:lang/>
        </w:rPr>
        <w:tab/>
      </w:r>
      <w:r>
        <w:rPr>
          <w:lang/>
        </w:rPr>
        <w:fldChar w:fldCharType="begin"/>
      </w:r>
      <w:r>
        <w:rPr>
          <w:lang/>
        </w:rPr>
        <w:instrText xml:space="preserve"> PAGEREF _Toc4612758 \h </w:instrText>
      </w:r>
      <w:r>
        <w:rPr>
          <w:lang/>
        </w:rPr>
        <w:fldChar w:fldCharType="separate"/>
      </w:r>
      <w:r>
        <w:rPr>
          <w:lang/>
        </w:rPr>
        <w:t>20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"_Toc4612759"</w:instrText>
      </w:r>
      <w:r>
        <w:rPr>
          <w:rStyle w:val="18"/>
          <w:lang/>
        </w:rPr>
        <w:instrText xml:space="preserve"> </w:instrText>
      </w:r>
      <w:r>
        <w:rPr>
          <w:rStyle w:val="18"/>
          <w:lang/>
        </w:rPr>
        <w:fldChar w:fldCharType="separate"/>
      </w:r>
      <w:r>
        <w:rPr>
          <w:rStyle w:val="18"/>
          <w:b/>
          <w:lang/>
        </w:rPr>
        <w:t xml:space="preserve">4.4 </w:t>
      </w:r>
      <w:r>
        <w:rPr>
          <w:rStyle w:val="18"/>
          <w:rFonts w:hint="eastAsia"/>
          <w:b/>
          <w:lang/>
        </w:rPr>
        <w:t>管理人对报告期内基金的投资策略和业绩表现的说明</w:t>
      </w:r>
      <w:r>
        <w:rPr>
          <w:lang/>
        </w:rPr>
        <w:tab/>
      </w:r>
      <w:r>
        <w:rPr>
          <w:lang/>
        </w:rPr>
        <w:fldChar w:fldCharType="begin"/>
      </w:r>
      <w:r>
        <w:rPr>
          <w:lang/>
        </w:rPr>
        <w:instrText xml:space="preserve"> PAGEREF _Toc4612759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"_Toc4612760"</w:instrText>
      </w:r>
      <w:r>
        <w:rPr>
          <w:rStyle w:val="18"/>
          <w:lang/>
        </w:rPr>
        <w:instrText xml:space="preserve"> </w:instrText>
      </w:r>
      <w:r>
        <w:rPr>
          <w:rStyle w:val="18"/>
          <w:lang/>
        </w:rPr>
        <w:fldChar w:fldCharType="separate"/>
      </w:r>
      <w:r>
        <w:rPr>
          <w:rStyle w:val="18"/>
          <w:b/>
          <w:lang/>
        </w:rPr>
        <w:t xml:space="preserve">4.5 </w:t>
      </w:r>
      <w:r>
        <w:rPr>
          <w:rStyle w:val="18"/>
          <w:rFonts w:hint="eastAsia"/>
          <w:b/>
          <w:lang/>
        </w:rPr>
        <w:t>管理人对宏观经济、证券市场及行业走势的简要展望</w:t>
      </w:r>
      <w:r>
        <w:rPr>
          <w:lang/>
        </w:rPr>
        <w:tab/>
      </w:r>
      <w:r>
        <w:rPr>
          <w:lang/>
        </w:rPr>
        <w:fldChar w:fldCharType="begin"/>
      </w:r>
      <w:r>
        <w:rPr>
          <w:lang/>
        </w:rPr>
        <w:instrText xml:space="preserve"> PAGEREF _Toc4612760 \h </w:instrText>
      </w:r>
      <w:r>
        <w:rPr>
          <w:lang/>
        </w:rPr>
        <w:fldChar w:fldCharType="separate"/>
      </w:r>
      <w:r>
        <w:rPr>
          <w:lang/>
        </w:rPr>
        <w:t>21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"_Toc4612761"</w:instrText>
      </w:r>
      <w:r>
        <w:rPr>
          <w:rStyle w:val="18"/>
          <w:lang/>
        </w:rPr>
        <w:instrText xml:space="preserve"> </w:instrText>
      </w:r>
      <w:r>
        <w:rPr>
          <w:rStyle w:val="18"/>
          <w:lang/>
        </w:rPr>
        <w:fldChar w:fldCharType="separate"/>
      </w:r>
      <w:r>
        <w:rPr>
          <w:rStyle w:val="18"/>
          <w:b/>
          <w:lang/>
        </w:rPr>
        <w:t xml:space="preserve">4.6 </w:t>
      </w:r>
      <w:r>
        <w:rPr>
          <w:rStyle w:val="18"/>
          <w:rFonts w:hint="eastAsia"/>
          <w:b/>
          <w:lang/>
        </w:rPr>
        <w:t>管理人内部有关本基金的监察稽核工作情况</w:t>
      </w:r>
      <w:r>
        <w:rPr>
          <w:lang/>
        </w:rPr>
        <w:tab/>
      </w:r>
      <w:r>
        <w:rPr>
          <w:lang/>
        </w:rPr>
        <w:fldChar w:fldCharType="begin"/>
      </w:r>
      <w:r>
        <w:rPr>
          <w:lang/>
        </w:rPr>
        <w:instrText xml:space="preserve"> PAGEREF _Toc4612761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"_Toc4612762"</w:instrText>
      </w:r>
      <w:r>
        <w:rPr>
          <w:rStyle w:val="18"/>
          <w:lang/>
        </w:rPr>
        <w:instrText xml:space="preserve"> </w:instrText>
      </w:r>
      <w:r>
        <w:rPr>
          <w:rStyle w:val="18"/>
          <w:lang/>
        </w:rPr>
        <w:fldChar w:fldCharType="separate"/>
      </w:r>
      <w:r>
        <w:rPr>
          <w:rStyle w:val="18"/>
          <w:b/>
          <w:lang/>
        </w:rPr>
        <w:t xml:space="preserve">4.7 </w:t>
      </w:r>
      <w:r>
        <w:rPr>
          <w:rStyle w:val="18"/>
          <w:rFonts w:hint="eastAsia"/>
          <w:b/>
          <w:lang/>
        </w:rPr>
        <w:t>管理人对报告期内基金估值程序等事项的说明</w:t>
      </w:r>
      <w:r>
        <w:rPr>
          <w:lang/>
        </w:rPr>
        <w:tab/>
      </w:r>
      <w:r>
        <w:rPr>
          <w:lang/>
        </w:rPr>
        <w:fldChar w:fldCharType="begin"/>
      </w:r>
      <w:r>
        <w:rPr>
          <w:lang/>
        </w:rPr>
        <w:instrText xml:space="preserve"> PAGEREF _Toc4612762 \h </w:instrText>
      </w:r>
      <w:r>
        <w:rPr>
          <w:lang/>
        </w:rPr>
        <w:fldChar w:fldCharType="separate"/>
      </w:r>
      <w:r>
        <w:rPr>
          <w:lang/>
        </w:rPr>
        <w:t>22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"_Toc4612763"</w:instrText>
      </w:r>
      <w:r>
        <w:rPr>
          <w:rStyle w:val="18"/>
          <w:lang/>
        </w:rPr>
        <w:instrText xml:space="preserve"> </w:instrText>
      </w:r>
      <w:r>
        <w:rPr>
          <w:rStyle w:val="18"/>
          <w:lang/>
        </w:rPr>
        <w:fldChar w:fldCharType="separate"/>
      </w:r>
      <w:r>
        <w:rPr>
          <w:rStyle w:val="18"/>
          <w:b/>
          <w:bCs/>
          <w:lang/>
        </w:rPr>
        <w:t xml:space="preserve">4.8 </w:t>
      </w:r>
      <w:r>
        <w:rPr>
          <w:rStyle w:val="18"/>
          <w:rFonts w:hint="eastAsia"/>
          <w:b/>
          <w:bCs/>
          <w:lang/>
        </w:rPr>
        <w:t>管理人对报告期内基金利润分配情况的说明</w:t>
      </w:r>
      <w:r>
        <w:rPr>
          <w:lang/>
        </w:rPr>
        <w:tab/>
      </w:r>
      <w:r>
        <w:rPr>
          <w:lang/>
        </w:rPr>
        <w:fldChar w:fldCharType="begin"/>
      </w:r>
      <w:r>
        <w:rPr>
          <w:lang/>
        </w:rPr>
        <w:instrText xml:space="preserve"> PAGEREF _Toc4612763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"_Toc4612764"</w:instrText>
      </w:r>
      <w:r>
        <w:rPr>
          <w:rStyle w:val="18"/>
          <w:lang/>
        </w:rPr>
        <w:instrText xml:space="preserve"> </w:instrText>
      </w:r>
      <w:r>
        <w:rPr>
          <w:rStyle w:val="18"/>
          <w:lang/>
        </w:rPr>
        <w:fldChar w:fldCharType="separate"/>
      </w:r>
      <w:r>
        <w:rPr>
          <w:rStyle w:val="18"/>
          <w:b/>
          <w:bCs/>
          <w:lang/>
        </w:rPr>
        <w:t xml:space="preserve">4.9 </w:t>
      </w:r>
      <w:r>
        <w:rPr>
          <w:rStyle w:val="18"/>
          <w:rFonts w:hint="eastAsia"/>
          <w:b/>
          <w:bCs/>
          <w:lang/>
        </w:rPr>
        <w:t>报告期内管理人对本基金持有人数或基金资产净值预警情形的说明</w:t>
      </w:r>
      <w:r>
        <w:rPr>
          <w:lang/>
        </w:rPr>
        <w:tab/>
      </w:r>
      <w:r>
        <w:rPr>
          <w:lang/>
        </w:rPr>
        <w:fldChar w:fldCharType="begin"/>
      </w:r>
      <w:r>
        <w:rPr>
          <w:lang/>
        </w:rPr>
        <w:instrText xml:space="preserve"> PAGEREF _Toc4612764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"_Toc4612765"</w:instrText>
      </w:r>
      <w:r>
        <w:rPr>
          <w:rStyle w:val="18"/>
          <w:lang/>
        </w:rPr>
        <w:instrText xml:space="preserve"> </w:instrText>
      </w:r>
      <w:r>
        <w:rPr>
          <w:rStyle w:val="18"/>
          <w:lang/>
        </w:rPr>
        <w:fldChar w:fldCharType="separate"/>
      </w:r>
      <w:r>
        <w:rPr>
          <w:rStyle w:val="18"/>
          <w:b/>
          <w:lang/>
        </w:rPr>
        <w:t xml:space="preserve">§5  </w:t>
      </w:r>
      <w:r>
        <w:rPr>
          <w:rStyle w:val="18"/>
          <w:rFonts w:hint="eastAsia"/>
          <w:b/>
          <w:lang/>
        </w:rPr>
        <w:t>托管人报告</w:t>
      </w:r>
      <w:r>
        <w:rPr>
          <w:lang/>
        </w:rPr>
        <w:tab/>
      </w:r>
      <w:r>
        <w:rPr>
          <w:lang/>
        </w:rPr>
        <w:fldChar w:fldCharType="begin"/>
      </w:r>
      <w:r>
        <w:rPr>
          <w:lang/>
        </w:rPr>
        <w:instrText xml:space="preserve"> PAGEREF _Toc4612765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"_Toc4612766"</w:instrText>
      </w:r>
      <w:r>
        <w:rPr>
          <w:rStyle w:val="18"/>
          <w:lang/>
        </w:rPr>
        <w:instrText xml:space="preserve"> </w:instrText>
      </w:r>
      <w:r>
        <w:rPr>
          <w:rStyle w:val="18"/>
          <w:lang/>
        </w:rPr>
        <w:fldChar w:fldCharType="separate"/>
      </w:r>
      <w:r>
        <w:rPr>
          <w:rStyle w:val="18"/>
          <w:b/>
          <w:bCs/>
          <w:lang/>
        </w:rPr>
        <w:t xml:space="preserve">5.1 </w:t>
      </w:r>
      <w:r>
        <w:rPr>
          <w:rStyle w:val="18"/>
          <w:rFonts w:hint="eastAsia"/>
          <w:b/>
          <w:bCs/>
          <w:lang/>
        </w:rPr>
        <w:t>报告期内本基金托管人遵规守信情况声明</w:t>
      </w:r>
      <w:r>
        <w:rPr>
          <w:lang/>
        </w:rPr>
        <w:tab/>
      </w:r>
      <w:r>
        <w:rPr>
          <w:lang/>
        </w:rPr>
        <w:fldChar w:fldCharType="begin"/>
      </w:r>
      <w:r>
        <w:rPr>
          <w:lang/>
        </w:rPr>
        <w:instrText xml:space="preserve"> PAGEREF _Toc4612766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"_Toc4612767"</w:instrText>
      </w:r>
      <w:r>
        <w:rPr>
          <w:rStyle w:val="18"/>
          <w:lang/>
        </w:rPr>
        <w:instrText xml:space="preserve"> </w:instrText>
      </w:r>
      <w:r>
        <w:rPr>
          <w:rStyle w:val="18"/>
          <w:lang/>
        </w:rPr>
        <w:fldChar w:fldCharType="separate"/>
      </w:r>
      <w:r>
        <w:rPr>
          <w:rStyle w:val="18"/>
          <w:b/>
          <w:bCs/>
          <w:lang/>
        </w:rPr>
        <w:t xml:space="preserve">5.2 </w:t>
      </w:r>
      <w:r>
        <w:rPr>
          <w:rStyle w:val="18"/>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_Toc4612767 \h </w:instrText>
      </w:r>
      <w:r>
        <w:rPr>
          <w:lang/>
        </w:rPr>
        <w:fldChar w:fldCharType="separate"/>
      </w:r>
      <w:r>
        <w:rPr>
          <w:lang/>
        </w:rPr>
        <w:t>23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"_Toc4612768"</w:instrText>
      </w:r>
      <w:r>
        <w:rPr>
          <w:rStyle w:val="18"/>
          <w:lang/>
        </w:rPr>
        <w:instrText xml:space="preserve"> </w:instrText>
      </w:r>
      <w:r>
        <w:rPr>
          <w:rStyle w:val="18"/>
          <w:lang/>
        </w:rPr>
        <w:fldChar w:fldCharType="separate"/>
      </w:r>
      <w:r>
        <w:rPr>
          <w:rStyle w:val="18"/>
          <w:b/>
          <w:bCs/>
          <w:lang/>
        </w:rPr>
        <w:t xml:space="preserve">5.3 </w:t>
      </w:r>
      <w:r>
        <w:rPr>
          <w:rStyle w:val="18"/>
          <w:rFonts w:hint="eastAsia"/>
          <w:b/>
          <w:bCs/>
          <w:lang/>
        </w:rPr>
        <w:t>托管人对本年度报告中财务信息等内容的真实、准确和完整发表意见</w:t>
      </w:r>
      <w:r>
        <w:rPr>
          <w:lang/>
        </w:rPr>
        <w:tab/>
      </w:r>
      <w:r>
        <w:rPr>
          <w:lang/>
        </w:rPr>
        <w:fldChar w:fldCharType="begin"/>
      </w:r>
      <w:r>
        <w:rPr>
          <w:lang/>
        </w:rPr>
        <w:instrText xml:space="preserve"> PAGEREF _Toc4612768 \h </w:instrText>
      </w:r>
      <w:r>
        <w:rPr>
          <w:lang/>
        </w:rPr>
        <w:fldChar w:fldCharType="separate"/>
      </w:r>
      <w:r>
        <w:rPr>
          <w:lang/>
        </w:rPr>
        <w:t>23</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"_Toc4612769"</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_Toc4612769 \h </w:instrText>
      </w:r>
      <w:r>
        <w:rPr>
          <w:lang/>
        </w:rPr>
        <w:fldChar w:fldCharType="separate"/>
      </w:r>
      <w:r>
        <w:rPr>
          <w:lang/>
        </w:rPr>
        <w:t>24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"_Toc4612770"</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_Toc4612770 \h </w:instrText>
      </w:r>
      <w:r>
        <w:rPr>
          <w:lang/>
        </w:rPr>
        <w:fldChar w:fldCharType="separate"/>
      </w:r>
      <w:r>
        <w:rPr>
          <w:lang/>
        </w:rPr>
        <w:t>24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"_Toc4612771"</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_Toc4612771 \h </w:instrText>
      </w:r>
      <w:r>
        <w:rPr>
          <w:lang/>
        </w:rPr>
        <w:fldChar w:fldCharType="separate"/>
      </w:r>
      <w:r>
        <w:rPr>
          <w:lang/>
        </w:rPr>
        <w:t>24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"_Toc4612772"</w:instrText>
      </w:r>
      <w:r>
        <w:rPr>
          <w:rStyle w:val="18"/>
          <w:lang/>
        </w:rPr>
        <w:instrText xml:space="preserve"> </w:instrText>
      </w:r>
      <w:r>
        <w:rPr>
          <w:rStyle w:val="18"/>
          <w:lang/>
        </w:rPr>
        <w:fldChar w:fldCharType="separate"/>
      </w:r>
      <w:r>
        <w:rPr>
          <w:rStyle w:val="18"/>
          <w:b/>
          <w:lang/>
        </w:rPr>
        <w:t xml:space="preserve">§6  </w:t>
      </w:r>
      <w:r>
        <w:rPr>
          <w:rStyle w:val="18"/>
          <w:rFonts w:hint="eastAsia"/>
          <w:b/>
          <w:lang/>
        </w:rPr>
        <w:t>审计报告</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_Toc4612772 \h </w:instrText>
      </w:r>
      <w:r>
        <w:rPr>
          <w:lang/>
        </w:rPr>
        <w:fldChar w:fldCharType="separate"/>
      </w:r>
      <w:r>
        <w:rPr>
          <w:lang/>
        </w:rPr>
        <w:t>27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"_Toc4612773"</w:instrText>
      </w:r>
      <w:r>
        <w:rPr>
          <w:rStyle w:val="18"/>
          <w:lang/>
        </w:rPr>
        <w:instrText xml:space="preserve"> </w:instrText>
      </w:r>
      <w:r>
        <w:rPr>
          <w:rStyle w:val="18"/>
          <w:lang/>
        </w:rPr>
        <w:fldChar w:fldCharType="separate"/>
      </w:r>
      <w:r>
        <w:rPr>
          <w:rStyle w:val="18"/>
          <w:b/>
          <w:bCs/>
          <w:lang/>
        </w:rPr>
        <w:t xml:space="preserve">6.1 </w:t>
      </w:r>
      <w:r>
        <w:rPr>
          <w:rStyle w:val="18"/>
          <w:rFonts w:hint="eastAsia"/>
          <w:b/>
          <w:bCs/>
          <w:lang/>
        </w:rPr>
        <w:t>审计报告基本信息</w:t>
      </w:r>
      <w:r>
        <w:rPr>
          <w:lang/>
        </w:rPr>
        <w:tab/>
      </w:r>
      <w:r>
        <w:rPr>
          <w:lang/>
        </w:rPr>
        <w:fldChar w:fldCharType="begin"/>
      </w:r>
      <w:r>
        <w:rPr>
          <w:lang/>
        </w:rPr>
        <w:instrText xml:space="preserve"> PAGEREF _Toc4612773 \h </w:instrText>
      </w:r>
      <w:r>
        <w:rPr>
          <w:lang/>
        </w:rPr>
        <w:fldChar w:fldCharType="separate"/>
      </w:r>
      <w:r>
        <w:rPr>
          <w:lang/>
        </w:rPr>
        <w:t>27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"_Toc4612774"</w:instrText>
      </w:r>
      <w:r>
        <w:rPr>
          <w:rStyle w:val="18"/>
          <w:lang/>
        </w:rPr>
        <w:instrText xml:space="preserve"> </w:instrText>
      </w:r>
      <w:r>
        <w:rPr>
          <w:rStyle w:val="18"/>
          <w:lang/>
        </w:rPr>
        <w:fldChar w:fldCharType="separate"/>
      </w:r>
      <w:r>
        <w:rPr>
          <w:rStyle w:val="18"/>
          <w:b/>
          <w:bCs/>
          <w:lang/>
        </w:rPr>
        <w:t xml:space="preserve">6.2 </w:t>
      </w:r>
      <w:r>
        <w:rPr>
          <w:rStyle w:val="18"/>
          <w:rFonts w:hint="eastAsia"/>
          <w:b/>
          <w:bCs/>
          <w:lang/>
        </w:rPr>
        <w:t>审计报告的基本内容</w:t>
      </w:r>
      <w:r>
        <w:rPr>
          <w:lang/>
        </w:rPr>
        <w:tab/>
      </w:r>
      <w:r>
        <w:rPr>
          <w:lang/>
        </w:rPr>
        <w:fldChar w:fldCharType="begin"/>
      </w:r>
      <w:r>
        <w:rPr>
          <w:lang/>
        </w:rPr>
        <w:instrText xml:space="preserve"> PAGEREF _Toc4612774 \h </w:instrText>
      </w:r>
      <w:r>
        <w:rPr>
          <w:lang/>
        </w:rPr>
        <w:fldChar w:fldCharType="separate"/>
      </w:r>
      <w:r>
        <w:rPr>
          <w:lang/>
        </w:rPr>
        <w:t>27</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"_Toc4612775"</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_Toc4612775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"_Toc4612776"</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_Toc4612776 \h </w:instrText>
      </w:r>
      <w:r>
        <w:rPr>
          <w:lang/>
        </w:rPr>
        <w:fldChar w:fldCharType="separate"/>
      </w:r>
      <w:r>
        <w:rPr>
          <w:lang/>
        </w:rPr>
        <w:t>29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"_Toc4612777"</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_Toc4612777 \h </w:instrText>
      </w:r>
      <w:r>
        <w:rPr>
          <w:lang/>
        </w:rPr>
        <w:fldChar w:fldCharType="separate"/>
      </w:r>
      <w:r>
        <w:rPr>
          <w:lang/>
        </w:rPr>
        <w:t>31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"_Toc4612778"</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_Toc4612778 \h </w:instrText>
      </w:r>
      <w:r>
        <w:rPr>
          <w:lang/>
        </w:rPr>
        <w:fldChar w:fldCharType="separate"/>
      </w:r>
      <w:r>
        <w:rPr>
          <w:lang/>
        </w:rPr>
        <w:t>33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"_Toc4612779"</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_Toc4612779 \h </w:instrText>
      </w:r>
      <w:r>
        <w:rPr>
          <w:lang/>
        </w:rPr>
        <w:fldChar w:fldCharType="separate"/>
      </w:r>
      <w:r>
        <w:rPr>
          <w:lang/>
        </w:rPr>
        <w:t>34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"_Toc4612780"</w:instrText>
      </w:r>
      <w:r>
        <w:rPr>
          <w:rStyle w:val="18"/>
          <w:lang/>
        </w:rPr>
        <w:instrText xml:space="preserve"> </w:instrText>
      </w:r>
      <w:r>
        <w:rPr>
          <w:rStyle w:val="18"/>
          <w:lang/>
        </w:rPr>
        <w:fldChar w:fldCharType="separate"/>
      </w:r>
      <w:r>
        <w:rPr>
          <w:rStyle w:val="18"/>
          <w:b/>
          <w:lang/>
        </w:rPr>
        <w:t xml:space="preserve">§7  </w:t>
      </w:r>
      <w:r>
        <w:rPr>
          <w:rStyle w:val="18"/>
          <w:rFonts w:hint="eastAsia"/>
          <w:b/>
          <w:lang/>
        </w:rPr>
        <w:t>年度财务报表</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_Toc4612780 \h </w:instrText>
      </w:r>
      <w:r>
        <w:rPr>
          <w:lang/>
        </w:rPr>
        <w:fldChar w:fldCharType="separate"/>
      </w:r>
      <w:r>
        <w:rPr>
          <w:lang/>
        </w:rPr>
        <w:t>60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"_Toc4612781"</w:instrText>
      </w:r>
      <w:r>
        <w:rPr>
          <w:rStyle w:val="18"/>
          <w:lang/>
        </w:rPr>
        <w:instrText xml:space="preserve"> </w:instrText>
      </w:r>
      <w:r>
        <w:rPr>
          <w:rStyle w:val="18"/>
          <w:lang/>
        </w:rPr>
        <w:fldChar w:fldCharType="separate"/>
      </w:r>
      <w:r>
        <w:rPr>
          <w:rStyle w:val="18"/>
          <w:b/>
          <w:bCs/>
          <w:lang/>
        </w:rPr>
        <w:t xml:space="preserve">7.1 </w:t>
      </w:r>
      <w:r>
        <w:rPr>
          <w:rStyle w:val="18"/>
          <w:rFonts w:hint="eastAsia"/>
          <w:b/>
          <w:bCs/>
          <w:lang/>
        </w:rPr>
        <w:t>资产负债表</w:t>
      </w:r>
      <w:r>
        <w:rPr>
          <w:lang/>
        </w:rPr>
        <w:tab/>
      </w:r>
      <w:r>
        <w:rPr>
          <w:lang/>
        </w:rPr>
        <w:fldChar w:fldCharType="begin"/>
      </w:r>
      <w:r>
        <w:rPr>
          <w:lang/>
        </w:rPr>
        <w:instrText xml:space="preserve"> PAGEREF _Toc4612781 \h </w:instrText>
      </w:r>
      <w:r>
        <w:rPr>
          <w:lang/>
        </w:rPr>
        <w:fldChar w:fldCharType="separate"/>
      </w:r>
      <w:r>
        <w:rPr>
          <w:lang/>
        </w:rPr>
        <w:t>60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"_Toc4612782"</w:instrText>
      </w:r>
      <w:r>
        <w:rPr>
          <w:rStyle w:val="18"/>
          <w:lang/>
        </w:rPr>
        <w:instrText xml:space="preserve"> </w:instrText>
      </w:r>
      <w:r>
        <w:rPr>
          <w:rStyle w:val="18"/>
          <w:lang/>
        </w:rPr>
        <w:fldChar w:fldCharType="separate"/>
      </w:r>
      <w:r>
        <w:rPr>
          <w:rStyle w:val="18"/>
          <w:b/>
          <w:bCs/>
          <w:lang/>
        </w:rPr>
        <w:t xml:space="preserve">7.2 </w:t>
      </w:r>
      <w:r>
        <w:rPr>
          <w:rStyle w:val="18"/>
          <w:rFonts w:hint="eastAsia"/>
          <w:b/>
          <w:bCs/>
          <w:lang/>
        </w:rPr>
        <w:t>利润表</w:t>
      </w:r>
      <w:r>
        <w:rPr>
          <w:lang/>
        </w:rPr>
        <w:tab/>
      </w:r>
      <w:r>
        <w:rPr>
          <w:lang/>
        </w:rPr>
        <w:fldChar w:fldCharType="begin"/>
      </w:r>
      <w:r>
        <w:rPr>
          <w:lang/>
        </w:rPr>
        <w:instrText xml:space="preserve"> PAGEREF _Toc4612782 \h </w:instrText>
      </w:r>
      <w:r>
        <w:rPr>
          <w:lang/>
        </w:rPr>
        <w:fldChar w:fldCharType="separate"/>
      </w:r>
      <w:r>
        <w:rPr>
          <w:lang/>
        </w:rPr>
        <w:t>62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"_Toc4612783"</w:instrText>
      </w:r>
      <w:r>
        <w:rPr>
          <w:rStyle w:val="18"/>
          <w:lang/>
        </w:rPr>
        <w:instrText xml:space="preserve"> </w:instrText>
      </w:r>
      <w:r>
        <w:rPr>
          <w:rStyle w:val="18"/>
          <w:lang/>
        </w:rPr>
        <w:fldChar w:fldCharType="separate"/>
      </w:r>
      <w:r>
        <w:rPr>
          <w:rStyle w:val="18"/>
          <w:b/>
          <w:bCs/>
          <w:lang/>
        </w:rPr>
        <w:t xml:space="preserve">7.3 </w:t>
      </w:r>
      <w:r>
        <w:rPr>
          <w:rStyle w:val="18"/>
          <w:rFonts w:hint="eastAsia"/>
          <w:b/>
          <w:bCs/>
          <w:lang/>
        </w:rPr>
        <w:t>所有者权益（基金净值）变动表</w:t>
      </w:r>
      <w:r>
        <w:rPr>
          <w:lang/>
        </w:rPr>
        <w:tab/>
      </w:r>
      <w:r>
        <w:rPr>
          <w:lang/>
        </w:rPr>
        <w:fldChar w:fldCharType="begin"/>
      </w:r>
      <w:r>
        <w:rPr>
          <w:lang/>
        </w:rPr>
        <w:instrText xml:space="preserve"> PAGEREF _Toc4612783 \h </w:instrText>
      </w:r>
      <w:r>
        <w:rPr>
          <w:lang/>
        </w:rPr>
        <w:fldChar w:fldCharType="separate"/>
      </w:r>
      <w:r>
        <w:rPr>
          <w:lang/>
        </w:rPr>
        <w:t>64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"_Toc4612784"</w:instrText>
      </w:r>
      <w:r>
        <w:rPr>
          <w:rStyle w:val="18"/>
          <w:lang/>
        </w:rPr>
        <w:instrText xml:space="preserve"> </w:instrText>
      </w:r>
      <w:r>
        <w:rPr>
          <w:rStyle w:val="18"/>
          <w:lang/>
        </w:rPr>
        <w:fldChar w:fldCharType="separate"/>
      </w:r>
      <w:r>
        <w:rPr>
          <w:rStyle w:val="18"/>
          <w:b/>
          <w:bCs/>
          <w:lang/>
        </w:rPr>
        <w:t xml:space="preserve">7.4 </w:t>
      </w:r>
      <w:r>
        <w:rPr>
          <w:rStyle w:val="18"/>
          <w:rFonts w:hint="eastAsia"/>
          <w:b/>
          <w:bCs/>
          <w:lang/>
        </w:rPr>
        <w:t>报表附注</w:t>
      </w:r>
      <w:r>
        <w:rPr>
          <w:lang/>
        </w:rPr>
        <w:tab/>
      </w:r>
      <w:r>
        <w:rPr>
          <w:lang/>
        </w:rPr>
        <w:fldChar w:fldCharType="begin"/>
      </w:r>
      <w:r>
        <w:rPr>
          <w:lang/>
        </w:rPr>
        <w:instrText xml:space="preserve"> PAGEREF _Toc4612784 \h </w:instrText>
      </w:r>
      <w:r>
        <w:rPr>
          <w:lang/>
        </w:rPr>
        <w:fldChar w:fldCharType="separate"/>
      </w:r>
      <w:r>
        <w:rPr>
          <w:lang/>
        </w:rPr>
        <w:t>65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"_Toc4612785"</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_Toc4612785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"_Toc4612786"</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_Toc4612786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"_Toc4612787"</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_Toc4612787 \h </w:instrText>
      </w:r>
      <w:r>
        <w:rPr>
          <w:lang/>
        </w:rPr>
        <w:fldChar w:fldCharType="separate"/>
      </w:r>
      <w:r>
        <w:rPr>
          <w:lang/>
        </w:rPr>
        <w:t>93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"_Toc4612788"</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_Toc4612788 \h </w:instrText>
      </w:r>
      <w:r>
        <w:rPr>
          <w:lang/>
        </w:rPr>
        <w:fldChar w:fldCharType="separate"/>
      </w:r>
      <w:r>
        <w:rPr>
          <w:lang/>
        </w:rPr>
        <w:t>94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"_Toc4612789"</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_Toc4612789 \h </w:instrText>
      </w:r>
      <w:r>
        <w:rPr>
          <w:lang/>
        </w:rPr>
        <w:fldChar w:fldCharType="separate"/>
      </w:r>
      <w:r>
        <w:rPr>
          <w:lang/>
        </w:rPr>
        <w:t>95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"_Toc4612790"</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_Toc4612790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"_Toc4612791"</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_Toc4612791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"_Toc4612792"</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_Toc4612792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"_Toc4612793"</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_Toc4612793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"_Toc4612794"</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_Toc4612794 \h </w:instrText>
      </w:r>
      <w:r>
        <w:rPr>
          <w:lang/>
        </w:rPr>
        <w:fldChar w:fldCharType="separate"/>
      </w:r>
      <w:r>
        <w:rPr>
          <w:lang/>
        </w:rPr>
        <w:t>97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"_Toc4612795"</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_Toc4612795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"_Toc4612796"</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_Toc4612796 \h </w:instrText>
      </w:r>
      <w:r>
        <w:rPr>
          <w:lang/>
        </w:rPr>
        <w:fldChar w:fldCharType="separate"/>
      </w:r>
      <w:r>
        <w:rPr>
          <w:lang/>
        </w:rPr>
        <w:t>98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"_Toc4612797"</w:instrText>
      </w:r>
      <w:r>
        <w:rPr>
          <w:rStyle w:val="18"/>
          <w:lang/>
        </w:rPr>
        <w:instrText xml:space="preserve"> </w:instrText>
      </w:r>
      <w:r>
        <w:rPr>
          <w:rStyle w:val="18"/>
          <w:lang/>
        </w:rPr>
        <w:fldChar w:fldCharType="separate"/>
      </w:r>
      <w:r>
        <w:rPr>
          <w:rStyle w:val="18"/>
          <w:b/>
          <w:bCs/>
          <w:lang/>
        </w:rPr>
        <w:t xml:space="preserve">8.12 </w:t>
      </w:r>
      <w:r>
        <w:rPr>
          <w:rStyle w:val="18"/>
          <w:rFonts w:hint="eastAsia"/>
          <w:b/>
          <w:bCs/>
          <w:lang/>
        </w:rPr>
        <w:t>投资组合报告附注</w:t>
      </w:r>
      <w:r>
        <w:rPr>
          <w:lang/>
        </w:rPr>
        <w:tab/>
      </w:r>
      <w:r>
        <w:rPr>
          <w:lang/>
        </w:rPr>
        <w:fldChar w:fldCharType="begin"/>
      </w:r>
      <w:r>
        <w:rPr>
          <w:lang/>
        </w:rPr>
        <w:instrText xml:space="preserve"> PAGEREF _Toc4612797 \h </w:instrText>
      </w:r>
      <w:r>
        <w:rPr>
          <w:lang/>
        </w:rPr>
        <w:fldChar w:fldCharType="separate"/>
      </w:r>
      <w:r>
        <w:rPr>
          <w:lang/>
        </w:rPr>
        <w:t>98</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"_Toc4612798"</w:instrText>
      </w:r>
      <w:r>
        <w:rPr>
          <w:rStyle w:val="18"/>
          <w:lang/>
        </w:rPr>
        <w:instrText xml:space="preserve"> </w:instrText>
      </w:r>
      <w:r>
        <w:rPr>
          <w:rStyle w:val="18"/>
          <w:lang/>
        </w:rPr>
        <w:fldChar w:fldCharType="separate"/>
      </w:r>
      <w:r>
        <w:rPr>
          <w:rStyle w:val="18"/>
          <w:b/>
          <w:lang/>
        </w:rPr>
        <w:t xml:space="preserve">§8 </w:t>
      </w:r>
      <w:r>
        <w:rPr>
          <w:rStyle w:val="18"/>
          <w:rFonts w:hint="eastAsia"/>
          <w:b/>
          <w:lang/>
        </w:rPr>
        <w:t>投资组合报告（转型前）</w:t>
      </w:r>
      <w:r>
        <w:rPr>
          <w:lang/>
        </w:rPr>
        <w:tab/>
      </w:r>
      <w:r>
        <w:rPr>
          <w:lang/>
        </w:rPr>
        <w:fldChar w:fldCharType="begin"/>
      </w:r>
      <w:r>
        <w:rPr>
          <w:lang/>
        </w:rPr>
        <w:instrText xml:space="preserve"> PAGEREF _Toc4612798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"_Toc4612799"</w:instrText>
      </w:r>
      <w:r>
        <w:rPr>
          <w:rStyle w:val="18"/>
          <w:lang/>
        </w:rPr>
        <w:instrText xml:space="preserve"> </w:instrText>
      </w:r>
      <w:r>
        <w:rPr>
          <w:rStyle w:val="18"/>
          <w:lang/>
        </w:rPr>
        <w:fldChar w:fldCharType="separate"/>
      </w:r>
      <w:r>
        <w:rPr>
          <w:rStyle w:val="18"/>
          <w:b/>
          <w:bCs/>
          <w:lang/>
        </w:rPr>
        <w:t xml:space="preserve">8.1 </w:t>
      </w:r>
      <w:r>
        <w:rPr>
          <w:rStyle w:val="18"/>
          <w:rFonts w:hint="eastAsia"/>
          <w:b/>
          <w:bCs/>
          <w:lang/>
        </w:rPr>
        <w:t>期末基金资产组合情况</w:t>
      </w:r>
      <w:r>
        <w:rPr>
          <w:lang/>
        </w:rPr>
        <w:tab/>
      </w:r>
      <w:r>
        <w:rPr>
          <w:lang/>
        </w:rPr>
        <w:fldChar w:fldCharType="begin"/>
      </w:r>
      <w:r>
        <w:rPr>
          <w:lang/>
        </w:rPr>
        <w:instrText xml:space="preserve"> PAGEREF _Toc4612799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"_Toc4612800"</w:instrText>
      </w:r>
      <w:r>
        <w:rPr>
          <w:rStyle w:val="18"/>
          <w:lang/>
        </w:rPr>
        <w:instrText xml:space="preserve"> </w:instrText>
      </w:r>
      <w:r>
        <w:rPr>
          <w:rStyle w:val="18"/>
          <w:lang/>
        </w:rPr>
        <w:fldChar w:fldCharType="separate"/>
      </w:r>
      <w:r>
        <w:rPr>
          <w:rStyle w:val="18"/>
          <w:b/>
          <w:bCs/>
          <w:lang/>
        </w:rPr>
        <w:t xml:space="preserve">8.2 </w:t>
      </w:r>
      <w:r>
        <w:rPr>
          <w:rStyle w:val="18"/>
          <w:rFonts w:hint="eastAsia"/>
          <w:b/>
          <w:bCs/>
          <w:lang/>
        </w:rPr>
        <w:t>报告期末按行业分类的股票投资组合</w:t>
      </w:r>
      <w:r>
        <w:rPr>
          <w:lang/>
        </w:rPr>
        <w:tab/>
      </w:r>
      <w:r>
        <w:rPr>
          <w:lang/>
        </w:rPr>
        <w:fldChar w:fldCharType="begin"/>
      </w:r>
      <w:r>
        <w:rPr>
          <w:lang/>
        </w:rPr>
        <w:instrText xml:space="preserve"> PAGEREF _Toc4612800 \h </w:instrText>
      </w:r>
      <w:r>
        <w:rPr>
          <w:lang/>
        </w:rPr>
        <w:fldChar w:fldCharType="separate"/>
      </w:r>
      <w:r>
        <w:rPr>
          <w:lang/>
        </w:rPr>
        <w:t>99</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"_Toc4612801"</w:instrText>
      </w:r>
      <w:r>
        <w:rPr>
          <w:rStyle w:val="18"/>
          <w:lang/>
        </w:rPr>
        <w:instrText xml:space="preserve"> </w:instrText>
      </w:r>
      <w:r>
        <w:rPr>
          <w:rStyle w:val="18"/>
          <w:lang/>
        </w:rPr>
        <w:fldChar w:fldCharType="separate"/>
      </w:r>
      <w:r>
        <w:rPr>
          <w:rStyle w:val="18"/>
          <w:b/>
          <w:bCs/>
          <w:lang/>
        </w:rPr>
        <w:t xml:space="preserve">8.3 </w:t>
      </w:r>
      <w:r>
        <w:rPr>
          <w:rStyle w:val="18"/>
          <w:rFonts w:hint="eastAsia"/>
          <w:b/>
          <w:bCs/>
          <w:lang/>
        </w:rPr>
        <w:t>期末按公允价值占基金资产净值比例大小排序的所有股票投资明细</w:t>
      </w:r>
      <w:r>
        <w:rPr>
          <w:lang/>
        </w:rPr>
        <w:tab/>
      </w:r>
      <w:r>
        <w:rPr>
          <w:lang/>
        </w:rPr>
        <w:fldChar w:fldCharType="begin"/>
      </w:r>
      <w:r>
        <w:rPr>
          <w:lang/>
        </w:rPr>
        <w:instrText xml:space="preserve"> PAGEREF _Toc4612801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"_Toc4612802"</w:instrText>
      </w:r>
      <w:r>
        <w:rPr>
          <w:rStyle w:val="18"/>
          <w:lang/>
        </w:rPr>
        <w:instrText xml:space="preserve"> </w:instrText>
      </w:r>
      <w:r>
        <w:rPr>
          <w:rStyle w:val="18"/>
          <w:lang/>
        </w:rPr>
        <w:fldChar w:fldCharType="separate"/>
      </w:r>
      <w:r>
        <w:rPr>
          <w:rStyle w:val="18"/>
          <w:b/>
          <w:bCs/>
          <w:lang/>
        </w:rPr>
        <w:t xml:space="preserve">8.4 </w:t>
      </w:r>
      <w:r>
        <w:rPr>
          <w:rStyle w:val="18"/>
          <w:rFonts w:hint="eastAsia"/>
          <w:b/>
          <w:bCs/>
          <w:lang/>
        </w:rPr>
        <w:t>报告期内股票投资组合的重大变动</w:t>
      </w:r>
      <w:r>
        <w:rPr>
          <w:lang/>
        </w:rPr>
        <w:tab/>
      </w:r>
      <w:r>
        <w:rPr>
          <w:lang/>
        </w:rPr>
        <w:fldChar w:fldCharType="begin"/>
      </w:r>
      <w:r>
        <w:rPr>
          <w:lang/>
        </w:rPr>
        <w:instrText xml:space="preserve"> PAGEREF _Toc4612802 \h </w:instrText>
      </w:r>
      <w:r>
        <w:rPr>
          <w:lang/>
        </w:rPr>
        <w:fldChar w:fldCharType="separate"/>
      </w:r>
      <w:r>
        <w:rPr>
          <w:lang/>
        </w:rPr>
        <w:t>100</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"_Toc4612803"</w:instrText>
      </w:r>
      <w:r>
        <w:rPr>
          <w:rStyle w:val="18"/>
          <w:lang/>
        </w:rPr>
        <w:instrText xml:space="preserve"> </w:instrText>
      </w:r>
      <w:r>
        <w:rPr>
          <w:rStyle w:val="18"/>
          <w:lang/>
        </w:rPr>
        <w:fldChar w:fldCharType="separate"/>
      </w:r>
      <w:r>
        <w:rPr>
          <w:rStyle w:val="18"/>
          <w:b/>
          <w:bCs/>
          <w:lang/>
        </w:rPr>
        <w:t xml:space="preserve">8.5 </w:t>
      </w:r>
      <w:r>
        <w:rPr>
          <w:rStyle w:val="18"/>
          <w:rFonts w:hint="eastAsia"/>
          <w:b/>
          <w:bCs/>
          <w:lang/>
        </w:rPr>
        <w:t>期末按债券品种分类的债券投资组合</w:t>
      </w:r>
      <w:r>
        <w:rPr>
          <w:lang/>
        </w:rPr>
        <w:tab/>
      </w:r>
      <w:r>
        <w:rPr>
          <w:lang/>
        </w:rPr>
        <w:fldChar w:fldCharType="begin"/>
      </w:r>
      <w:r>
        <w:rPr>
          <w:lang/>
        </w:rPr>
        <w:instrText xml:space="preserve"> PAGEREF _Toc4612803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"_Toc4612804"</w:instrText>
      </w:r>
      <w:r>
        <w:rPr>
          <w:rStyle w:val="18"/>
          <w:lang/>
        </w:rPr>
        <w:instrText xml:space="preserve"> </w:instrText>
      </w:r>
      <w:r>
        <w:rPr>
          <w:rStyle w:val="18"/>
          <w:lang/>
        </w:rPr>
        <w:fldChar w:fldCharType="separate"/>
      </w:r>
      <w:r>
        <w:rPr>
          <w:rStyle w:val="18"/>
          <w:b/>
          <w:bCs/>
          <w:lang/>
        </w:rPr>
        <w:t xml:space="preserve">8.6 </w:t>
      </w:r>
      <w:r>
        <w:rPr>
          <w:rStyle w:val="18"/>
          <w:rFonts w:hint="eastAsia"/>
          <w:b/>
          <w:bCs/>
          <w:lang/>
        </w:rPr>
        <w:t>期末按公允价值占基金资产净值比例大小排序的前五名债券投资明细</w:t>
      </w:r>
      <w:r>
        <w:rPr>
          <w:lang/>
        </w:rPr>
        <w:tab/>
      </w:r>
      <w:r>
        <w:rPr>
          <w:lang/>
        </w:rPr>
        <w:fldChar w:fldCharType="begin"/>
      </w:r>
      <w:r>
        <w:rPr>
          <w:lang/>
        </w:rPr>
        <w:instrText xml:space="preserve"> PAGEREF _Toc4612804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"_Toc4612805"</w:instrText>
      </w:r>
      <w:r>
        <w:rPr>
          <w:rStyle w:val="18"/>
          <w:lang/>
        </w:rPr>
        <w:instrText xml:space="preserve"> </w:instrText>
      </w:r>
      <w:r>
        <w:rPr>
          <w:rStyle w:val="18"/>
          <w:lang/>
        </w:rPr>
        <w:fldChar w:fldCharType="separate"/>
      </w:r>
      <w:r>
        <w:rPr>
          <w:rStyle w:val="18"/>
          <w:b/>
          <w:bCs/>
          <w:lang/>
        </w:rPr>
        <w:t xml:space="preserve">8.7 </w:t>
      </w:r>
      <w:r>
        <w:rPr>
          <w:rStyle w:val="18"/>
          <w:rFonts w:hint="eastAsia"/>
          <w:b/>
          <w:bCs/>
          <w:lang/>
        </w:rPr>
        <w:t>期末按公允价值占基金资产净值比例大小排序的前十名资产支持证券投资明细</w:t>
      </w:r>
      <w:r>
        <w:rPr>
          <w:lang/>
        </w:rPr>
        <w:tab/>
      </w:r>
      <w:r>
        <w:rPr>
          <w:lang/>
        </w:rPr>
        <w:fldChar w:fldCharType="begin"/>
      </w:r>
      <w:r>
        <w:rPr>
          <w:lang/>
        </w:rPr>
        <w:instrText xml:space="preserve"> PAGEREF _Toc4612805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"_Toc4612806"</w:instrText>
      </w:r>
      <w:r>
        <w:rPr>
          <w:rStyle w:val="18"/>
          <w:lang/>
        </w:rPr>
        <w:instrText xml:space="preserve"> </w:instrText>
      </w:r>
      <w:r>
        <w:rPr>
          <w:rStyle w:val="18"/>
          <w:lang/>
        </w:rPr>
        <w:fldChar w:fldCharType="separate"/>
      </w:r>
      <w:r>
        <w:rPr>
          <w:rStyle w:val="18"/>
          <w:b/>
          <w:bCs/>
          <w:lang/>
        </w:rPr>
        <w:t xml:space="preserve">8.8 </w:t>
      </w:r>
      <w:r>
        <w:rPr>
          <w:rStyle w:val="18"/>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_Toc4612806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"_Toc4612807"</w:instrText>
      </w:r>
      <w:r>
        <w:rPr>
          <w:rStyle w:val="18"/>
          <w:lang/>
        </w:rPr>
        <w:instrText xml:space="preserve"> </w:instrText>
      </w:r>
      <w:r>
        <w:rPr>
          <w:rStyle w:val="18"/>
          <w:lang/>
        </w:rPr>
        <w:fldChar w:fldCharType="separate"/>
      </w:r>
      <w:r>
        <w:rPr>
          <w:rStyle w:val="18"/>
          <w:b/>
          <w:bCs/>
          <w:lang/>
        </w:rPr>
        <w:t xml:space="preserve">8.9 </w:t>
      </w:r>
      <w:r>
        <w:rPr>
          <w:rStyle w:val="18"/>
          <w:rFonts w:hint="eastAsia"/>
          <w:b/>
          <w:bCs/>
          <w:lang/>
        </w:rPr>
        <w:t>期末按公允价值占基金资产净值比例大小排序的前五名权证投资明细</w:t>
      </w:r>
      <w:r>
        <w:rPr>
          <w:lang/>
        </w:rPr>
        <w:tab/>
      </w:r>
      <w:r>
        <w:rPr>
          <w:lang/>
        </w:rPr>
        <w:fldChar w:fldCharType="begin"/>
      </w:r>
      <w:r>
        <w:rPr>
          <w:lang/>
        </w:rPr>
        <w:instrText xml:space="preserve"> PAGEREF _Toc4612807 \h </w:instrText>
      </w:r>
      <w:r>
        <w:rPr>
          <w:lang/>
        </w:rPr>
        <w:fldChar w:fldCharType="separate"/>
      </w:r>
      <w:r>
        <w:rPr>
          <w:lang/>
        </w:rPr>
        <w:t>101</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"_Toc4612808"</w:instrText>
      </w:r>
      <w:r>
        <w:rPr>
          <w:rStyle w:val="18"/>
          <w:lang/>
        </w:rPr>
        <w:instrText xml:space="preserve"> </w:instrText>
      </w:r>
      <w:r>
        <w:rPr>
          <w:rStyle w:val="18"/>
          <w:lang/>
        </w:rPr>
        <w:fldChar w:fldCharType="separate"/>
      </w:r>
      <w:r>
        <w:rPr>
          <w:rStyle w:val="18"/>
          <w:b/>
          <w:bCs/>
          <w:lang/>
        </w:rPr>
        <w:t xml:space="preserve">8.10 </w:t>
      </w:r>
      <w:r>
        <w:rPr>
          <w:rStyle w:val="18"/>
          <w:rFonts w:hint="eastAsia"/>
          <w:b/>
          <w:bCs/>
          <w:lang/>
        </w:rPr>
        <w:t>报告期末本基金投资的股指期货交易情况说明</w:t>
      </w:r>
      <w:r>
        <w:rPr>
          <w:lang/>
        </w:rPr>
        <w:tab/>
      </w:r>
      <w:r>
        <w:rPr>
          <w:lang/>
        </w:rPr>
        <w:fldChar w:fldCharType="begin"/>
      </w:r>
      <w:r>
        <w:rPr>
          <w:lang/>
        </w:rPr>
        <w:instrText xml:space="preserve"> PAGEREF _Toc4612808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"_Toc4612809"</w:instrText>
      </w:r>
      <w:r>
        <w:rPr>
          <w:rStyle w:val="18"/>
          <w:lang/>
        </w:rPr>
        <w:instrText xml:space="preserve"> </w:instrText>
      </w:r>
      <w:r>
        <w:rPr>
          <w:rStyle w:val="18"/>
          <w:lang/>
        </w:rPr>
        <w:fldChar w:fldCharType="separate"/>
      </w:r>
      <w:r>
        <w:rPr>
          <w:rStyle w:val="18"/>
          <w:b/>
          <w:bCs/>
          <w:lang/>
        </w:rPr>
        <w:t xml:space="preserve">8.11 </w:t>
      </w:r>
      <w:r>
        <w:rPr>
          <w:rStyle w:val="18"/>
          <w:rFonts w:hint="eastAsia"/>
          <w:b/>
          <w:bCs/>
          <w:lang/>
        </w:rPr>
        <w:t>报告期末本基金投资的国债期货交易情况说明</w:t>
      </w:r>
      <w:r>
        <w:rPr>
          <w:lang/>
        </w:rPr>
        <w:tab/>
      </w:r>
      <w:r>
        <w:rPr>
          <w:lang/>
        </w:rPr>
        <w:fldChar w:fldCharType="begin"/>
      </w:r>
      <w:r>
        <w:rPr>
          <w:lang/>
        </w:rPr>
        <w:instrText xml:space="preserve"> PAGEREF _Toc4612809 \h </w:instrText>
      </w:r>
      <w:r>
        <w:rPr>
          <w:lang/>
        </w:rPr>
        <w:fldChar w:fldCharType="separate"/>
      </w:r>
      <w:r>
        <w:rPr>
          <w:lang/>
        </w:rPr>
        <w:t>102</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"_Toc4612810"</w:instrText>
      </w:r>
      <w:r>
        <w:rPr>
          <w:rStyle w:val="18"/>
          <w:lang/>
        </w:rPr>
        <w:instrText xml:space="preserve"> </w:instrText>
      </w:r>
      <w:r>
        <w:rPr>
          <w:rStyle w:val="18"/>
          <w:lang/>
        </w:rPr>
        <w:fldChar w:fldCharType="separate"/>
      </w:r>
      <w:r>
        <w:rPr>
          <w:rStyle w:val="18"/>
          <w:b/>
          <w:lang/>
        </w:rPr>
        <w:t xml:space="preserve">8.12 </w:t>
      </w:r>
      <w:r>
        <w:rPr>
          <w:rStyle w:val="18"/>
          <w:rFonts w:hint="eastAsia"/>
          <w:b/>
          <w:lang/>
        </w:rPr>
        <w:t>投资组合报告附注</w:t>
      </w:r>
      <w:r>
        <w:rPr>
          <w:lang/>
        </w:rPr>
        <w:tab/>
      </w:r>
      <w:r>
        <w:rPr>
          <w:lang/>
        </w:rPr>
        <w:fldChar w:fldCharType="begin"/>
      </w:r>
      <w:r>
        <w:rPr>
          <w:lang/>
        </w:rPr>
        <w:instrText xml:space="preserve"> PAGEREF _Toc4612810 \h </w:instrText>
      </w:r>
      <w:r>
        <w:rPr>
          <w:lang/>
        </w:rPr>
        <w:fldChar w:fldCharType="separate"/>
      </w:r>
      <w:r>
        <w:rPr>
          <w:lang/>
        </w:rPr>
        <w:t>102</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"_Toc4612811"</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_Toc4612811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"_Toc4612812"</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_Toc4612812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"_Toc4612813"</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_Toc4612813 \h </w:instrText>
      </w:r>
      <w:r>
        <w:rPr>
          <w:lang/>
        </w:rPr>
        <w:fldChar w:fldCharType="separate"/>
      </w:r>
      <w:r>
        <w:rPr>
          <w:lang/>
        </w:rPr>
        <w:t>103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"_Toc4612814"</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_Toc4612814 \h </w:instrText>
      </w:r>
      <w:r>
        <w:rPr>
          <w:lang/>
        </w:rPr>
        <w:fldChar w:fldCharType="separate"/>
      </w:r>
      <w:r>
        <w:rPr>
          <w:lang/>
        </w:rPr>
        <w:t>104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"_Toc4612815"</w:instrText>
      </w:r>
      <w:r>
        <w:rPr>
          <w:rStyle w:val="18"/>
          <w:lang/>
        </w:rPr>
        <w:instrText xml:space="preserve"> </w:instrText>
      </w:r>
      <w:r>
        <w:rPr>
          <w:rStyle w:val="18"/>
          <w:lang/>
        </w:rPr>
        <w:fldChar w:fldCharType="separate"/>
      </w:r>
      <w:r>
        <w:rPr>
          <w:rStyle w:val="18"/>
          <w:b/>
          <w:lang/>
        </w:rPr>
        <w:t xml:space="preserve">§9  </w:t>
      </w:r>
      <w:r>
        <w:rPr>
          <w:rStyle w:val="18"/>
          <w:rFonts w:hint="eastAsia"/>
          <w:b/>
          <w:lang/>
        </w:rPr>
        <w:t>基金份额持有人信息</w:t>
      </w:r>
      <w:r>
        <w:rPr>
          <w:rStyle w:val="18"/>
          <w:b/>
          <w:lang/>
        </w:rPr>
        <w:t>(</w:t>
      </w:r>
      <w:r>
        <w:rPr>
          <w:rStyle w:val="18"/>
          <w:rFonts w:hint="eastAsia"/>
          <w:b/>
          <w:lang/>
        </w:rPr>
        <w:t>转型前</w:t>
      </w:r>
      <w:r>
        <w:rPr>
          <w:rStyle w:val="18"/>
          <w:b/>
          <w:lang/>
        </w:rPr>
        <w:t>)</w:t>
      </w:r>
      <w:r>
        <w:rPr>
          <w:lang/>
        </w:rPr>
        <w:tab/>
      </w:r>
      <w:r>
        <w:rPr>
          <w:lang/>
        </w:rPr>
        <w:fldChar w:fldCharType="begin"/>
      </w:r>
      <w:r>
        <w:rPr>
          <w:lang/>
        </w:rPr>
        <w:instrText xml:space="preserve"> PAGEREF _Toc4612815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"_Toc4612816"</w:instrText>
      </w:r>
      <w:r>
        <w:rPr>
          <w:rStyle w:val="18"/>
          <w:lang/>
        </w:rPr>
        <w:instrText xml:space="preserve"> </w:instrText>
      </w:r>
      <w:r>
        <w:rPr>
          <w:rStyle w:val="18"/>
          <w:lang/>
        </w:rPr>
        <w:fldChar w:fldCharType="separate"/>
      </w:r>
      <w:r>
        <w:rPr>
          <w:rStyle w:val="18"/>
          <w:b/>
          <w:bCs/>
          <w:lang/>
        </w:rPr>
        <w:t xml:space="preserve">9.1 </w:t>
      </w:r>
      <w:r>
        <w:rPr>
          <w:rStyle w:val="18"/>
          <w:rFonts w:hint="eastAsia"/>
          <w:b/>
          <w:bCs/>
          <w:lang/>
        </w:rPr>
        <w:t>期末基金份额持有人户数及持有人结构</w:t>
      </w:r>
      <w:r>
        <w:rPr>
          <w:lang/>
        </w:rPr>
        <w:tab/>
      </w:r>
      <w:r>
        <w:rPr>
          <w:lang/>
        </w:rPr>
        <w:fldChar w:fldCharType="begin"/>
      </w:r>
      <w:r>
        <w:rPr>
          <w:lang/>
        </w:rPr>
        <w:instrText xml:space="preserve"> PAGEREF _Toc4612816 \h </w:instrText>
      </w:r>
      <w:r>
        <w:rPr>
          <w:lang/>
        </w:rPr>
        <w:fldChar w:fldCharType="separate"/>
      </w:r>
      <w:r>
        <w:rPr>
          <w:lang/>
        </w:rPr>
        <w:t>104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"_Toc4612817"</w:instrText>
      </w:r>
      <w:r>
        <w:rPr>
          <w:rStyle w:val="18"/>
          <w:lang/>
        </w:rPr>
        <w:instrText xml:space="preserve"> </w:instrText>
      </w:r>
      <w:r>
        <w:rPr>
          <w:rStyle w:val="18"/>
          <w:lang/>
        </w:rPr>
        <w:fldChar w:fldCharType="separate"/>
      </w:r>
      <w:r>
        <w:rPr>
          <w:rStyle w:val="18"/>
          <w:b/>
          <w:lang/>
        </w:rPr>
        <w:t xml:space="preserve">9.2 </w:t>
      </w:r>
      <w:r>
        <w:rPr>
          <w:rStyle w:val="18"/>
          <w:rFonts w:hint="eastAsia"/>
          <w:b/>
          <w:lang/>
        </w:rPr>
        <w:t>期末基金管理人的从业人员持有本基金的情况</w:t>
      </w:r>
      <w:r>
        <w:rPr>
          <w:lang/>
        </w:rPr>
        <w:tab/>
      </w:r>
      <w:r>
        <w:rPr>
          <w:lang/>
        </w:rPr>
        <w:fldChar w:fldCharType="begin"/>
      </w:r>
      <w:r>
        <w:rPr>
          <w:lang/>
        </w:rPr>
        <w:instrText xml:space="preserve"> PAGEREF _Toc4612817 \h </w:instrText>
      </w:r>
      <w:r>
        <w:rPr>
          <w:lang/>
        </w:rPr>
        <w:fldChar w:fldCharType="separate"/>
      </w:r>
      <w:r>
        <w:rPr>
          <w:lang/>
        </w:rPr>
        <w:t>105</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"_Toc4612818"</w:instrText>
      </w:r>
      <w:r>
        <w:rPr>
          <w:rStyle w:val="18"/>
          <w:lang/>
        </w:rPr>
        <w:instrText xml:space="preserve"> </w:instrText>
      </w:r>
      <w:r>
        <w:rPr>
          <w:rStyle w:val="18"/>
          <w:lang/>
        </w:rPr>
        <w:fldChar w:fldCharType="separate"/>
      </w:r>
      <w:r>
        <w:rPr>
          <w:rStyle w:val="18"/>
          <w:b/>
          <w:bCs/>
          <w:lang/>
        </w:rPr>
        <w:t xml:space="preserve">9.3 </w:t>
      </w:r>
      <w:r>
        <w:rPr>
          <w:rStyle w:val="18"/>
          <w:rFonts w:hint="eastAsia"/>
          <w:b/>
          <w:bCs/>
          <w:lang/>
        </w:rPr>
        <w:t>期末基金管理人的从业人员持有本开放式基金份额总量区间情况</w:t>
      </w:r>
      <w:r>
        <w:rPr>
          <w:lang/>
        </w:rPr>
        <w:tab/>
      </w:r>
      <w:r>
        <w:rPr>
          <w:lang/>
        </w:rPr>
        <w:fldChar w:fldCharType="begin"/>
      </w:r>
      <w:r>
        <w:rPr>
          <w:lang/>
        </w:rPr>
        <w:instrText xml:space="preserve"> PAGEREF _Toc4612818 \h </w:instrText>
      </w:r>
      <w:r>
        <w:rPr>
          <w:lang/>
        </w:rPr>
        <w:fldChar w:fldCharType="separate"/>
      </w:r>
      <w:r>
        <w:rPr>
          <w:lang/>
        </w:rPr>
        <w:t>105</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"_Toc4612819"</w:instrText>
      </w:r>
      <w:r>
        <w:rPr>
          <w:rStyle w:val="18"/>
          <w:lang/>
        </w:rPr>
        <w:instrText xml:space="preserve"> </w:instrText>
      </w:r>
      <w:r>
        <w:rPr>
          <w:rStyle w:val="18"/>
          <w:lang/>
        </w:rPr>
        <w:fldChar w:fldCharType="separate"/>
      </w:r>
      <w:r>
        <w:rPr>
          <w:rStyle w:val="18"/>
          <w:b/>
          <w:lang/>
        </w:rPr>
        <w:t xml:space="preserve">§10  </w:t>
      </w:r>
      <w:r>
        <w:rPr>
          <w:rStyle w:val="18"/>
          <w:rFonts w:hint="eastAsia"/>
          <w:b/>
          <w:lang/>
        </w:rPr>
        <w:t>开放式基金份额变动</w:t>
      </w:r>
      <w:r>
        <w:rPr>
          <w:rStyle w:val="18"/>
          <w:b/>
          <w:lang/>
        </w:rPr>
        <w:t>(</w:t>
      </w:r>
      <w:r>
        <w:rPr>
          <w:rStyle w:val="18"/>
          <w:rFonts w:hint="eastAsia"/>
          <w:b/>
          <w:lang/>
        </w:rPr>
        <w:t>转型后</w:t>
      </w:r>
      <w:r>
        <w:rPr>
          <w:rStyle w:val="18"/>
          <w:b/>
          <w:lang/>
        </w:rPr>
        <w:t>)</w:t>
      </w:r>
      <w:r>
        <w:rPr>
          <w:lang/>
        </w:rPr>
        <w:tab/>
      </w:r>
      <w:r>
        <w:rPr>
          <w:lang/>
        </w:rPr>
        <w:fldChar w:fldCharType="begin"/>
      </w:r>
      <w:r>
        <w:rPr>
          <w:lang/>
        </w:rPr>
        <w:instrText xml:space="preserve"> PAGEREF _Toc4612819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"_Toc4612820"</w:instrText>
      </w:r>
      <w:r>
        <w:rPr>
          <w:rStyle w:val="18"/>
          <w:lang/>
        </w:rPr>
        <w:instrText xml:space="preserve"> </w:instrText>
      </w:r>
      <w:r>
        <w:rPr>
          <w:rStyle w:val="18"/>
          <w:lang/>
        </w:rPr>
        <w:fldChar w:fldCharType="separate"/>
      </w:r>
      <w:r>
        <w:rPr>
          <w:rStyle w:val="18"/>
          <w:b/>
          <w:bCs/>
          <w:lang/>
        </w:rPr>
        <w:t xml:space="preserve">§10  </w:t>
      </w:r>
      <w:r>
        <w:rPr>
          <w:rStyle w:val="18"/>
          <w:rFonts w:hint="eastAsia"/>
          <w:b/>
          <w:bCs/>
          <w:lang/>
        </w:rPr>
        <w:t>开放式基金份额变动</w:t>
      </w:r>
      <w:r>
        <w:rPr>
          <w:rStyle w:val="18"/>
          <w:b/>
          <w:bCs/>
          <w:lang/>
        </w:rPr>
        <w:t>(</w:t>
      </w:r>
      <w:r>
        <w:rPr>
          <w:rStyle w:val="18"/>
          <w:rFonts w:hint="eastAsia"/>
          <w:b/>
          <w:bCs/>
          <w:lang/>
        </w:rPr>
        <w:t>转型前</w:t>
      </w:r>
      <w:r>
        <w:rPr>
          <w:rStyle w:val="18"/>
          <w:b/>
          <w:bCs/>
          <w:lang/>
        </w:rPr>
        <w:t>)</w:t>
      </w:r>
      <w:r>
        <w:rPr>
          <w:lang/>
        </w:rPr>
        <w:tab/>
      </w:r>
      <w:r>
        <w:rPr>
          <w:lang/>
        </w:rPr>
        <w:fldChar w:fldCharType="begin"/>
      </w:r>
      <w:r>
        <w:rPr>
          <w:lang/>
        </w:rPr>
        <w:instrText xml:space="preserve"> PAGEREF _Toc4612820 \h </w:instrText>
      </w:r>
      <w:r>
        <w:rPr>
          <w:lang/>
        </w:rPr>
        <w:fldChar w:fldCharType="separate"/>
      </w:r>
      <w:r>
        <w:rPr>
          <w:lang/>
        </w:rPr>
        <w:t>106</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"_Toc4612821"</w:instrText>
      </w:r>
      <w:r>
        <w:rPr>
          <w:rStyle w:val="18"/>
          <w:lang/>
        </w:rPr>
        <w:instrText xml:space="preserve"> </w:instrText>
      </w:r>
      <w:r>
        <w:rPr>
          <w:rStyle w:val="18"/>
          <w:lang/>
        </w:rPr>
        <w:fldChar w:fldCharType="separate"/>
      </w:r>
      <w:r>
        <w:rPr>
          <w:rStyle w:val="18"/>
          <w:b/>
          <w:lang/>
        </w:rPr>
        <w:t xml:space="preserve">§11  </w:t>
      </w:r>
      <w:r>
        <w:rPr>
          <w:rStyle w:val="18"/>
          <w:rFonts w:hint="eastAsia"/>
          <w:b/>
          <w:lang/>
        </w:rPr>
        <w:t>重大事件揭示</w:t>
      </w:r>
      <w:r>
        <w:rPr>
          <w:lang/>
        </w:rPr>
        <w:tab/>
      </w:r>
      <w:r>
        <w:rPr>
          <w:lang/>
        </w:rPr>
        <w:fldChar w:fldCharType="begin"/>
      </w:r>
      <w:r>
        <w:rPr>
          <w:lang/>
        </w:rPr>
        <w:instrText xml:space="preserve"> PAGEREF _Toc4612821 \h </w:instrText>
      </w:r>
      <w:r>
        <w:rPr>
          <w:lang/>
        </w:rPr>
        <w:fldChar w:fldCharType="separate"/>
      </w:r>
      <w:r>
        <w:rPr>
          <w:lang/>
        </w:rPr>
        <w:t>106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"_Toc4612822"</w:instrText>
      </w:r>
      <w:r>
        <w:rPr>
          <w:rStyle w:val="18"/>
          <w:lang/>
        </w:rPr>
        <w:instrText xml:space="preserve"> </w:instrText>
      </w:r>
      <w:r>
        <w:rPr>
          <w:rStyle w:val="18"/>
          <w:lang/>
        </w:rPr>
        <w:fldChar w:fldCharType="separate"/>
      </w:r>
      <w:r>
        <w:rPr>
          <w:rStyle w:val="18"/>
          <w:b/>
          <w:bCs/>
          <w:lang/>
        </w:rPr>
        <w:t xml:space="preserve">11.1 </w:t>
      </w:r>
      <w:r>
        <w:rPr>
          <w:rStyle w:val="18"/>
          <w:rFonts w:hint="eastAsia"/>
          <w:b/>
          <w:bCs/>
          <w:lang/>
        </w:rPr>
        <w:t>基金份额持有人大会决议</w:t>
      </w:r>
      <w:r>
        <w:rPr>
          <w:lang/>
        </w:rPr>
        <w:tab/>
      </w:r>
      <w:r>
        <w:rPr>
          <w:lang/>
        </w:rPr>
        <w:fldChar w:fldCharType="begin"/>
      </w:r>
      <w:r>
        <w:rPr>
          <w:lang/>
        </w:rPr>
        <w:instrText xml:space="preserve"> PAGEREF _Toc4612822 \h </w:instrText>
      </w:r>
      <w:r>
        <w:rPr>
          <w:lang/>
        </w:rPr>
        <w:fldChar w:fldCharType="separate"/>
      </w:r>
      <w:r>
        <w:rPr>
          <w:lang/>
        </w:rPr>
        <w:t>106</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"_Toc4612823"</w:instrText>
      </w:r>
      <w:r>
        <w:rPr>
          <w:rStyle w:val="18"/>
          <w:lang/>
        </w:rPr>
        <w:instrText xml:space="preserve"> </w:instrText>
      </w:r>
      <w:r>
        <w:rPr>
          <w:rStyle w:val="18"/>
          <w:lang/>
        </w:rPr>
        <w:fldChar w:fldCharType="separate"/>
      </w:r>
      <w:r>
        <w:rPr>
          <w:rStyle w:val="18"/>
          <w:b/>
          <w:bCs/>
          <w:lang/>
        </w:rPr>
        <w:t xml:space="preserve">11.2 </w:t>
      </w:r>
      <w:r>
        <w:rPr>
          <w:rStyle w:val="18"/>
          <w:rFonts w:hint="eastAsia"/>
          <w:b/>
          <w:bCs/>
          <w:lang/>
        </w:rPr>
        <w:t>基金管理人、基金托管人的专门基金托管部门的重大人事变动</w:t>
      </w:r>
      <w:r>
        <w:rPr>
          <w:lang/>
        </w:rPr>
        <w:tab/>
      </w:r>
      <w:r>
        <w:rPr>
          <w:lang/>
        </w:rPr>
        <w:fldChar w:fldCharType="begin"/>
      </w:r>
      <w:r>
        <w:rPr>
          <w:lang/>
        </w:rPr>
        <w:instrText xml:space="preserve"> PAGEREF _Toc4612823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"_Toc4612824"</w:instrText>
      </w:r>
      <w:r>
        <w:rPr>
          <w:rStyle w:val="18"/>
          <w:lang/>
        </w:rPr>
        <w:instrText xml:space="preserve"> </w:instrText>
      </w:r>
      <w:r>
        <w:rPr>
          <w:rStyle w:val="18"/>
          <w:lang/>
        </w:rPr>
        <w:fldChar w:fldCharType="separate"/>
      </w:r>
      <w:r>
        <w:rPr>
          <w:rStyle w:val="18"/>
          <w:b/>
          <w:bCs/>
          <w:lang/>
        </w:rPr>
        <w:t xml:space="preserve">11.3 </w:t>
      </w:r>
      <w:r>
        <w:rPr>
          <w:rStyle w:val="18"/>
          <w:rFonts w:hint="eastAsia"/>
          <w:b/>
          <w:bCs/>
          <w:lang/>
        </w:rPr>
        <w:t>涉及基金管理人、基金财产、基金托管业务的诉讼</w:t>
      </w:r>
      <w:r>
        <w:rPr>
          <w:lang/>
        </w:rPr>
        <w:tab/>
      </w:r>
      <w:r>
        <w:rPr>
          <w:lang/>
        </w:rPr>
        <w:fldChar w:fldCharType="begin"/>
      </w:r>
      <w:r>
        <w:rPr>
          <w:lang/>
        </w:rPr>
        <w:instrText xml:space="preserve"> PAGEREF _Toc4612824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"_Toc4612825"</w:instrText>
      </w:r>
      <w:r>
        <w:rPr>
          <w:rStyle w:val="18"/>
          <w:lang/>
        </w:rPr>
        <w:instrText xml:space="preserve"> </w:instrText>
      </w:r>
      <w:r>
        <w:rPr>
          <w:rStyle w:val="18"/>
          <w:lang/>
        </w:rPr>
        <w:fldChar w:fldCharType="separate"/>
      </w:r>
      <w:r>
        <w:rPr>
          <w:rStyle w:val="18"/>
          <w:b/>
          <w:bCs/>
          <w:lang/>
        </w:rPr>
        <w:t xml:space="preserve">11.4 </w:t>
      </w:r>
      <w:r>
        <w:rPr>
          <w:rStyle w:val="18"/>
          <w:rFonts w:hint="eastAsia"/>
          <w:b/>
          <w:bCs/>
          <w:lang/>
        </w:rPr>
        <w:t>基金投资策略的改变</w:t>
      </w:r>
      <w:r>
        <w:rPr>
          <w:lang/>
        </w:rPr>
        <w:tab/>
      </w:r>
      <w:r>
        <w:rPr>
          <w:lang/>
        </w:rPr>
        <w:fldChar w:fldCharType="begin"/>
      </w:r>
      <w:r>
        <w:rPr>
          <w:lang/>
        </w:rPr>
        <w:instrText xml:space="preserve"> PAGEREF _Toc4612825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"_Toc4612826"</w:instrText>
      </w:r>
      <w:r>
        <w:rPr>
          <w:rStyle w:val="18"/>
          <w:lang/>
        </w:rPr>
        <w:instrText xml:space="preserve"> </w:instrText>
      </w:r>
      <w:r>
        <w:rPr>
          <w:rStyle w:val="18"/>
          <w:lang/>
        </w:rPr>
        <w:fldChar w:fldCharType="separate"/>
      </w:r>
      <w:r>
        <w:rPr>
          <w:rStyle w:val="18"/>
          <w:b/>
          <w:bCs/>
          <w:lang/>
        </w:rPr>
        <w:t xml:space="preserve">11.5 </w:t>
      </w:r>
      <w:r>
        <w:rPr>
          <w:rStyle w:val="18"/>
          <w:rFonts w:hint="eastAsia"/>
          <w:b/>
          <w:bCs/>
          <w:lang/>
        </w:rPr>
        <w:t>为基金进行审计的会计师事务所情况</w:t>
      </w:r>
      <w:r>
        <w:rPr>
          <w:lang/>
        </w:rPr>
        <w:tab/>
      </w:r>
      <w:r>
        <w:rPr>
          <w:lang/>
        </w:rPr>
        <w:fldChar w:fldCharType="begin"/>
      </w:r>
      <w:r>
        <w:rPr>
          <w:lang/>
        </w:rPr>
        <w:instrText xml:space="preserve"> PAGEREF _Toc4612826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"_Toc4612827"</w:instrText>
      </w:r>
      <w:r>
        <w:rPr>
          <w:rStyle w:val="18"/>
          <w:lang/>
        </w:rPr>
        <w:instrText xml:space="preserve"> </w:instrText>
      </w:r>
      <w:r>
        <w:rPr>
          <w:rStyle w:val="18"/>
          <w:lang/>
        </w:rPr>
        <w:fldChar w:fldCharType="separate"/>
      </w:r>
      <w:r>
        <w:rPr>
          <w:rStyle w:val="18"/>
          <w:b/>
          <w:bCs/>
          <w:lang/>
        </w:rPr>
        <w:t xml:space="preserve">11.6 </w:t>
      </w:r>
      <w:r>
        <w:rPr>
          <w:rStyle w:val="18"/>
          <w:rFonts w:hint="eastAsia"/>
          <w:b/>
          <w:bCs/>
          <w:lang/>
        </w:rPr>
        <w:t>管理人、托管人及其高级管理人员受稽查或处罚等情况</w:t>
      </w:r>
      <w:r>
        <w:rPr>
          <w:lang/>
        </w:rPr>
        <w:tab/>
      </w:r>
      <w:r>
        <w:rPr>
          <w:lang/>
        </w:rPr>
        <w:fldChar w:fldCharType="begin"/>
      </w:r>
      <w:r>
        <w:rPr>
          <w:lang/>
        </w:rPr>
        <w:instrText xml:space="preserve"> PAGEREF _Toc4612827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"_Toc4612828"</w:instrText>
      </w:r>
      <w:r>
        <w:rPr>
          <w:rStyle w:val="18"/>
          <w:lang/>
        </w:rPr>
        <w:instrText xml:space="preserve"> </w:instrText>
      </w:r>
      <w:r>
        <w:rPr>
          <w:rStyle w:val="18"/>
          <w:lang/>
        </w:rPr>
        <w:fldChar w:fldCharType="separate"/>
      </w:r>
      <w:r>
        <w:rPr>
          <w:rStyle w:val="18"/>
          <w:rFonts w:hint="eastAsia"/>
          <w:b/>
          <w:bCs/>
          <w:lang/>
        </w:rPr>
        <w:t>转型后</w:t>
      </w:r>
      <w:r>
        <w:rPr>
          <w:lang/>
        </w:rPr>
        <w:tab/>
      </w:r>
      <w:r>
        <w:rPr>
          <w:lang/>
        </w:rPr>
        <w:fldChar w:fldCharType="begin"/>
      </w:r>
      <w:r>
        <w:rPr>
          <w:lang/>
        </w:rPr>
        <w:instrText xml:space="preserve"> PAGEREF _Toc4612828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"_Toc4612829"</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_Toc4612829 \h </w:instrText>
      </w:r>
      <w:r>
        <w:rPr>
          <w:lang/>
        </w:rPr>
        <w:fldChar w:fldCharType="separate"/>
      </w:r>
      <w:r>
        <w:rPr>
          <w:lang/>
        </w:rPr>
        <w:t>107</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"_Toc4612830"</w:instrText>
      </w:r>
      <w:r>
        <w:rPr>
          <w:rStyle w:val="18"/>
          <w:lang/>
        </w:rPr>
        <w:instrText xml:space="preserve"> </w:instrText>
      </w:r>
      <w:r>
        <w:rPr>
          <w:rStyle w:val="18"/>
          <w:lang/>
        </w:rPr>
        <w:fldChar w:fldCharType="separate"/>
      </w:r>
      <w:r>
        <w:rPr>
          <w:rStyle w:val="18"/>
          <w:rFonts w:hint="eastAsia"/>
          <w:b/>
          <w:bCs/>
          <w:lang/>
        </w:rPr>
        <w:t>转型前</w:t>
      </w:r>
      <w:r>
        <w:rPr>
          <w:lang/>
        </w:rPr>
        <w:tab/>
      </w:r>
      <w:r>
        <w:rPr>
          <w:lang/>
        </w:rPr>
        <w:fldChar w:fldCharType="begin"/>
      </w:r>
      <w:r>
        <w:rPr>
          <w:lang/>
        </w:rPr>
        <w:instrText xml:space="preserve"> PAGEREF _Toc4612830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"_Toc4612831"</w:instrText>
      </w:r>
      <w:r>
        <w:rPr>
          <w:rStyle w:val="18"/>
          <w:lang/>
        </w:rPr>
        <w:instrText xml:space="preserve"> </w:instrText>
      </w:r>
      <w:r>
        <w:rPr>
          <w:rStyle w:val="18"/>
          <w:lang/>
        </w:rPr>
        <w:fldChar w:fldCharType="separate"/>
      </w:r>
      <w:r>
        <w:rPr>
          <w:rStyle w:val="18"/>
          <w:b/>
          <w:bCs/>
          <w:lang/>
        </w:rPr>
        <w:t xml:space="preserve">11.7 </w:t>
      </w:r>
      <w:r>
        <w:rPr>
          <w:rStyle w:val="18"/>
          <w:rFonts w:hint="eastAsia"/>
          <w:b/>
          <w:bCs/>
          <w:lang/>
        </w:rPr>
        <w:t>基金租用证券公司交易单元的有关情况</w:t>
      </w:r>
      <w:r>
        <w:rPr>
          <w:lang/>
        </w:rPr>
        <w:tab/>
      </w:r>
      <w:r>
        <w:rPr>
          <w:lang/>
        </w:rPr>
        <w:fldChar w:fldCharType="begin"/>
      </w:r>
      <w:r>
        <w:rPr>
          <w:lang/>
        </w:rPr>
        <w:instrText xml:space="preserve"> PAGEREF _Toc4612831 \h </w:instrText>
      </w:r>
      <w:r>
        <w:rPr>
          <w:lang/>
        </w:rPr>
        <w:fldChar w:fldCharType="separate"/>
      </w:r>
      <w:r>
        <w:rPr>
          <w:lang/>
        </w:rPr>
        <w:t>108</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"_Toc4612832"</w:instrText>
      </w:r>
      <w:r>
        <w:rPr>
          <w:rStyle w:val="18"/>
          <w:lang/>
        </w:rPr>
        <w:instrText xml:space="preserve"> </w:instrText>
      </w:r>
      <w:r>
        <w:rPr>
          <w:rStyle w:val="18"/>
          <w:lang/>
        </w:rPr>
        <w:fldChar w:fldCharType="separate"/>
      </w:r>
      <w:r>
        <w:rPr>
          <w:rStyle w:val="18"/>
          <w:b/>
          <w:bCs/>
          <w:lang/>
        </w:rPr>
        <w:t xml:space="preserve">11.8 </w:t>
      </w:r>
      <w:r>
        <w:rPr>
          <w:rStyle w:val="18"/>
          <w:rFonts w:hint="eastAsia"/>
          <w:b/>
          <w:bCs/>
          <w:lang/>
        </w:rPr>
        <w:t>其他重大事件</w:t>
      </w:r>
      <w:r>
        <w:rPr>
          <w:lang/>
        </w:rPr>
        <w:tab/>
      </w:r>
      <w:r>
        <w:rPr>
          <w:lang/>
        </w:rPr>
        <w:fldChar w:fldCharType="begin"/>
      </w:r>
      <w:r>
        <w:rPr>
          <w:lang/>
        </w:rPr>
        <w:instrText xml:space="preserve"> PAGEREF _Toc4612832 \h </w:instrText>
      </w:r>
      <w:r>
        <w:rPr>
          <w:lang/>
        </w:rPr>
        <w:fldChar w:fldCharType="separate"/>
      </w:r>
      <w:r>
        <w:rPr>
          <w:lang/>
        </w:rPr>
        <w:t>109</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"_Toc4612833"</w:instrText>
      </w:r>
      <w:r>
        <w:rPr>
          <w:rStyle w:val="18"/>
          <w:lang/>
        </w:rPr>
        <w:instrText xml:space="preserve"> </w:instrText>
      </w:r>
      <w:r>
        <w:rPr>
          <w:rStyle w:val="18"/>
          <w:lang/>
        </w:rPr>
        <w:fldChar w:fldCharType="separate"/>
      </w:r>
      <w:r>
        <w:rPr>
          <w:rStyle w:val="18"/>
          <w:b/>
          <w:lang/>
        </w:rPr>
        <w:t xml:space="preserve">§12  </w:t>
      </w:r>
      <w:r>
        <w:rPr>
          <w:rStyle w:val="18"/>
          <w:rFonts w:hint="eastAsia"/>
          <w:b/>
          <w:lang/>
        </w:rPr>
        <w:t>影响投资者决策的其他重要信息</w:t>
      </w:r>
      <w:r>
        <w:rPr>
          <w:lang/>
        </w:rPr>
        <w:tab/>
      </w:r>
      <w:r>
        <w:rPr>
          <w:lang/>
        </w:rPr>
        <w:fldChar w:fldCharType="begin"/>
      </w:r>
      <w:r>
        <w:rPr>
          <w:lang/>
        </w:rPr>
        <w:instrText xml:space="preserve"> PAGEREF _Toc4612833 \h </w:instrText>
      </w:r>
      <w:r>
        <w:rPr>
          <w:lang/>
        </w:rPr>
        <w:fldChar w:fldCharType="separate"/>
      </w:r>
      <w:r>
        <w:rPr>
          <w:lang/>
        </w:rPr>
        <w:t>113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"_Toc4612834"</w:instrText>
      </w:r>
      <w:r>
        <w:rPr>
          <w:rStyle w:val="18"/>
          <w:lang/>
        </w:rPr>
        <w:instrText xml:space="preserve"> </w:instrText>
      </w:r>
      <w:r>
        <w:rPr>
          <w:rStyle w:val="18"/>
          <w:lang/>
        </w:rPr>
        <w:fldChar w:fldCharType="separate"/>
      </w:r>
      <w:r>
        <w:rPr>
          <w:rStyle w:val="18"/>
          <w:b/>
          <w:bCs/>
          <w:lang/>
        </w:rPr>
        <w:t xml:space="preserve">12.1 </w:t>
      </w:r>
      <w:r>
        <w:rPr>
          <w:rStyle w:val="18"/>
          <w:rFonts w:hint="eastAsia"/>
          <w:b/>
          <w:bCs/>
          <w:lang/>
        </w:rPr>
        <w:t>报告期内单一投资者持有基金份额比例达到或超过</w:t>
      </w:r>
      <w:r>
        <w:rPr>
          <w:rStyle w:val="18"/>
          <w:b/>
          <w:bCs/>
          <w:lang/>
        </w:rPr>
        <w:t>20%</w:t>
      </w:r>
      <w:r>
        <w:rPr>
          <w:rStyle w:val="18"/>
          <w:rFonts w:hint="eastAsia"/>
          <w:b/>
          <w:bCs/>
          <w:lang/>
        </w:rPr>
        <w:t>的情况</w:t>
      </w:r>
      <w:r>
        <w:rPr>
          <w:lang/>
        </w:rPr>
        <w:tab/>
      </w:r>
      <w:r>
        <w:rPr>
          <w:lang/>
        </w:rPr>
        <w:fldChar w:fldCharType="begin"/>
      </w:r>
      <w:r>
        <w:rPr>
          <w:lang/>
        </w:rPr>
        <w:instrText xml:space="preserve"> PAGEREF _Toc4612834 \h </w:instrText>
      </w:r>
      <w:r>
        <w:rPr>
          <w:lang/>
        </w:rPr>
        <w:fldChar w:fldCharType="separate"/>
      </w:r>
      <w:r>
        <w:rPr>
          <w:lang/>
        </w:rPr>
        <w:t>113</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"_Toc4612835"</w:instrText>
      </w:r>
      <w:r>
        <w:rPr>
          <w:rStyle w:val="18"/>
          <w:lang/>
        </w:rPr>
        <w:instrText xml:space="preserve"> </w:instrText>
      </w:r>
      <w:r>
        <w:rPr>
          <w:rStyle w:val="18"/>
          <w:lang/>
        </w:rPr>
        <w:fldChar w:fldCharType="separate"/>
      </w:r>
      <w:r>
        <w:rPr>
          <w:rStyle w:val="18"/>
          <w:b/>
          <w:bCs/>
          <w:lang/>
        </w:rPr>
        <w:t xml:space="preserve">12.2 </w:t>
      </w:r>
      <w:r>
        <w:rPr>
          <w:rStyle w:val="18"/>
          <w:rFonts w:hint="eastAsia"/>
          <w:b/>
          <w:bCs/>
          <w:lang/>
        </w:rPr>
        <w:t>影响投资者决策的其他重要信息</w:t>
      </w:r>
      <w:r>
        <w:rPr>
          <w:lang/>
        </w:rPr>
        <w:tab/>
      </w:r>
      <w:r>
        <w:rPr>
          <w:lang/>
        </w:rPr>
        <w:fldChar w:fldCharType="begin"/>
      </w:r>
      <w:r>
        <w:rPr>
          <w:lang/>
        </w:rPr>
        <w:instrText xml:space="preserve"> PAGEREF _Toc4612835 \h </w:instrText>
      </w:r>
      <w:r>
        <w:rPr>
          <w:lang/>
        </w:rPr>
        <w:fldChar w:fldCharType="separate"/>
      </w:r>
      <w:r>
        <w:rPr>
          <w:lang/>
        </w:rPr>
        <w:t>114</w:t>
      </w:r>
      <w:r>
        <w:rPr>
          <w:lang/>
        </w:rPr>
        <w:fldChar w:fldCharType="end"/>
      </w:r>
      <w:r>
        <w:rPr>
          <w:rStyle w:val="18"/>
          <w:lang/>
        </w:rPr>
        <w:fldChar w:fldCharType="end"/>
      </w:r>
    </w:p>
    <w:p>
      <w:pPr>
        <w:pStyle w:val="8"/>
        <w:tabs>
          <w:tab w:val="right" w:leader="dot" w:pos="9080"/>
        </w:tabs>
        <w:rPr>
          <w:lang/>
        </w:rPr>
      </w:pPr>
      <w:r>
        <w:rPr>
          <w:rStyle w:val="18"/>
          <w:lang/>
        </w:rPr>
        <w:fldChar w:fldCharType="begin"/>
      </w:r>
      <w:r>
        <w:rPr>
          <w:rStyle w:val="18"/>
          <w:lang/>
        </w:rPr>
        <w:instrText xml:space="preserve"> </w:instrText>
      </w:r>
      <w:r>
        <w:rPr>
          <w:lang/>
        </w:rPr>
        <w:instrText xml:space="preserve">HYPERLINK \l "_Toc4612836"</w:instrText>
      </w:r>
      <w:r>
        <w:rPr>
          <w:rStyle w:val="18"/>
          <w:lang/>
        </w:rPr>
        <w:instrText xml:space="preserve"> </w:instrText>
      </w:r>
      <w:r>
        <w:rPr>
          <w:rStyle w:val="18"/>
          <w:lang/>
        </w:rPr>
        <w:fldChar w:fldCharType="separate"/>
      </w:r>
      <w:r>
        <w:rPr>
          <w:rStyle w:val="18"/>
          <w:b/>
          <w:lang/>
        </w:rPr>
        <w:t xml:space="preserve">§13  </w:t>
      </w:r>
      <w:r>
        <w:rPr>
          <w:rStyle w:val="18"/>
          <w:rFonts w:hint="eastAsia"/>
          <w:b/>
          <w:lang/>
        </w:rPr>
        <w:t>备查文件目录</w:t>
      </w:r>
      <w:r>
        <w:rPr>
          <w:lang/>
        </w:rPr>
        <w:tab/>
      </w:r>
      <w:r>
        <w:rPr>
          <w:lang/>
        </w:rPr>
        <w:fldChar w:fldCharType="begin"/>
      </w:r>
      <w:r>
        <w:rPr>
          <w:lang/>
        </w:rPr>
        <w:instrText xml:space="preserve"> PAGEREF _Toc4612836 \h </w:instrText>
      </w:r>
      <w:r>
        <w:rPr>
          <w:lang/>
        </w:rPr>
        <w:fldChar w:fldCharType="separate"/>
      </w:r>
      <w:r>
        <w:rPr>
          <w:lang/>
        </w:rPr>
        <w:t>114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"_Toc4612837"</w:instrText>
      </w:r>
      <w:r>
        <w:rPr>
          <w:rStyle w:val="18"/>
          <w:lang/>
        </w:rPr>
        <w:instrText xml:space="preserve"> </w:instrText>
      </w:r>
      <w:r>
        <w:rPr>
          <w:rStyle w:val="18"/>
          <w:lang/>
        </w:rPr>
        <w:fldChar w:fldCharType="separate"/>
      </w:r>
      <w:r>
        <w:rPr>
          <w:rStyle w:val="18"/>
          <w:b/>
          <w:bCs/>
          <w:lang/>
        </w:rPr>
        <w:t xml:space="preserve">13.1 </w:t>
      </w:r>
      <w:r>
        <w:rPr>
          <w:rStyle w:val="18"/>
          <w:rFonts w:hint="eastAsia"/>
          <w:b/>
          <w:bCs/>
          <w:lang/>
        </w:rPr>
        <w:t>备查文件目录</w:t>
      </w:r>
      <w:r>
        <w:rPr>
          <w:lang/>
        </w:rPr>
        <w:tab/>
      </w:r>
      <w:r>
        <w:rPr>
          <w:lang/>
        </w:rPr>
        <w:fldChar w:fldCharType="begin"/>
      </w:r>
      <w:r>
        <w:rPr>
          <w:lang/>
        </w:rPr>
        <w:instrText xml:space="preserve"> PAGEREF _Toc4612837 \h </w:instrText>
      </w:r>
      <w:r>
        <w:rPr>
          <w:lang/>
        </w:rPr>
        <w:fldChar w:fldCharType="separate"/>
      </w:r>
      <w:r>
        <w:rPr>
          <w:lang/>
        </w:rPr>
        <w:t>114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"_Toc4612838"</w:instrText>
      </w:r>
      <w:r>
        <w:rPr>
          <w:rStyle w:val="18"/>
          <w:lang/>
        </w:rPr>
        <w:instrText xml:space="preserve"> </w:instrText>
      </w:r>
      <w:r>
        <w:rPr>
          <w:rStyle w:val="18"/>
          <w:lang/>
        </w:rPr>
        <w:fldChar w:fldCharType="separate"/>
      </w:r>
      <w:r>
        <w:rPr>
          <w:rStyle w:val="18"/>
          <w:b/>
          <w:bCs/>
          <w:lang/>
        </w:rPr>
        <w:t xml:space="preserve">13.2 </w:t>
      </w:r>
      <w:r>
        <w:rPr>
          <w:rStyle w:val="18"/>
          <w:rFonts w:hint="eastAsia"/>
          <w:b/>
          <w:bCs/>
          <w:lang/>
        </w:rPr>
        <w:t>存放地点</w:t>
      </w:r>
      <w:r>
        <w:rPr>
          <w:lang/>
        </w:rPr>
        <w:tab/>
      </w:r>
      <w:r>
        <w:rPr>
          <w:lang/>
        </w:rPr>
        <w:fldChar w:fldCharType="begin"/>
      </w:r>
      <w:r>
        <w:rPr>
          <w:lang/>
        </w:rPr>
        <w:instrText xml:space="preserve"> PAGEREF _Toc4612838 \h </w:instrText>
      </w:r>
      <w:r>
        <w:rPr>
          <w:lang/>
        </w:rPr>
        <w:fldChar w:fldCharType="separate"/>
      </w:r>
      <w:r>
        <w:rPr>
          <w:lang/>
        </w:rPr>
        <w:t>114</w:t>
      </w:r>
      <w:r>
        <w:rPr>
          <w:lang/>
        </w:rPr>
        <w:fldChar w:fldCharType="end"/>
      </w:r>
      <w:r>
        <w:rPr>
          <w:rStyle w:val="18"/>
          <w:lang/>
        </w:rPr>
        <w:fldChar w:fldCharType="end"/>
      </w:r>
    </w:p>
    <w:p>
      <w:pPr>
        <w:pStyle w:val="11"/>
        <w:tabs>
          <w:tab w:val="right" w:leader="dot" w:pos="9080"/>
        </w:tabs>
        <w:rPr>
          <w:lang/>
        </w:rPr>
      </w:pPr>
      <w:r>
        <w:rPr>
          <w:rStyle w:val="18"/>
          <w:lang/>
        </w:rPr>
        <w:fldChar w:fldCharType="begin"/>
      </w:r>
      <w:r>
        <w:rPr>
          <w:rStyle w:val="18"/>
          <w:lang/>
        </w:rPr>
        <w:instrText xml:space="preserve"> </w:instrText>
      </w:r>
      <w:r>
        <w:rPr>
          <w:lang/>
        </w:rPr>
        <w:instrText xml:space="preserve">HYPERLINK \l "_Toc4612839"</w:instrText>
      </w:r>
      <w:r>
        <w:rPr>
          <w:rStyle w:val="18"/>
          <w:lang/>
        </w:rPr>
        <w:instrText xml:space="preserve"> </w:instrText>
      </w:r>
      <w:r>
        <w:rPr>
          <w:rStyle w:val="18"/>
          <w:lang/>
        </w:rPr>
        <w:fldChar w:fldCharType="separate"/>
      </w:r>
      <w:r>
        <w:rPr>
          <w:rStyle w:val="18"/>
          <w:b/>
          <w:bCs/>
          <w:lang/>
        </w:rPr>
        <w:t xml:space="preserve">13.3 </w:t>
      </w:r>
      <w:r>
        <w:rPr>
          <w:rStyle w:val="18"/>
          <w:rFonts w:hint="eastAsia"/>
          <w:b/>
          <w:bCs/>
          <w:lang/>
        </w:rPr>
        <w:t>查阅方式</w:t>
      </w:r>
      <w:r>
        <w:rPr>
          <w:lang/>
        </w:rPr>
        <w:tab/>
      </w:r>
      <w:r>
        <w:rPr>
          <w:lang/>
        </w:rPr>
        <w:fldChar w:fldCharType="begin"/>
      </w:r>
      <w:r>
        <w:rPr>
          <w:lang/>
        </w:rPr>
        <w:instrText xml:space="preserve"> PAGEREF _Toc4612839 \h </w:instrText>
      </w:r>
      <w:r>
        <w:rPr>
          <w:lang/>
        </w:rPr>
        <w:fldChar w:fldCharType="separate"/>
      </w:r>
      <w:r>
        <w:rPr>
          <w:lang/>
        </w:rPr>
        <w:t>114</w:t>
      </w:r>
      <w:r>
        <w:rPr>
          <w:lang/>
        </w:rPr>
        <w:fldChar w:fldCharType="end"/>
      </w:r>
      <w:r>
        <w:rPr>
          <w:rStyle w:val="18"/>
          <w:lang/>
        </w:rPr>
        <w:fldChar w:fldCharType="end"/>
      </w:r>
    </w:p>
    <w:p>
      <w:pPr>
        <w:pStyle w:val="20"/>
        <w:rPr>
          <w:rFonts w:hint="eastAsia"/>
        </w:rPr>
      </w:pPr>
      <w:r>
        <w:rPr>
          <w:rFonts w:ascii="Times New Roman" w:hAnsi="Times New Roman"/>
        </w:rPr>
        <w:fldChar w:fldCharType="end"/>
      </w:r>
      <w:r>
        <w:rPr>
          <w:rFonts w:ascii="Times New Roman" w:hAnsi="Times New Roman"/>
        </w:rPr>
        <w:br w:type="page"/>
      </w:r>
      <w:bookmarkStart w:id="3" w:name="_Toc4612738"/>
      <w:r>
        <w:rPr>
          <w:rFonts w:hint="eastAsia" w:hAnsi="Calibri"/>
          <w:b/>
          <w:color w:val="000000"/>
        </w:rPr>
        <w:t>§2  基金简介(转型后)</w:t>
      </w:r>
      <w:bookmarkEnd w:id="3"/>
    </w:p>
    <w:p>
      <w:pPr>
        <w:widowControl/>
        <w:jc w:val="left"/>
        <w:rPr>
          <w:rFonts w:hint="eastAsia" w:ascii="宋体" w:hAnsi="宋体" w:cs="宋体"/>
          <w:kern w:val="0"/>
          <w:sz w:val="24"/>
          <w:szCs w:val="24"/>
        </w:rPr>
      </w:pPr>
    </w:p>
    <w:p>
      <w:pPr>
        <w:pStyle w:val="21"/>
        <w:rPr>
          <w:rFonts w:hint="eastAsia"/>
        </w:rPr>
      </w:pPr>
      <w:bookmarkStart w:id="4" w:name="_Toc4612739"/>
      <w:r>
        <w:rPr>
          <w:rFonts w:hint="eastAsia"/>
          <w:b/>
          <w:bCs/>
        </w:rPr>
        <w:t>2.1 基金基本情况</w:t>
      </w:r>
      <w:bookmarkEnd w:id="4"/>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创金合信医疗保健行业股票型证券投资基金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2018年10月31日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4,820,017.02份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003231</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2,785,780.44份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2,034,236.58份</w:t>
            </w:r>
          </w:p>
        </w:tc>
      </w:tr>
    </w:tbl>
    <w:p>
      <w:pPr>
        <w:widowControl/>
        <w:jc w:val="left"/>
        <w:rPr>
          <w:rFonts w:hint="eastAsia" w:ascii="宋体" w:hAnsi="宋体" w:cs="宋体"/>
          <w:kern w:val="0"/>
          <w:sz w:val="24"/>
          <w:szCs w:val="24"/>
        </w:rPr>
      </w:pPr>
    </w:p>
    <w:p>
      <w:pPr>
        <w:pStyle w:val="21"/>
        <w:rPr>
          <w:rFonts w:hint="eastAsia"/>
        </w:rPr>
      </w:pPr>
      <w:bookmarkStart w:id="5" w:name="_Toc4612740"/>
      <w:r>
        <w:rPr>
          <w:rFonts w:hint="eastAsia"/>
          <w:b/>
          <w:bCs/>
        </w:rPr>
        <w:t>2.2 基金产品说明</w:t>
      </w:r>
      <w:bookmarkEnd w:id="5"/>
    </w:p>
    <w:tbl>
      <w:tblPr>
        <w:tblStyle w:val="14"/>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本基金通过对医疗保健行业进行研究和分析，精选成长性良好、估值合理的优质上市公司，力争取得超越业绩比较基准的收益。</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采取自上而下的资产配置思路，根据宏观经济发展趋势、政策方面因素、金融市场的利率变动和市场情绪，综合运用定性和定量的方法，对股票、债券和现金类资产的预期收益、风险水平及相对投资价值进行评估，确定基金资产在股票、债券及现金类资产等资产类别的具体分配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中证医药卫生指数收益率×90%+人民币活期存款利率（税后）×10%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1"/>
        <w:rPr>
          <w:rFonts w:hint="eastAsia"/>
        </w:rPr>
      </w:pPr>
      <w:bookmarkStart w:id="6" w:name="_Toc4612741"/>
      <w:r>
        <w:rPr>
          <w:rFonts w:hint="eastAsia"/>
          <w:b/>
          <w:bCs/>
        </w:rPr>
        <w:t>2.3 基金管理人和基金托管人</w:t>
      </w:r>
      <w:bookmarkEnd w:id="6"/>
    </w:p>
    <w:tbl>
      <w:tblPr>
        <w:tblStyle w:val="14"/>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田东辉</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010-68858113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tiandonghui@psbc.com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95580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010-68858120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北京市西城区金融大街3号</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北京市西城区金融大街3号A座</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100808</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张学文</w:t>
            </w:r>
          </w:p>
        </w:tc>
      </w:tr>
    </w:tbl>
    <w:p>
      <w:pPr>
        <w:widowControl/>
        <w:jc w:val="left"/>
        <w:rPr>
          <w:rFonts w:hint="eastAsia" w:ascii="宋体" w:hAnsi="宋体" w:cs="宋体"/>
          <w:kern w:val="0"/>
          <w:sz w:val="24"/>
          <w:szCs w:val="24"/>
        </w:rPr>
      </w:pPr>
    </w:p>
    <w:p>
      <w:pPr>
        <w:pStyle w:val="21"/>
        <w:rPr>
          <w:rFonts w:hint="eastAsia"/>
        </w:rPr>
      </w:pPr>
      <w:bookmarkStart w:id="7" w:name="_Toc4612742"/>
      <w:r>
        <w:rPr>
          <w:rFonts w:hint="eastAsia"/>
          <w:b/>
          <w:bCs/>
        </w:rPr>
        <w:t>2.4 信息披露方式</w:t>
      </w:r>
      <w:bookmarkEnd w:id="7"/>
    </w:p>
    <w:tbl>
      <w:tblPr>
        <w:tblStyle w:val="14"/>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pStyle w:val="27"/>
        <w:rPr>
          <w:rFonts w:hint="eastAsia"/>
        </w:rPr>
      </w:pPr>
      <w:r>
        <w:rPr>
          <w:rFonts w:hint="eastAsia"/>
        </w:rPr>
        <w:t>注：本基金自2019年1月19日起信息披露报纸由《证券时报》变更为《上海证券报》。</w:t>
      </w:r>
    </w:p>
    <w:p>
      <w:pPr>
        <w:widowControl/>
        <w:jc w:val="left"/>
        <w:rPr>
          <w:rFonts w:hint="eastAsia" w:ascii="宋体" w:hAnsi="宋体" w:cs="宋体"/>
          <w:kern w:val="0"/>
          <w:sz w:val="24"/>
          <w:szCs w:val="24"/>
        </w:rPr>
      </w:pPr>
    </w:p>
    <w:p>
      <w:pPr>
        <w:pStyle w:val="21"/>
        <w:rPr>
          <w:rFonts w:hint="eastAsia"/>
        </w:rPr>
      </w:pPr>
      <w:bookmarkStart w:id="8" w:name="_Toc4612743"/>
      <w:r>
        <w:rPr>
          <w:rFonts w:hint="eastAsia"/>
          <w:b/>
          <w:bCs/>
        </w:rPr>
        <w:t>2.5 其他相关资料</w:t>
      </w:r>
      <w:bookmarkEnd w:id="8"/>
    </w:p>
    <w:tbl>
      <w:tblPr>
        <w:tblStyle w:val="14"/>
        <w:tblW w:w="9120" w:type="dxa"/>
        <w:tblInd w:w="108" w:type="dxa"/>
        <w:tblLayout w:type="autofit"/>
        <w:tblCellMar>
          <w:top w:w="0" w:type="dxa"/>
          <w:left w:w="108" w:type="dxa"/>
          <w:bottom w:w="0" w:type="dxa"/>
          <w:right w:w="108" w:type="dxa"/>
        </w:tblCellMar>
      </w:tblPr>
      <w:tblGrid>
        <w:gridCol w:w="1823"/>
        <w:gridCol w:w="3284"/>
        <w:gridCol w:w="4013"/>
      </w:tblGrid>
      <w:tr>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20"/>
        <w:rPr>
          <w:rFonts w:hint="eastAsia"/>
        </w:rPr>
      </w:pPr>
      <w:bookmarkStart w:id="9" w:name="_Toc4612744"/>
      <w:r>
        <w:rPr>
          <w:rFonts w:hint="eastAsia" w:hAnsi="Calibri"/>
          <w:b/>
          <w:color w:val="000000"/>
        </w:rPr>
        <w:t>§2  基金简介(转型前)</w:t>
      </w:r>
      <w:bookmarkEnd w:id="9"/>
    </w:p>
    <w:p>
      <w:pPr>
        <w:widowControl/>
        <w:jc w:val="left"/>
        <w:rPr>
          <w:rFonts w:hint="eastAsia" w:ascii="宋体" w:hAnsi="宋体" w:cs="宋体"/>
          <w:kern w:val="0"/>
          <w:sz w:val="24"/>
          <w:szCs w:val="24"/>
        </w:rPr>
      </w:pPr>
    </w:p>
    <w:p>
      <w:pPr>
        <w:pStyle w:val="21"/>
        <w:rPr>
          <w:rFonts w:hint="eastAsia"/>
        </w:rPr>
      </w:pPr>
      <w:bookmarkStart w:id="10" w:name="_Toc4612745"/>
      <w:r>
        <w:rPr>
          <w:rFonts w:hint="eastAsia"/>
          <w:b/>
          <w:bCs/>
        </w:rPr>
        <w:t>2.1 基金基本情况</w:t>
      </w:r>
      <w:bookmarkEnd w:id="10"/>
    </w:p>
    <w:tbl>
      <w:tblPr>
        <w:tblStyle w:val="14"/>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创金合信鑫动力灵活配置混合型证券投资基金</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003230</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契约型开放式</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2016年08月30日</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4,506,555.26份</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不定期</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创金合信鑫动力混合C</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003231</w:t>
            </w:r>
          </w:p>
        </w:tc>
      </w:tr>
      <w:tr>
        <w:tblPrEx>
          <w:tblCellMar>
            <w:top w:w="0" w:type="dxa"/>
            <w:left w:w="108" w:type="dxa"/>
            <w:bottom w:w="0" w:type="dxa"/>
            <w:right w:w="108" w:type="dxa"/>
          </w:tblCellMar>
        </w:tblPrEx>
        <w:trPr>
          <w:wBefore w:w="0" w:type="dxa"/>
          <w:wAfter w:w="0" w:type="dxa"/>
        </w:trPr>
        <w:tc>
          <w:tcPr>
            <w:tcW w:w="40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4,364,507.53份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142,047.73份</w:t>
            </w:r>
          </w:p>
        </w:tc>
      </w:tr>
    </w:tbl>
    <w:p>
      <w:pPr>
        <w:widowControl/>
        <w:jc w:val="left"/>
        <w:rPr>
          <w:rFonts w:hint="eastAsia" w:ascii="宋体" w:hAnsi="宋体" w:cs="宋体"/>
          <w:kern w:val="0"/>
          <w:sz w:val="24"/>
          <w:szCs w:val="24"/>
        </w:rPr>
      </w:pPr>
    </w:p>
    <w:p>
      <w:pPr>
        <w:pStyle w:val="21"/>
        <w:rPr>
          <w:rFonts w:hint="eastAsia"/>
        </w:rPr>
      </w:pPr>
      <w:bookmarkStart w:id="11" w:name="_Toc4612746"/>
      <w:r>
        <w:rPr>
          <w:rFonts w:hint="eastAsia"/>
          <w:b/>
          <w:bCs/>
        </w:rPr>
        <w:t>2.2 基金产品说明</w:t>
      </w:r>
      <w:bookmarkEnd w:id="11"/>
    </w:p>
    <w:tbl>
      <w:tblPr>
        <w:tblStyle w:val="14"/>
        <w:tblW w:w="9120" w:type="dxa"/>
        <w:tblInd w:w="108" w:type="dxa"/>
        <w:tblLayout w:type="autofit"/>
        <w:tblCellMar>
          <w:top w:w="0" w:type="dxa"/>
          <w:left w:w="108" w:type="dxa"/>
          <w:bottom w:w="0" w:type="dxa"/>
          <w:right w:w="108" w:type="dxa"/>
        </w:tblCellMar>
      </w:tblPr>
      <w:tblGrid>
        <w:gridCol w:w="3282"/>
        <w:gridCol w:w="5838"/>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在严格控制风险的前提下，追求基金资产的稳健增值。</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在资产配置过程中采取"自上而下"的分析框架，基金管理人基于定量与定性相结合的分析方法，综合宏观数据、经济政策、货币政策、市场估值等因素，形成各资产类别预期收益与预期风险的判断，并进而确定股票、债券、货币市场工具等资产类别的配置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沪深300指数收益率×30% + 一年期人民币定期存款利率（税后）×70%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spacing w:before="0"/>
              <w:ind w:left="0" w:firstLine="480"/>
              <w:rPr>
                <w:rFonts w:hint="eastAsia"/>
              </w:rPr>
            </w:pPr>
            <w:r>
              <w:rPr>
                <w:rFonts w:hint="eastAsia"/>
              </w:rPr>
              <w:t>本基金为股票型基金，理论上其预期风险与预期收益水平高于混合型基金、债券型基金和货币市场基金。</w:t>
            </w:r>
          </w:p>
        </w:tc>
      </w:tr>
    </w:tbl>
    <w:p>
      <w:pPr>
        <w:widowControl/>
        <w:jc w:val="left"/>
        <w:rPr>
          <w:rFonts w:hint="eastAsia" w:ascii="宋体" w:hAnsi="宋体" w:cs="宋体"/>
          <w:kern w:val="0"/>
          <w:sz w:val="24"/>
          <w:szCs w:val="24"/>
        </w:rPr>
      </w:pPr>
    </w:p>
    <w:p>
      <w:pPr>
        <w:pStyle w:val="20"/>
        <w:rPr>
          <w:rFonts w:hint="eastAsia"/>
        </w:rPr>
      </w:pPr>
      <w:bookmarkStart w:id="12" w:name="_Toc4612747"/>
      <w:r>
        <w:rPr>
          <w:rFonts w:hint="eastAsia" w:hAnsi="Calibri"/>
          <w:b/>
          <w:color w:val="000000"/>
        </w:rPr>
        <w:t>§3  主要财务指标、基金净值表现及利润分配情况(转型后)</w:t>
      </w:r>
      <w:bookmarkEnd w:id="12"/>
    </w:p>
    <w:p>
      <w:pPr>
        <w:widowControl/>
        <w:jc w:val="left"/>
        <w:rPr>
          <w:rFonts w:hint="eastAsia" w:ascii="宋体" w:hAnsi="宋体" w:cs="宋体"/>
          <w:kern w:val="0"/>
          <w:sz w:val="24"/>
          <w:szCs w:val="24"/>
        </w:rPr>
      </w:pPr>
    </w:p>
    <w:p>
      <w:pPr>
        <w:pStyle w:val="21"/>
        <w:rPr>
          <w:rFonts w:hint="eastAsia"/>
        </w:rPr>
      </w:pPr>
      <w:bookmarkStart w:id="13" w:name="_Toc4612748"/>
      <w:r>
        <w:rPr>
          <w:rFonts w:hint="eastAsia"/>
          <w:b/>
          <w:bCs/>
        </w:rPr>
        <w:t>3.1 主要会计数据和财务指标</w:t>
      </w:r>
      <w:bookmarkEnd w:id="1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3033"/>
        <w:gridCol w:w="3006"/>
        <w:gridCol w:w="300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2018年10月31日（基金合同生效日） - 2018年12月31日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-359,794.05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-103,201.10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-693,051.35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-204,641.63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-382,180.77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-406,863.02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-0.2000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2,495,842.96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1,820,303.22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0.8948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Style w:val="16"/>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-10.58%</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4.本基金由创金合信鑫动力灵活配置混合型证券投资基金转型而来，基金转型生效日为2018年10月31日，截至报告期末，本基金成立不满一年。合同生效当期的相关数据和指标按实际存续期计算。</w:t>
      </w:r>
    </w:p>
    <w:p>
      <w:pPr>
        <w:widowControl/>
        <w:jc w:val="left"/>
        <w:rPr>
          <w:rFonts w:hint="eastAsia" w:ascii="宋体" w:hAnsi="宋体" w:cs="宋体"/>
          <w:kern w:val="0"/>
          <w:sz w:val="24"/>
          <w:szCs w:val="24"/>
        </w:rPr>
      </w:pPr>
    </w:p>
    <w:p>
      <w:pPr>
        <w:pStyle w:val="21"/>
        <w:rPr>
          <w:rFonts w:hint="eastAsia"/>
        </w:rPr>
      </w:pPr>
      <w:bookmarkStart w:id="14" w:name="_Toc4612749"/>
      <w:r>
        <w:rPr>
          <w:rFonts w:hint="eastAsia"/>
          <w:b/>
          <w:bCs/>
        </w:rPr>
        <w:t>3.2 基金净值表现</w:t>
      </w:r>
      <w:bookmarkEnd w:id="14"/>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创金合信医疗保健股票A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0.17%</w:t>
            </w:r>
          </w:p>
        </w:tc>
      </w:tr>
    </w:tbl>
    <w:p>
      <w:pPr>
        <w:pStyle w:val="24"/>
        <w:rPr>
          <w:rFonts w:hint="eastAsia"/>
        </w:rPr>
      </w:pPr>
      <w:r>
        <w:rPr>
          <w:rFonts w:hint="eastAsia" w:hAnsi="Calibri"/>
          <w:color w:val="000000"/>
        </w:rPr>
        <w:t>创金合信医疗保健股票C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0.17%</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自基金转型以来基金份额累计净值增长率变动及其与同期业绩比较基准收益率变动的比较</w:t>
      </w:r>
    </w:p>
    <w:p>
      <w:pPr>
        <w:pStyle w:val="24"/>
        <w:rPr>
          <w:rFonts w:hint="eastAsia"/>
        </w:rPr>
      </w:pPr>
      <w:r>
        <w:rPr>
          <w:rFonts w:hAnsi="Calibri"/>
          <w:color w:val="000000"/>
          <w:lang/>
        </w:rPr>
        <w:pict>
          <v:shape id="_x0000_i1025" o:spt="75" alt="E:\Bin-0326新客户端\MOD\TMP\CN_50990000_003230_FB010010_20190002_5.jpg" type="#_x0000_t75" style="height:286.5pt;width:441pt;" filled="f" stroked="f" coordsize="21600,21600">
            <v:path/>
            <v:fill on="f" focussize="0,0"/>
            <v:stroke on="f"/>
            <v:imagedata r:id="rId7" grayscale="f" bilevel="f" o:title="CN_50990000_003230_FB010010_20190002_5"/>
            <o:lock v:ext="edit" grouping="f" rotation="f" aspectratio="t"/>
            <w10:wrap type="none"/>
            <w10:anchorlock/>
          </v:shape>
        </w:pict>
      </w:r>
    </w:p>
    <w:p>
      <w:pPr>
        <w:pStyle w:val="24"/>
        <w:rPr>
          <w:rFonts w:hint="eastAsia"/>
        </w:rPr>
      </w:pPr>
      <w:r>
        <w:rPr>
          <w:rFonts w:hAnsi="Calibri"/>
          <w:color w:val="000000"/>
          <w:lang/>
        </w:rPr>
        <w:pict>
          <v:shape id="_x0000_i1026" o:spt="75" alt="E:\Bin-0326新客户端\MOD\TMP\CN_50990000_003230_FB010010_20190002_6.jpg" type="#_x0000_t75" style="height:286.5pt;width:441pt;" filled="f" stroked="f" coordsize="21600,21600">
            <v:path/>
            <v:fill on="f" focussize="0,0"/>
            <v:stroke on="f"/>
            <v:imagedata r:id="rId8" grayscale="f" bilevel="f" o:title="CN_50990000_003230_FB010010_20190002_6"/>
            <o:lock v:ext="edit" grouping="f" rotation="f" aspectratio="t"/>
            <w10:wrap type="none"/>
            <w10:anchorlock/>
          </v:shape>
        </w:pict>
      </w:r>
    </w:p>
    <w:p>
      <w:pPr>
        <w:widowControl/>
        <w:jc w:val="left"/>
        <w:rPr>
          <w:rFonts w:hint="eastAsia" w:ascii="宋体" w:hAnsi="宋体" w:cs="宋体"/>
          <w:kern w:val="0"/>
          <w:sz w:val="24"/>
          <w:szCs w:val="24"/>
        </w:rPr>
      </w:pPr>
      <w:r>
        <w:rPr>
          <w:rFonts w:hint="eastAsia" w:ascii="宋体" w:hAnsi="宋体" w:cs="宋体"/>
          <w:kern w:val="0"/>
          <w:sz w:val="24"/>
          <w:szCs w:val="24"/>
        </w:rPr>
        <w:t>注：1、本基金于2018年10月31日由创金合信鑫动力灵活配置混合型证券投资基金转型而来。截至报告期末，本基金转型不满一年。</w:t>
      </w:r>
      <w:r>
        <w:rPr>
          <w:rFonts w:hint="eastAsia" w:ascii="宋体" w:hAnsi="宋体" w:cs="宋体"/>
          <w:kern w:val="0"/>
          <w:sz w:val="24"/>
          <w:szCs w:val="24"/>
        </w:rPr>
        <w:br w:type="textWrapping"/>
      </w:r>
      <w:r>
        <w:rPr>
          <w:rFonts w:hint="eastAsia" w:ascii="宋体" w:hAnsi="宋体" w:cs="宋体"/>
          <w:kern w:val="0"/>
          <w:sz w:val="24"/>
          <w:szCs w:val="24"/>
        </w:rPr>
        <w:t xml:space="preserve">2、按照本基金的基金合同规定,自基金合同生效之日起六个月内使基金的投资组合比例符合本基金合同(第十二部分二、投资范围,三、投资策略和四、投资限制)的有关约定。本报告期本基金处于建仓期内。 </w:t>
      </w:r>
    </w:p>
    <w:p>
      <w:pPr>
        <w:widowControl/>
        <w:jc w:val="left"/>
        <w:rPr>
          <w:rFonts w:hint="eastAsia" w:ascii="宋体" w:hAnsi="宋体" w:cs="宋体"/>
          <w:kern w:val="0"/>
          <w:sz w:val="24"/>
          <w:szCs w:val="24"/>
        </w:rPr>
      </w:pPr>
    </w:p>
    <w:p>
      <w:pPr>
        <w:pStyle w:val="22"/>
        <w:rPr>
          <w:rFonts w:hint="eastAsia"/>
        </w:rPr>
      </w:pPr>
      <w:r>
        <w:rPr>
          <w:rFonts w:hint="eastAsia"/>
          <w:b/>
          <w:bCs/>
        </w:rPr>
        <w:t>3.2.3 自基金转型以来基金每年净值增长率及其与同期业绩比较基准收益率的比较</w:t>
      </w:r>
    </w:p>
    <w:p>
      <w:pPr>
        <w:pStyle w:val="24"/>
        <w:rPr>
          <w:rFonts w:hint="eastAsia"/>
        </w:rPr>
      </w:pPr>
      <w:r>
        <w:rPr>
          <w:rFonts w:hAnsi="Calibri"/>
          <w:color w:val="000000"/>
          <w:lang/>
        </w:rPr>
        <w:pict>
          <v:shape id="_x0000_i1027" o:spt="75" alt="E:\Bin-0326新客户端\MOD\TMP\CN_50990000_003230_FB010010_20190002_12.jpg" type="#_x0000_t75" style="height:286.5pt;width:441pt;" filled="f" stroked="f" coordsize="21600,21600">
            <v:path/>
            <v:fill on="f" focussize="0,0"/>
            <v:stroke on="f"/>
            <v:imagedata r:id="rId9" grayscale="f" bilevel="f" o:title="CN_50990000_003230_FB010010_20190002_12"/>
            <o:lock v:ext="edit" grouping="f" rotation="f" aspectratio="t"/>
            <w10:wrap type="none"/>
            <w10:anchorlock/>
          </v:shape>
        </w:pict>
      </w:r>
    </w:p>
    <w:p>
      <w:pPr>
        <w:pStyle w:val="24"/>
        <w:rPr>
          <w:rFonts w:hint="eastAsia"/>
        </w:rPr>
      </w:pPr>
      <w:r>
        <w:rPr>
          <w:rFonts w:hAnsi="Calibri"/>
          <w:color w:val="000000"/>
          <w:lang/>
        </w:rPr>
        <w:pict>
          <v:shape id="_x0000_i1028" o:spt="75" alt="E:\Bin-0326新客户端\MOD\TMP\CN_50990000_003230_FB010010_20190002_13.jpg" type="#_x0000_t75" style="height:286.5pt;width:441pt;" filled="f" stroked="f" coordsize="21600,21600">
            <v:path/>
            <v:fill on="f" focussize="0,0"/>
            <v:stroke on="f"/>
            <v:imagedata r:id="rId10" grayscale="f" bilevel="f" o:title="CN_50990000_003230_FB010010_20190002_13"/>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5" w:name="_Toc4612750"/>
      <w:r>
        <w:rPr>
          <w:rFonts w:hint="eastAsia" w:hAnsi="Calibri"/>
          <w:b/>
          <w:color w:val="000000"/>
        </w:rPr>
        <w:t>3.3 过去三年基金的利润分配情况</w:t>
      </w:r>
      <w:bookmarkEnd w:id="15"/>
    </w:p>
    <w:p>
      <w:pPr>
        <w:pStyle w:val="27"/>
        <w:rPr>
          <w:rFonts w:hint="eastAsia"/>
        </w:rPr>
      </w:pPr>
      <w:r>
        <w:rPr>
          <w:rFonts w:hint="eastAsia"/>
        </w:rPr>
        <w:t>本基金自基金合同生效日（2018年10月31日）至本报告期末未发生利润分配。</w:t>
      </w:r>
    </w:p>
    <w:p>
      <w:pPr>
        <w:widowControl/>
        <w:jc w:val="left"/>
        <w:rPr>
          <w:rFonts w:hint="eastAsia" w:ascii="宋体" w:hAnsi="宋体" w:cs="宋体"/>
          <w:kern w:val="0"/>
          <w:sz w:val="24"/>
          <w:szCs w:val="24"/>
        </w:rPr>
      </w:pPr>
    </w:p>
    <w:p>
      <w:pPr>
        <w:pStyle w:val="20"/>
        <w:rPr>
          <w:rFonts w:hint="eastAsia"/>
        </w:rPr>
      </w:pPr>
      <w:bookmarkStart w:id="16" w:name="_Toc4612751"/>
      <w:r>
        <w:rPr>
          <w:rFonts w:hint="eastAsia" w:hAnsi="Calibri"/>
          <w:b/>
          <w:color w:val="000000"/>
        </w:rPr>
        <w:t>§3  主要财务指标、基金净值表现及利润分配情况（转型前）</w:t>
      </w:r>
      <w:bookmarkEnd w:id="16"/>
    </w:p>
    <w:p>
      <w:pPr>
        <w:widowControl/>
        <w:jc w:val="left"/>
        <w:rPr>
          <w:rFonts w:hint="eastAsia" w:ascii="宋体" w:hAnsi="宋体" w:cs="宋体"/>
          <w:kern w:val="0"/>
          <w:sz w:val="24"/>
          <w:szCs w:val="24"/>
        </w:rPr>
      </w:pPr>
    </w:p>
    <w:p>
      <w:pPr>
        <w:pStyle w:val="21"/>
        <w:rPr>
          <w:rFonts w:hint="eastAsia"/>
        </w:rPr>
      </w:pPr>
      <w:bookmarkStart w:id="17" w:name="_Toc4612752"/>
      <w:r>
        <w:rPr>
          <w:rFonts w:hint="eastAsia"/>
          <w:b/>
          <w:bCs/>
        </w:rPr>
        <w:t>3.1 主要会计数据和财务指标</w:t>
      </w:r>
      <w:bookmarkEnd w:id="17"/>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1462"/>
        <w:gridCol w:w="1236"/>
        <w:gridCol w:w="1236"/>
        <w:gridCol w:w="1236"/>
        <w:gridCol w:w="1236"/>
        <w:gridCol w:w="1396"/>
        <w:gridCol w:w="1396"/>
      </w:tblGrid>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报告期(2018年01月01日-2018年10月30日)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2016年08月30日（基金合同生效日）-2016年12月31日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创金合信鑫动力混合C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25,743.91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-11,760,523.02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2,720.28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4,062,826.05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-479,676.70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-12,845.14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-2,237,719.22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2,449.52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-5,556,653.19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-681.34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-0.1409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-138,609.02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-12,267.38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358,522.15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1,644.62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-5,557,406.60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-716.94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-0.0864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0.0874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4,225,898.51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129,780.35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4,458,734.53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62,444.64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794,545,603.50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93,544.49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0.9140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0.9920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Style w:val="16"/>
                <w:rFonts w:hint="eastAsia" w:hAnsi="Calibri"/>
                <w:color w:val="000000"/>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2017年末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2016年末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-0.80%</w:t>
            </w:r>
          </w:p>
        </w:tc>
      </w:tr>
    </w:tbl>
    <w:p>
      <w:pPr>
        <w:pStyle w:val="27"/>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p>
    <w:p>
      <w:pPr>
        <w:widowControl/>
        <w:jc w:val="left"/>
        <w:rPr>
          <w:rFonts w:hint="eastAsia" w:ascii="宋体" w:hAnsi="宋体" w:cs="宋体"/>
          <w:kern w:val="0"/>
          <w:sz w:val="24"/>
          <w:szCs w:val="24"/>
        </w:rPr>
      </w:pPr>
    </w:p>
    <w:p>
      <w:pPr>
        <w:pStyle w:val="21"/>
        <w:rPr>
          <w:rFonts w:hint="eastAsia"/>
        </w:rPr>
      </w:pPr>
      <w:bookmarkStart w:id="18" w:name="_Toc4612753"/>
      <w:r>
        <w:rPr>
          <w:rFonts w:hint="eastAsia"/>
          <w:b/>
          <w:bCs/>
        </w:rPr>
        <w:t>3.2 基金净值表现</w:t>
      </w:r>
      <w:bookmarkEnd w:id="18"/>
    </w:p>
    <w:p>
      <w:pPr>
        <w:pStyle w:val="22"/>
        <w:rPr>
          <w:rFonts w:hint="eastAsia"/>
        </w:rPr>
      </w:pPr>
      <w:r>
        <w:rPr>
          <w:rFonts w:hint="eastAsia"/>
          <w:b/>
          <w:bCs/>
        </w:rPr>
        <w:t>3.2.1 基金份额净值增长率及其与同期业绩比较基准收益率的比较</w:t>
      </w:r>
    </w:p>
    <w:p>
      <w:pPr>
        <w:pStyle w:val="24"/>
        <w:rPr>
          <w:rFonts w:hint="eastAsia"/>
        </w:rPr>
      </w:pPr>
      <w:r>
        <w:rPr>
          <w:rFonts w:hint="eastAsia" w:hAnsi="Calibri"/>
          <w:color w:val="000000"/>
        </w:rPr>
        <w:t>创金合信鑫动力混合A</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0.67%</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0.21%</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0.22%</w:t>
            </w:r>
          </w:p>
        </w:tc>
      </w:tr>
    </w:tbl>
    <w:p>
      <w:pPr>
        <w:pStyle w:val="24"/>
        <w:rPr>
          <w:rFonts w:hint="eastAsia"/>
        </w:rPr>
      </w:pPr>
      <w:r>
        <w:rPr>
          <w:rFonts w:hint="eastAsia" w:hAnsi="Calibri"/>
          <w:color w:val="000000"/>
        </w:rPr>
        <w:t>创金合信鑫动力混合C</w:t>
      </w:r>
    </w:p>
    <w:tbl>
      <w:tblPr>
        <w:tblStyle w:val="14"/>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0.66%</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0.20%</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0.25%</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0.14%</w:t>
            </w:r>
          </w:p>
        </w:tc>
      </w:tr>
    </w:tbl>
    <w:p>
      <w:pPr>
        <w:widowControl/>
        <w:jc w:val="left"/>
        <w:rPr>
          <w:rFonts w:hint="eastAsia" w:ascii="宋体" w:hAnsi="宋体" w:cs="宋体"/>
          <w:kern w:val="0"/>
          <w:sz w:val="24"/>
          <w:szCs w:val="24"/>
        </w:rPr>
      </w:pPr>
    </w:p>
    <w:p>
      <w:pPr>
        <w:pStyle w:val="22"/>
        <w:rPr>
          <w:rFonts w:hint="eastAsia"/>
        </w:rPr>
      </w:pPr>
      <w:r>
        <w:rPr>
          <w:rFonts w:hint="eastAsia"/>
          <w:b/>
          <w:bCs/>
        </w:rPr>
        <w:t>3.2.2 自基金合同生效以来基金份额累计净值增长率变动及其与同期业绩比较基准收益率变动的比较</w:t>
      </w:r>
    </w:p>
    <w:p>
      <w:pPr>
        <w:pStyle w:val="24"/>
        <w:rPr>
          <w:rFonts w:hint="eastAsia"/>
        </w:rPr>
      </w:pPr>
      <w:r>
        <w:rPr>
          <w:rFonts w:hAnsi="Calibri"/>
          <w:color w:val="000000"/>
          <w:lang/>
        </w:rPr>
        <w:pict>
          <v:shape id="_x0000_i1029" o:spt="75" alt="E:\Bin-0326新客户端\MOD\TMP\CN_50990000_003230_FB010010_20190002_2.jpg" type="#_x0000_t75" style="height:286.5pt;width:441pt;" filled="f" stroked="f" coordsize="21600,21600">
            <v:path/>
            <v:fill on="f" focussize="0,0"/>
            <v:stroke on="f"/>
            <v:imagedata r:id="rId11" grayscale="f" bilevel="f" o:title="CN_50990000_003230_FB010010_20190002_2"/>
            <o:lock v:ext="edit" grouping="f" rotation="f" aspectratio="t"/>
            <w10:wrap type="none"/>
            <w10:anchorlock/>
          </v:shape>
        </w:pict>
      </w:r>
    </w:p>
    <w:p>
      <w:pPr>
        <w:pStyle w:val="24"/>
        <w:rPr>
          <w:rFonts w:hint="eastAsia"/>
        </w:rPr>
      </w:pPr>
      <w:r>
        <w:rPr>
          <w:rFonts w:hAnsi="Calibri"/>
          <w:color w:val="000000"/>
          <w:lang/>
        </w:rPr>
        <w:pict>
          <v:shape id="_x0000_i1030" o:spt="75" alt="E:\Bin-0326新客户端\MOD\TMP\CN_50990000_003230_FB010010_20190002_3.jpg" type="#_x0000_t75" style="height:286.5pt;width:441pt;" filled="f" stroked="f" coordsize="21600,21600">
            <v:path/>
            <v:fill on="f" focussize="0,0"/>
            <v:stroke on="f"/>
            <v:imagedata r:id="rId12" grayscale="f" bilevel="f" o:title="CN_50990000_003230_FB010010_20190002_3"/>
            <o:lock v:ext="edit" grouping="f" rotation="f" aspectratio="t"/>
            <w10:wrap type="none"/>
            <w10:anchorlock/>
          </v:shape>
        </w:pict>
      </w:r>
    </w:p>
    <w:p>
      <w:pPr>
        <w:widowControl/>
        <w:jc w:val="left"/>
        <w:rPr>
          <w:rFonts w:hint="eastAsia" w:ascii="宋体" w:hAnsi="宋体" w:cs="宋体"/>
          <w:kern w:val="0"/>
          <w:sz w:val="24"/>
          <w:szCs w:val="24"/>
        </w:rPr>
      </w:pPr>
    </w:p>
    <w:p>
      <w:pPr>
        <w:pStyle w:val="22"/>
        <w:rPr>
          <w:rFonts w:hint="eastAsia"/>
        </w:rPr>
      </w:pPr>
      <w:r>
        <w:rPr>
          <w:rFonts w:hint="eastAsia"/>
          <w:b/>
          <w:bCs/>
        </w:rPr>
        <w:t>3.2.3 自基金合同生效以来基金每年净值增长率及其与同期业绩比较基准收益率的比较</w:t>
      </w:r>
    </w:p>
    <w:p>
      <w:pPr>
        <w:pStyle w:val="24"/>
        <w:rPr>
          <w:rFonts w:hint="eastAsia"/>
        </w:rPr>
      </w:pPr>
      <w:r>
        <w:rPr>
          <w:rFonts w:hAnsi="Calibri"/>
          <w:color w:val="000000"/>
          <w:lang/>
        </w:rPr>
        <w:pict>
          <v:shape id="_x0000_i1031" o:spt="75" alt="E:\Bin-0326新客户端\MOD\TMP\CN_50990000_003230_FB010010_20190002_9.jpg" type="#_x0000_t75" style="height:286.5pt;width:441pt;" filled="f" stroked="f" coordsize="21600,21600">
            <v:path/>
            <v:fill on="f" focussize="0,0"/>
            <v:stroke on="f"/>
            <v:imagedata r:id="rId13" grayscale="f" bilevel="f" o:title="CN_50990000_003230_FB010010_20190002_9"/>
            <o:lock v:ext="edit" grouping="f" rotation="f" aspectratio="t"/>
            <w10:wrap type="none"/>
            <w10:anchorlock/>
          </v:shape>
        </w:pict>
      </w:r>
    </w:p>
    <w:p>
      <w:pPr>
        <w:pStyle w:val="24"/>
        <w:rPr>
          <w:rFonts w:hint="eastAsia"/>
        </w:rPr>
      </w:pPr>
      <w:r>
        <w:rPr>
          <w:rFonts w:hAnsi="Calibri"/>
          <w:color w:val="000000"/>
          <w:lang/>
        </w:rPr>
        <w:pict>
          <v:shape id="_x0000_i1032" o:spt="75" alt="E:\Bin-0326新客户端\MOD\TMP\CN_50990000_003230_FB010010_20190002_10.jpg" type="#_x0000_t75" style="height:286.5pt;width:441pt;" filled="f" stroked="f" coordsize="21600,21600">
            <v:path/>
            <v:fill on="f" focussize="0,0"/>
            <v:stroke on="f"/>
            <v:imagedata r:id="rId14" grayscale="f" bilevel="f" o:title="CN_50990000_003230_FB010010_20190002_10"/>
            <o:lock v:ext="edit" grouping="f" rotation="f" aspectratio="t"/>
            <w10:wrap type="none"/>
            <w10:anchorlock/>
          </v:shape>
        </w:pict>
      </w:r>
    </w:p>
    <w:p>
      <w:pPr>
        <w:widowControl/>
        <w:jc w:val="left"/>
        <w:rPr>
          <w:rFonts w:hint="eastAsia" w:ascii="宋体" w:hAnsi="宋体" w:cs="宋体"/>
          <w:kern w:val="0"/>
          <w:sz w:val="24"/>
          <w:szCs w:val="24"/>
        </w:rPr>
      </w:pPr>
    </w:p>
    <w:p>
      <w:pPr>
        <w:pStyle w:val="21"/>
        <w:rPr>
          <w:rFonts w:hint="eastAsia"/>
        </w:rPr>
      </w:pPr>
      <w:bookmarkStart w:id="19" w:name="_Toc4612754"/>
      <w:r>
        <w:rPr>
          <w:rFonts w:hint="eastAsia" w:hAnsi="Calibri"/>
          <w:b/>
          <w:color w:val="000000"/>
        </w:rPr>
        <w:t>3.3 过去三年基金的利润分配情况</w:t>
      </w:r>
      <w:bookmarkEnd w:id="19"/>
    </w:p>
    <w:p>
      <w:pPr>
        <w:pStyle w:val="27"/>
        <w:rPr>
          <w:rFonts w:hint="eastAsia"/>
        </w:rPr>
      </w:pPr>
      <w:r>
        <w:rPr>
          <w:rFonts w:hint="eastAsia"/>
        </w:rPr>
        <w:t>本基金自基金合同生效日（2016年8月30日）至本报告期末未发生利润分配。</w:t>
      </w:r>
    </w:p>
    <w:p>
      <w:pPr>
        <w:widowControl/>
        <w:jc w:val="left"/>
        <w:rPr>
          <w:rFonts w:hint="eastAsia" w:ascii="宋体" w:hAnsi="宋体" w:cs="宋体"/>
          <w:kern w:val="0"/>
          <w:sz w:val="24"/>
          <w:szCs w:val="24"/>
        </w:rPr>
      </w:pPr>
    </w:p>
    <w:p>
      <w:pPr>
        <w:pStyle w:val="20"/>
        <w:rPr>
          <w:rFonts w:hint="eastAsia"/>
        </w:rPr>
      </w:pPr>
      <w:bookmarkStart w:id="20" w:name="_Toc4612755"/>
      <w:r>
        <w:rPr>
          <w:rFonts w:hint="eastAsia" w:hAnsi="Calibri"/>
          <w:b/>
          <w:color w:val="000000"/>
        </w:rPr>
        <w:t>§4  管理人报告</w:t>
      </w:r>
      <w:bookmarkEnd w:id="20"/>
    </w:p>
    <w:p>
      <w:pPr>
        <w:widowControl/>
        <w:jc w:val="left"/>
        <w:rPr>
          <w:rFonts w:hint="eastAsia" w:ascii="宋体" w:hAnsi="宋体" w:cs="宋体"/>
          <w:kern w:val="0"/>
          <w:sz w:val="24"/>
          <w:szCs w:val="24"/>
        </w:rPr>
      </w:pPr>
    </w:p>
    <w:p>
      <w:pPr>
        <w:pStyle w:val="21"/>
        <w:rPr>
          <w:rFonts w:hint="eastAsia"/>
        </w:rPr>
      </w:pPr>
      <w:bookmarkStart w:id="21" w:name="_Toc4612756"/>
      <w:r>
        <w:rPr>
          <w:rFonts w:hint="eastAsia"/>
          <w:b/>
          <w:bCs/>
        </w:rPr>
        <w:t>4.1 基金管理人及基金经理情况</w:t>
      </w:r>
      <w:bookmarkEnd w:id="21"/>
    </w:p>
    <w:p>
      <w:pPr>
        <w:pStyle w:val="22"/>
        <w:rPr>
          <w:rFonts w:hint="eastAsia"/>
        </w:rPr>
      </w:pPr>
      <w:r>
        <w:rPr>
          <w:rFonts w:hint="eastAsia"/>
          <w:b/>
          <w:bCs/>
        </w:rPr>
        <w:t>4.1.1 基金管理人及其管理基金的经验</w:t>
      </w:r>
    </w:p>
    <w:p>
      <w:pPr>
        <w:pStyle w:val="27"/>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7"/>
        <w:spacing w:before="0"/>
        <w:ind w:left="0" w:firstLine="480"/>
        <w:rPr>
          <w:rFonts w:hint="eastAsia"/>
        </w:rPr>
      </w:pPr>
      <w:r>
        <w:rPr>
          <w:rFonts w:hint="eastAsia"/>
        </w:rPr>
        <w:t>公司始终坚持"客户利益至上"，致力于为客户实现长期稳定的投资回报，做客户投资理财的亲密伙伴。</w:t>
      </w:r>
    </w:p>
    <w:p>
      <w:pPr>
        <w:pStyle w:val="27"/>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22"/>
        <w:rPr>
          <w:rFonts w:hint="eastAsia"/>
        </w:rPr>
      </w:pPr>
      <w:r>
        <w:rPr>
          <w:rFonts w:hint="eastAsia"/>
          <w:b/>
          <w:bCs/>
        </w:rPr>
        <w:t>4.1.2 基金经理（或基金经理小组）及基金经理助理简介</w:t>
      </w:r>
    </w:p>
    <w:tbl>
      <w:tblPr>
        <w:tblStyle w:val="14"/>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皮劲松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皮劲松先生，中国国籍，中国药科大学硕士，2009年9月至2012年4月先后任职于中药固体制剂国家工程中心、上海药明康德新药开发有限公司从事技术开发工作，2012年4月加入东莞证券研究所任研究员，2014年8月加入创金合信基金管理有限公司，历任研究员、投资经理，现任基金经理。</w:t>
            </w:r>
          </w:p>
        </w:tc>
      </w:tr>
    </w:tbl>
    <w:p>
      <w:pPr>
        <w:pStyle w:val="27"/>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r>
        <w:rPr>
          <w:rFonts w:hint="eastAsia"/>
        </w:rPr>
        <w:br w:type="textWrapping"/>
      </w:r>
      <w:r>
        <w:rPr>
          <w:rFonts w:hint="eastAsia"/>
        </w:rPr>
        <w:t>3、2018年10月31日创金合信鑫动力灵活配置混合型证券投资基金转型为创金合信医疗保健行业股票型证券投资基金，基金经理由李晗、张荣、闫一帆变更为皮劲松。</w:t>
      </w:r>
    </w:p>
    <w:p>
      <w:pPr>
        <w:widowControl/>
        <w:jc w:val="left"/>
        <w:rPr>
          <w:rFonts w:hint="eastAsia" w:ascii="宋体" w:hAnsi="宋体" w:cs="宋体"/>
          <w:kern w:val="0"/>
          <w:sz w:val="24"/>
          <w:szCs w:val="24"/>
        </w:rPr>
      </w:pPr>
    </w:p>
    <w:p>
      <w:pPr>
        <w:pStyle w:val="21"/>
        <w:rPr>
          <w:rFonts w:hint="eastAsia"/>
        </w:rPr>
      </w:pPr>
      <w:bookmarkStart w:id="22" w:name="_Toc4612757"/>
      <w:r>
        <w:rPr>
          <w:rFonts w:hint="eastAsia" w:hAnsi="Calibri"/>
          <w:b/>
          <w:color w:val="000000"/>
        </w:rPr>
        <w:t>4.2 管理人对报告期内本基金运作遵规守信情况的说明</w:t>
      </w:r>
      <w:bookmarkEnd w:id="22"/>
    </w:p>
    <w:p>
      <w:pPr>
        <w:pStyle w:val="27"/>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因证券市场波动、上市公司合并、基金规模变动等基金管理人之外的因素致使基金投资不符合《公开募集证券投资基金运作管理办法》第三十二条规定的比例或者基金合同约定的投资比例的，基金管理人会在十个交易日内进行调整。</w:t>
      </w:r>
    </w:p>
    <w:p>
      <w:pPr>
        <w:widowControl/>
        <w:jc w:val="left"/>
        <w:rPr>
          <w:rFonts w:hint="eastAsia" w:ascii="宋体" w:hAnsi="宋体" w:cs="宋体"/>
          <w:kern w:val="0"/>
          <w:sz w:val="24"/>
          <w:szCs w:val="24"/>
        </w:rPr>
      </w:pPr>
    </w:p>
    <w:p>
      <w:pPr>
        <w:pStyle w:val="21"/>
        <w:rPr>
          <w:rFonts w:hint="eastAsia"/>
        </w:rPr>
      </w:pPr>
      <w:bookmarkStart w:id="23" w:name="_Toc4612758"/>
      <w:r>
        <w:rPr>
          <w:rFonts w:hint="eastAsia" w:hAnsi="Calibri"/>
          <w:b/>
          <w:color w:val="000000"/>
        </w:rPr>
        <w:t>4.3 管理人对报告期内公平交易情况的专项说明</w:t>
      </w:r>
      <w:bookmarkEnd w:id="23"/>
    </w:p>
    <w:p>
      <w:pPr>
        <w:pStyle w:val="22"/>
        <w:rPr>
          <w:rFonts w:hint="eastAsia"/>
        </w:rPr>
      </w:pPr>
      <w:r>
        <w:rPr>
          <w:rFonts w:hint="eastAsia" w:hAnsi="Calibri"/>
          <w:b/>
          <w:color w:val="000000"/>
        </w:rPr>
        <w:t>4.3.1 公平交易制度和控制方法</w:t>
      </w:r>
    </w:p>
    <w:p>
      <w:pPr>
        <w:pStyle w:val="27"/>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7"/>
        <w:spacing w:before="0"/>
        <w:ind w:left="0" w:firstLine="480"/>
        <w:rPr>
          <w:rFonts w:hint="eastAsia" w:hAnsi="Calibri"/>
          <w:color w:val="000000"/>
        </w:rPr>
      </w:pPr>
      <w:r>
        <w:rPr>
          <w:rFonts w:hint="eastAsia" w:hAnsi="Calibri"/>
          <w:color w:val="000000"/>
        </w:rPr>
        <w:t>1、授权、研究分析与投资决策的内部控制</w:t>
      </w:r>
    </w:p>
    <w:p>
      <w:pPr>
        <w:pStyle w:val="27"/>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7"/>
        <w:spacing w:before="0"/>
        <w:ind w:left="0" w:firstLine="480"/>
        <w:rPr>
          <w:rFonts w:hint="eastAsia" w:hAnsi="Calibri"/>
          <w:color w:val="000000"/>
        </w:rPr>
      </w:pPr>
      <w:r>
        <w:rPr>
          <w:rFonts w:hint="eastAsia" w:hAnsi="Calibri"/>
          <w:color w:val="000000"/>
        </w:rPr>
        <w:t>2、交易执行的内部控制</w:t>
      </w:r>
    </w:p>
    <w:p>
      <w:pPr>
        <w:pStyle w:val="27"/>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7"/>
        <w:spacing w:before="0"/>
        <w:ind w:left="0" w:firstLine="480"/>
        <w:rPr>
          <w:rFonts w:hint="eastAsia" w:hAnsi="Calibri"/>
          <w:color w:val="000000"/>
        </w:rPr>
      </w:pPr>
      <w:r>
        <w:rPr>
          <w:rFonts w:hint="eastAsia" w:hAnsi="Calibri"/>
          <w:color w:val="000000"/>
        </w:rPr>
        <w:t>3、交易指令分配的控制</w:t>
      </w:r>
    </w:p>
    <w:p>
      <w:pPr>
        <w:pStyle w:val="27"/>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7"/>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7"/>
        <w:spacing w:before="0"/>
        <w:ind w:left="0" w:firstLine="480"/>
        <w:rPr>
          <w:rFonts w:hint="eastAsia" w:hAnsi="Calibri"/>
          <w:color w:val="000000"/>
        </w:rPr>
      </w:pPr>
      <w:r>
        <w:rPr>
          <w:rFonts w:hint="eastAsia" w:hAnsi="Calibri"/>
          <w:color w:val="000000"/>
        </w:rPr>
        <w:t>4、公平交易监控</w:t>
      </w:r>
    </w:p>
    <w:p>
      <w:pPr>
        <w:pStyle w:val="27"/>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4.3.2 公平交易制度的执行情况</w:t>
      </w:r>
    </w:p>
    <w:p>
      <w:pPr>
        <w:pStyle w:val="27"/>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4.3.3 异常交易行为的专项说明</w:t>
      </w:r>
    </w:p>
    <w:p>
      <w:pPr>
        <w:pStyle w:val="27"/>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21"/>
        <w:rPr>
          <w:rFonts w:hint="eastAsia"/>
        </w:rPr>
      </w:pPr>
      <w:bookmarkStart w:id="24" w:name="_Toc4612759"/>
      <w:r>
        <w:rPr>
          <w:rFonts w:hint="eastAsia" w:hAnsi="Calibri"/>
          <w:b/>
          <w:color w:val="000000"/>
        </w:rPr>
        <w:t>4.4 管理人对报告期内基金的投资策略和业绩表现的说明</w:t>
      </w:r>
      <w:bookmarkEnd w:id="24"/>
    </w:p>
    <w:p>
      <w:pPr>
        <w:pStyle w:val="22"/>
        <w:rPr>
          <w:rFonts w:hint="eastAsia"/>
        </w:rPr>
      </w:pPr>
      <w:r>
        <w:rPr>
          <w:rFonts w:hint="eastAsia" w:hAnsi="Calibri"/>
          <w:b/>
          <w:color w:val="000000"/>
        </w:rPr>
        <w:t>4.4.1 报告期内基金投资策略和运作分析</w:t>
      </w:r>
    </w:p>
    <w:p>
      <w:pPr>
        <w:pStyle w:val="27"/>
        <w:spacing w:before="0"/>
        <w:ind w:left="0" w:firstLine="480"/>
        <w:rPr>
          <w:rFonts w:hint="eastAsia"/>
        </w:rPr>
      </w:pPr>
      <w:r>
        <w:rPr>
          <w:rFonts w:hint="eastAsia" w:hAnsi="Calibri"/>
          <w:color w:val="000000"/>
        </w:rPr>
        <w:t>本基金2018年10月31日完成转型，成立后较高仓位运作，重视精选个股。2018年医药行业受疫苗事件、药品带量采购等负面因素冲击，全年申万医药指数下跌27.7%，28个申万一级行业排名第7。2018年是医药改革深化年，国家医保局成立、药品带量采购、国家版辅助用药目录、一致性评价和鼓励创新推进等政策将深刻影响行业发展路径，总体看，鼓励药品和器械创新，限制辅助用药，让仿制药回归合理利润的方向已经明确。投资策略上，本基金关注符合产业发展趋势的细分领域，包括医疗器械、医疗服务、创新药、消费升级等，重点持有资产质量扎实、研发投入大、业绩稳定增长个股。</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4.4.2 报告期内基金的业绩表现</w:t>
      </w:r>
    </w:p>
    <w:p>
      <w:pPr>
        <w:pStyle w:val="27"/>
        <w:spacing w:before="0"/>
        <w:ind w:left="0" w:firstLine="480"/>
        <w:rPr>
          <w:rFonts w:hint="eastAsia" w:hAnsi="Calibri"/>
          <w:color w:val="000000"/>
        </w:rPr>
      </w:pPr>
      <w:r>
        <w:rPr>
          <w:rFonts w:hint="eastAsia" w:hAnsi="Calibri"/>
          <w:color w:val="000000"/>
        </w:rPr>
        <w:t>截至2018年10月30日，创金合信鑫动力混合A基金份额净值为0.9680元；自2018年1月1日至2018年10月30日本基金份额净值增长率为-10.95%，同期业绩比较基准收益率为-6.29%。</w:t>
      </w:r>
    </w:p>
    <w:p>
      <w:pPr>
        <w:pStyle w:val="27"/>
        <w:spacing w:before="0"/>
        <w:ind w:left="0" w:firstLine="480"/>
        <w:rPr>
          <w:rFonts w:hint="eastAsia" w:hAnsi="Calibri"/>
          <w:color w:val="000000"/>
        </w:rPr>
      </w:pPr>
      <w:r>
        <w:rPr>
          <w:rFonts w:hint="eastAsia" w:hAnsi="Calibri"/>
          <w:color w:val="000000"/>
        </w:rPr>
        <w:t>截至2018年10月30日，创金合信鑫动力混合C基金份额净值为0.9140元；自2018年1月1日至2018年10月30日本基金份额净值增长率为-11.00%，同期业绩比较基准收益率为-6.29%。</w:t>
      </w:r>
    </w:p>
    <w:p>
      <w:pPr>
        <w:pStyle w:val="27"/>
        <w:spacing w:before="0"/>
        <w:ind w:left="0" w:firstLine="480"/>
        <w:rPr>
          <w:rFonts w:hint="eastAsia" w:hAnsi="Calibri"/>
          <w:color w:val="000000"/>
        </w:rPr>
      </w:pPr>
      <w:r>
        <w:rPr>
          <w:rFonts w:hint="eastAsia" w:hAnsi="Calibri"/>
          <w:color w:val="000000"/>
        </w:rPr>
        <w:t>截至2018年12月31日，创金合信医疗保健股票A基金份额净值为0.8959元；自2018年10月31日至2018年12月31日本基金份额净值增长率为-10.41%，同期业绩比较基准收益率为-5.34%。</w:t>
      </w:r>
    </w:p>
    <w:p>
      <w:pPr>
        <w:pStyle w:val="27"/>
        <w:spacing w:before="0"/>
        <w:ind w:left="0" w:firstLine="480"/>
        <w:rPr>
          <w:rFonts w:hint="eastAsia"/>
        </w:rPr>
      </w:pPr>
      <w:r>
        <w:rPr>
          <w:rFonts w:hint="eastAsia" w:hAnsi="Calibri"/>
          <w:color w:val="000000"/>
        </w:rPr>
        <w:t>截至2018年12月31日，创金合信医疗保健股票C基金份额净值为0.8948元；自2018年10月31日至2018年12月31日本基金份额净值增长率为-10.58%，同期业绩比较基准收益率为-5.34%。</w:t>
      </w:r>
    </w:p>
    <w:p>
      <w:pPr>
        <w:widowControl/>
        <w:jc w:val="left"/>
        <w:rPr>
          <w:rFonts w:hint="eastAsia" w:ascii="宋体" w:hAnsi="宋体" w:cs="宋体"/>
          <w:kern w:val="0"/>
          <w:sz w:val="24"/>
          <w:szCs w:val="24"/>
        </w:rPr>
      </w:pPr>
    </w:p>
    <w:p>
      <w:pPr>
        <w:pStyle w:val="21"/>
        <w:rPr>
          <w:rFonts w:hint="eastAsia"/>
        </w:rPr>
      </w:pPr>
      <w:bookmarkStart w:id="25" w:name="_Toc4612760"/>
      <w:r>
        <w:rPr>
          <w:rFonts w:hint="eastAsia" w:hAnsi="Calibri"/>
          <w:b/>
          <w:color w:val="000000"/>
        </w:rPr>
        <w:t>4.5 管理人对宏观经济、证券市场及行业走势的简要展望</w:t>
      </w:r>
      <w:bookmarkEnd w:id="25"/>
    </w:p>
    <w:p>
      <w:pPr>
        <w:pStyle w:val="27"/>
        <w:spacing w:before="0"/>
        <w:ind w:left="0" w:firstLine="480"/>
        <w:rPr>
          <w:rFonts w:hint="eastAsia"/>
        </w:rPr>
      </w:pPr>
      <w:r>
        <w:rPr>
          <w:rFonts w:hint="eastAsia" w:hAnsi="Calibri"/>
          <w:color w:val="000000"/>
        </w:rPr>
        <w:t>传统基建地产增长引擎减弱，2019年国内宏观经济下行压力依旧较大，经济由中高速向高质量转变，高质量增长的关键是微观企业创新升级。经济下行期，部分领域竞争格局改善，集中度提升，存在结构性机会。医药属于弱经济、强政策周期行业，医保支出稳定增长，行业持续扩容，切蛋糕过程中，优势企业有望抢占更多份额，重点是寻找具有持续竞争优势的企业。</w:t>
      </w:r>
    </w:p>
    <w:p>
      <w:pPr>
        <w:widowControl/>
        <w:jc w:val="left"/>
        <w:rPr>
          <w:rFonts w:hint="eastAsia" w:ascii="宋体" w:hAnsi="宋体" w:cs="宋体"/>
          <w:kern w:val="0"/>
          <w:sz w:val="24"/>
          <w:szCs w:val="24"/>
        </w:rPr>
      </w:pPr>
    </w:p>
    <w:p>
      <w:pPr>
        <w:pStyle w:val="21"/>
        <w:rPr>
          <w:rFonts w:hint="eastAsia"/>
        </w:rPr>
      </w:pPr>
      <w:bookmarkStart w:id="26" w:name="_Toc4612761"/>
      <w:r>
        <w:rPr>
          <w:rFonts w:hint="eastAsia" w:hAnsi="Calibri"/>
          <w:b/>
          <w:color w:val="000000"/>
        </w:rPr>
        <w:t>4.6 管理人内部有关本基金的监察稽核工作情况</w:t>
      </w:r>
      <w:bookmarkEnd w:id="26"/>
    </w:p>
    <w:p>
      <w:pPr>
        <w:pStyle w:val="27"/>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7"/>
        <w:spacing w:before="0"/>
        <w:ind w:left="0" w:firstLine="480"/>
        <w:rPr>
          <w:rFonts w:hint="eastAsia"/>
        </w:rPr>
      </w:pPr>
      <w:r>
        <w:rPr>
          <w:rFonts w:hint="eastAsia"/>
        </w:rPr>
        <w:t>本报告期内，本基金管理人的主要内部监察稽核工作如下：</w:t>
      </w:r>
    </w:p>
    <w:p>
      <w:pPr>
        <w:pStyle w:val="27"/>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7"/>
        <w:spacing w:before="0"/>
        <w:ind w:left="0" w:firstLine="480"/>
        <w:rPr>
          <w:rFonts w:hint="eastAsia"/>
        </w:rPr>
      </w:pPr>
      <w:r>
        <w:rPr>
          <w:rFonts w:hint="eastAsia"/>
        </w:rPr>
        <w:t>（2）开展公司专项稽核工作，了解合规风险现状、发现薄弱环节，并持续督导改进；</w:t>
      </w:r>
    </w:p>
    <w:p>
      <w:pPr>
        <w:pStyle w:val="27"/>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7"/>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7"/>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7"/>
        <w:spacing w:before="0"/>
        <w:ind w:left="0" w:firstLine="480"/>
        <w:rPr>
          <w:rFonts w:hint="eastAsia"/>
        </w:rPr>
      </w:pPr>
      <w:r>
        <w:rPr>
          <w:rFonts w:hint="eastAsia"/>
        </w:rPr>
        <w:t>（6）加强关联交易管理。修订《关联交易管理制度》，履行关联交易决策审批程序；</w:t>
      </w:r>
    </w:p>
    <w:p>
      <w:pPr>
        <w:pStyle w:val="27"/>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7"/>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7"/>
        <w:spacing w:before="0"/>
        <w:ind w:left="0" w:firstLine="480"/>
        <w:rPr>
          <w:rFonts w:hint="eastAsia"/>
        </w:rPr>
      </w:pPr>
      <w:r>
        <w:rPr>
          <w:rFonts w:hint="eastAsia"/>
        </w:rPr>
        <w:t>（9）建立员工投资行为管理机制，规范员工的证券投资行为。</w:t>
      </w:r>
    </w:p>
    <w:p>
      <w:pPr>
        <w:pStyle w:val="27"/>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21"/>
        <w:rPr>
          <w:rFonts w:hint="eastAsia"/>
        </w:rPr>
      </w:pPr>
      <w:bookmarkStart w:id="27" w:name="_Toc4612762"/>
      <w:r>
        <w:rPr>
          <w:rFonts w:hint="eastAsia" w:hAnsi="Calibri"/>
          <w:b/>
          <w:color w:val="000000"/>
        </w:rPr>
        <w:t>4.7 管理人对报告期内基金估值程序等事项的说明</w:t>
      </w:r>
      <w:bookmarkEnd w:id="27"/>
    </w:p>
    <w:p>
      <w:pPr>
        <w:pStyle w:val="27"/>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7"/>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21"/>
        <w:rPr>
          <w:rFonts w:hint="eastAsia"/>
        </w:rPr>
      </w:pPr>
      <w:bookmarkStart w:id="28" w:name="_Toc4612763"/>
      <w:r>
        <w:rPr>
          <w:rFonts w:hint="eastAsia"/>
          <w:b/>
          <w:bCs/>
        </w:rPr>
        <w:t>4.8 管理人对报告期内基金利润分配情况的说明</w:t>
      </w:r>
      <w:bookmarkEnd w:id="28"/>
    </w:p>
    <w:p>
      <w:pPr>
        <w:pStyle w:val="27"/>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21"/>
        <w:rPr>
          <w:rFonts w:hint="eastAsia"/>
        </w:rPr>
      </w:pPr>
      <w:bookmarkStart w:id="29" w:name="_Toc4612764"/>
      <w:r>
        <w:rPr>
          <w:rFonts w:hint="eastAsia"/>
          <w:b/>
          <w:bCs/>
        </w:rPr>
        <w:t>4.9 报告期内管理人对本基金持有人数或基金资产净值预警情形的说明</w:t>
      </w:r>
      <w:bookmarkEnd w:id="29"/>
    </w:p>
    <w:p>
      <w:pPr>
        <w:pStyle w:val="27"/>
        <w:spacing w:before="0"/>
        <w:ind w:left="0" w:firstLine="480"/>
        <w:rPr>
          <w:rFonts w:hint="eastAsia"/>
        </w:rPr>
      </w:pPr>
      <w:r>
        <w:rPr>
          <w:rFonts w:hint="eastAsia"/>
        </w:rPr>
        <w:t>创金合信鑫动力灵活配置混合型证券投资基金自2018年10月31日起，正式变更为创金合信医疗保健行业股票型证券投资基金。</w:t>
      </w:r>
    </w:p>
    <w:p>
      <w:pPr>
        <w:pStyle w:val="27"/>
        <w:spacing w:before="0"/>
        <w:ind w:left="0" w:firstLine="480"/>
        <w:rPr>
          <w:rFonts w:hint="eastAsia"/>
        </w:rPr>
      </w:pPr>
      <w:r>
        <w:rPr>
          <w:rFonts w:hint="eastAsia"/>
        </w:rPr>
        <w:t>本基金转型前，已连续60个工作日基金资产净值低于五千万元，连续20个工作日基金份额持有人不满二百人，根据《公开募集证券投资基金运作管理办法》的有关规定，本基金管理人已向中国证监会报告并提出解决方案。</w:t>
      </w:r>
    </w:p>
    <w:p>
      <w:pPr>
        <w:pStyle w:val="27"/>
        <w:spacing w:before="0"/>
        <w:ind w:left="0" w:firstLine="480"/>
        <w:rPr>
          <w:rFonts w:hint="eastAsia"/>
        </w:rPr>
      </w:pPr>
      <w:r>
        <w:rPr>
          <w:rFonts w:hint="eastAsia"/>
        </w:rPr>
        <w:t>本基金转型后，已出现连续20个工作日基金资产净值低于五千万元的情形，该情形发生的时间范围为2018年10月31日起，并延续至报告期末。</w:t>
      </w:r>
    </w:p>
    <w:p>
      <w:pPr>
        <w:widowControl/>
        <w:jc w:val="left"/>
        <w:rPr>
          <w:rFonts w:hint="eastAsia" w:ascii="宋体" w:hAnsi="宋体" w:cs="宋体"/>
          <w:kern w:val="0"/>
          <w:sz w:val="24"/>
          <w:szCs w:val="24"/>
        </w:rPr>
      </w:pPr>
    </w:p>
    <w:p>
      <w:pPr>
        <w:pStyle w:val="20"/>
        <w:rPr>
          <w:rFonts w:hint="eastAsia"/>
        </w:rPr>
      </w:pPr>
      <w:bookmarkStart w:id="30" w:name="_Toc4612765"/>
      <w:r>
        <w:rPr>
          <w:rFonts w:hint="eastAsia" w:hAnsi="Calibri"/>
          <w:b/>
          <w:color w:val="000000"/>
        </w:rPr>
        <w:t>§5  托管人报告</w:t>
      </w:r>
      <w:bookmarkEnd w:id="30"/>
    </w:p>
    <w:p>
      <w:pPr>
        <w:widowControl/>
        <w:jc w:val="left"/>
        <w:rPr>
          <w:rFonts w:hint="eastAsia" w:ascii="宋体" w:hAnsi="宋体" w:cs="宋体"/>
          <w:kern w:val="0"/>
          <w:sz w:val="24"/>
          <w:szCs w:val="24"/>
        </w:rPr>
      </w:pPr>
    </w:p>
    <w:p>
      <w:pPr>
        <w:pStyle w:val="21"/>
        <w:rPr>
          <w:rFonts w:hint="eastAsia"/>
        </w:rPr>
      </w:pPr>
      <w:bookmarkStart w:id="31" w:name="_Toc4612766"/>
      <w:r>
        <w:rPr>
          <w:rFonts w:hint="eastAsia"/>
          <w:b/>
          <w:bCs/>
        </w:rPr>
        <w:t>5.1 报告期内本基金托管人遵规守信情况声明</w:t>
      </w:r>
      <w:bookmarkEnd w:id="31"/>
    </w:p>
    <w:p>
      <w:pPr>
        <w:pStyle w:val="27"/>
        <w:spacing w:before="0"/>
        <w:ind w:left="0" w:firstLine="480"/>
        <w:rPr>
          <w:rFonts w:hint="eastAsia"/>
        </w:rPr>
      </w:pPr>
      <w:r>
        <w:rPr>
          <w:rFonts w:hint="eastAsia"/>
        </w:rPr>
        <w:t>本报告期内，中国邮政储蓄银行股份有限公司（以下称"本托管人"）在创金合信医疗保健行业股票型证券投资基金（以下称"本基金"）的托管过程中，严格遵守《证券投资基金法》及其他有关法律法规、基金合同和托管协议的有关规定，不存在损害基金份额持有人利益的行为，完全尽职尽责地履行了应尽的义务。</w:t>
      </w:r>
    </w:p>
    <w:p>
      <w:pPr>
        <w:widowControl/>
        <w:jc w:val="left"/>
        <w:rPr>
          <w:rFonts w:hint="eastAsia" w:ascii="宋体" w:hAnsi="宋体" w:cs="宋体"/>
          <w:kern w:val="0"/>
          <w:sz w:val="24"/>
          <w:szCs w:val="24"/>
        </w:rPr>
      </w:pPr>
    </w:p>
    <w:p>
      <w:pPr>
        <w:pStyle w:val="21"/>
        <w:rPr>
          <w:rFonts w:hint="eastAsia"/>
        </w:rPr>
      </w:pPr>
      <w:bookmarkStart w:id="32" w:name="_Toc4612767"/>
      <w:r>
        <w:rPr>
          <w:rFonts w:hint="eastAsia"/>
          <w:b/>
          <w:bCs/>
        </w:rPr>
        <w:t>5.2 托管人对报告期内本基金投资运作遵规守信、净值计算、利润分配等情况的说明</w:t>
      </w:r>
      <w:bookmarkEnd w:id="32"/>
    </w:p>
    <w:p>
      <w:pPr>
        <w:pStyle w:val="27"/>
        <w:spacing w:before="0"/>
        <w:ind w:left="0" w:firstLine="480"/>
        <w:rPr>
          <w:rFonts w:hint="eastAsia"/>
        </w:rPr>
      </w:pPr>
      <w:r>
        <w:rPr>
          <w:rFonts w:hint="eastAsia"/>
        </w:rPr>
        <w:t>本报告期内，本托管人根据《证券投资基金法》及其他有关法律法规、基金合同和托管协议的规定，对本基金管理人的投资运作进行了必要的监督，对基金资产净值的计算、基金份额申购赎回价格的计算以及基金费用开支等方面进行了认真地复核，未发现本基金管理人存在损害基金份额持有人利益的行为。</w:t>
      </w:r>
    </w:p>
    <w:p>
      <w:pPr>
        <w:pStyle w:val="27"/>
        <w:spacing w:before="0"/>
        <w:ind w:left="0" w:firstLine="480"/>
        <w:rPr>
          <w:rFonts w:hint="eastAsia"/>
        </w:rPr>
      </w:pPr>
      <w:r>
        <w:rPr>
          <w:rFonts w:hint="eastAsia"/>
        </w:rPr>
        <w:t>报告期内，本基金未实施利润分配。</w:t>
      </w:r>
    </w:p>
    <w:p>
      <w:pPr>
        <w:widowControl/>
        <w:jc w:val="left"/>
        <w:rPr>
          <w:rFonts w:hint="eastAsia" w:ascii="宋体" w:hAnsi="宋体" w:cs="宋体"/>
          <w:kern w:val="0"/>
          <w:sz w:val="24"/>
          <w:szCs w:val="24"/>
        </w:rPr>
      </w:pPr>
    </w:p>
    <w:p>
      <w:pPr>
        <w:pStyle w:val="21"/>
        <w:rPr>
          <w:rFonts w:hint="eastAsia"/>
        </w:rPr>
      </w:pPr>
      <w:bookmarkStart w:id="33" w:name="_Toc4612768"/>
      <w:r>
        <w:rPr>
          <w:rFonts w:hint="eastAsia"/>
          <w:b/>
          <w:bCs/>
        </w:rPr>
        <w:t>5.3 托管人对本年度报告中财务信息等内容的真实、准确和完整发表意见</w:t>
      </w:r>
      <w:bookmarkEnd w:id="33"/>
    </w:p>
    <w:p>
      <w:pPr>
        <w:pStyle w:val="27"/>
        <w:spacing w:before="0"/>
        <w:ind w:left="0" w:firstLine="480"/>
        <w:rPr>
          <w:rFonts w:hint="eastAsia"/>
        </w:rPr>
      </w:pPr>
      <w:r>
        <w:rPr>
          <w:rFonts w:hint="eastAsia"/>
        </w:rPr>
        <w:t>本报告中的财务指标、净值表现、收益分配情况、财务会计报告、投资组合报告等数据真实、准确和完整。</w:t>
      </w:r>
    </w:p>
    <w:p>
      <w:pPr>
        <w:widowControl/>
        <w:jc w:val="left"/>
        <w:rPr>
          <w:rFonts w:hint="eastAsia" w:ascii="宋体" w:hAnsi="宋体" w:cs="宋体"/>
          <w:kern w:val="0"/>
          <w:sz w:val="24"/>
          <w:szCs w:val="24"/>
        </w:rPr>
      </w:pPr>
    </w:p>
    <w:p>
      <w:pPr>
        <w:pStyle w:val="20"/>
        <w:rPr>
          <w:rFonts w:hint="eastAsia"/>
        </w:rPr>
      </w:pPr>
      <w:bookmarkStart w:id="34" w:name="_Toc4612769"/>
      <w:r>
        <w:rPr>
          <w:rFonts w:hint="eastAsia" w:hAnsi="Calibri"/>
          <w:b/>
          <w:color w:val="000000"/>
        </w:rPr>
        <w:t>§6  审计报告(转型后)</w:t>
      </w:r>
      <w:bookmarkEnd w:id="34"/>
    </w:p>
    <w:p>
      <w:pPr>
        <w:widowControl/>
        <w:jc w:val="left"/>
        <w:rPr>
          <w:rFonts w:hint="eastAsia" w:ascii="宋体" w:hAnsi="宋体" w:cs="宋体"/>
          <w:kern w:val="0"/>
          <w:sz w:val="24"/>
          <w:szCs w:val="24"/>
        </w:rPr>
      </w:pPr>
    </w:p>
    <w:p>
      <w:pPr>
        <w:pStyle w:val="21"/>
        <w:rPr>
          <w:rFonts w:hint="eastAsia"/>
        </w:rPr>
      </w:pPr>
      <w:bookmarkStart w:id="35" w:name="_Toc4612770"/>
      <w:r>
        <w:rPr>
          <w:rFonts w:hint="eastAsia"/>
          <w:b/>
          <w:bCs/>
        </w:rPr>
        <w:t>6.1 审计报告基本信息</w:t>
      </w:r>
      <w:bookmarkEnd w:id="35"/>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普华永道中天审字(2019)第24780号</w:t>
            </w:r>
          </w:p>
        </w:tc>
      </w:tr>
    </w:tbl>
    <w:p>
      <w:pPr>
        <w:widowControl/>
        <w:jc w:val="left"/>
        <w:rPr>
          <w:rFonts w:hint="eastAsia" w:ascii="宋体" w:hAnsi="宋体" w:cs="宋体"/>
          <w:kern w:val="0"/>
          <w:sz w:val="24"/>
          <w:szCs w:val="24"/>
        </w:rPr>
      </w:pPr>
    </w:p>
    <w:p>
      <w:pPr>
        <w:pStyle w:val="21"/>
        <w:rPr>
          <w:rFonts w:hint="eastAsia"/>
        </w:rPr>
      </w:pPr>
      <w:bookmarkStart w:id="36" w:name="_Toc4612771"/>
      <w:r>
        <w:rPr>
          <w:rFonts w:hint="eastAsia"/>
          <w:b/>
          <w:bCs/>
        </w:rPr>
        <w:t>6.2 审计报告的基本内容</w:t>
      </w:r>
      <w:bookmarkEnd w:id="36"/>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 xml:space="preserve">创金合信医疗保健行业股票型证券投资基金(原创金合信鑫动力灵活配置混合型证券投资基金)全体基金份额持有人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医疗保健行业股票型证券投资基金(原创金合信鑫动力灵活配置混合型证券投资基金，以下简称“创金合信医疗保健股票基金”)的财务报表，包括2018年12月31日的资产负债表，2018年10月31日(基金合同生效日)至2018年12月31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医疗保健股票基金2018年12月31日的财务状况以及2018年10月31日(基金合同生效日)至2018年12月31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按照中国注册会计师职业道德守则，我们独立于创金合信医疗保健股票基金，并履行了职业道德方面的其他责任。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医疗保健股票基金的持续经营能力，披露与持续经营相关的事项(如适用)，并运用持续经营假设，除非基金管理人管理层计划清算创金合信医疗保健股票基金 、终止运营或别无其他现实的选择。 基金管理人治理层负责监督创金合信医疗保健股票基金的财务报告过程。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医疗保健股票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医疗保健股票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37" w:name="_Toc4612772"/>
      <w:r>
        <w:rPr>
          <w:rFonts w:hint="eastAsia" w:hAnsi="Calibri"/>
          <w:b/>
          <w:color w:val="000000"/>
        </w:rPr>
        <w:t>§6  审计报告(转型前)</w:t>
      </w:r>
      <w:bookmarkEnd w:id="37"/>
    </w:p>
    <w:p>
      <w:pPr>
        <w:widowControl/>
        <w:jc w:val="left"/>
        <w:rPr>
          <w:rFonts w:hint="eastAsia" w:ascii="宋体" w:hAnsi="宋体" w:cs="宋体"/>
          <w:kern w:val="0"/>
          <w:sz w:val="24"/>
          <w:szCs w:val="24"/>
        </w:rPr>
      </w:pPr>
    </w:p>
    <w:p>
      <w:pPr>
        <w:pStyle w:val="21"/>
        <w:rPr>
          <w:rFonts w:hint="eastAsia"/>
        </w:rPr>
      </w:pPr>
      <w:bookmarkStart w:id="38" w:name="_Toc4612773"/>
      <w:r>
        <w:rPr>
          <w:rFonts w:hint="eastAsia"/>
          <w:b/>
          <w:bCs/>
        </w:rPr>
        <w:t>6.1 审计报告基本信息</w:t>
      </w:r>
      <w:bookmarkEnd w:id="38"/>
    </w:p>
    <w:tbl>
      <w:tblPr>
        <w:tblStyle w:val="14"/>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普华永道中天审字(2019)第24810号</w:t>
            </w:r>
          </w:p>
        </w:tc>
      </w:tr>
    </w:tbl>
    <w:p>
      <w:pPr>
        <w:widowControl/>
        <w:jc w:val="left"/>
        <w:rPr>
          <w:rFonts w:hint="eastAsia" w:ascii="宋体" w:hAnsi="宋体" w:cs="宋体"/>
          <w:kern w:val="0"/>
          <w:sz w:val="24"/>
          <w:szCs w:val="24"/>
        </w:rPr>
      </w:pPr>
    </w:p>
    <w:p>
      <w:pPr>
        <w:pStyle w:val="21"/>
        <w:rPr>
          <w:rFonts w:hint="eastAsia"/>
        </w:rPr>
      </w:pPr>
      <w:bookmarkStart w:id="39" w:name="_Toc4612774"/>
      <w:r>
        <w:rPr>
          <w:rFonts w:hint="eastAsia"/>
          <w:b/>
          <w:bCs/>
        </w:rPr>
        <w:t>6.2 审计报告的基本内容</w:t>
      </w:r>
      <w:bookmarkEnd w:id="39"/>
    </w:p>
    <w:tbl>
      <w:tblPr>
        <w:tblStyle w:val="14"/>
        <w:tblW w:w="9045" w:type="dxa"/>
        <w:tblInd w:w="108" w:type="dxa"/>
        <w:tblLayout w:type="autofit"/>
        <w:tblCellMar>
          <w:top w:w="0" w:type="dxa"/>
          <w:left w:w="108" w:type="dxa"/>
          <w:bottom w:w="0" w:type="dxa"/>
          <w:right w:w="108" w:type="dxa"/>
        </w:tblCellMar>
      </w:tblPr>
      <w:tblGrid>
        <w:gridCol w:w="3831"/>
        <w:gridCol w:w="5214"/>
      </w:tblGrid>
      <w:tr>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创金合信鑫动力灵活配置混合型证券投资基金全体基金份额持有人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 我们审计的内容 我们审计了创金合信鑫动力灵活配置混合型证券投资基金 (以下简称“创金合信鑫动力混合基金”)的财务报表，包括2018年10月30日(基金合同失效前日)的资产负债表，2018年1月1日至2018年10月30日(基金合同失效前日)止期间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鑫动力混合基金2018年10月30日(基金合同失效前日)的财务状况以及 2018年1月1日至2018年10月30日(基金合同失效前日)止期间的经营成果和基金净值变动情况。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按照中国注册会计师职业道德守则，我们独立于创金合信鑫动力混合基金，并履行了职业道德方面的其他责任。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鑫动力混合基金的持续经营能力，披露与持续经营相关的事项(如适用)，并运用持续经营假设，除非基金管理人管理层计划清算创金合信鑫动力混合基金、终止运营或别无其他现实的选择。 基金管理人治理层负责监督创金合信鑫动力混合基金的财务报告过程。 </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鑫动力混合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鑫动力混合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20"/>
        <w:rPr>
          <w:rFonts w:hint="eastAsia"/>
        </w:rPr>
      </w:pPr>
      <w:bookmarkStart w:id="40" w:name="_Toc4612775"/>
      <w:r>
        <w:rPr>
          <w:rFonts w:hint="eastAsia" w:hAnsi="Calibri"/>
          <w:b/>
          <w:color w:val="000000"/>
        </w:rPr>
        <w:t>§7  年度财务报表(转型后)</w:t>
      </w:r>
      <w:bookmarkEnd w:id="40"/>
    </w:p>
    <w:p>
      <w:pPr>
        <w:widowControl/>
        <w:jc w:val="left"/>
        <w:rPr>
          <w:rFonts w:hint="eastAsia" w:ascii="宋体" w:hAnsi="宋体" w:cs="宋体"/>
          <w:kern w:val="0"/>
          <w:sz w:val="24"/>
          <w:szCs w:val="24"/>
        </w:rPr>
      </w:pPr>
    </w:p>
    <w:p>
      <w:pPr>
        <w:pStyle w:val="21"/>
        <w:rPr>
          <w:rFonts w:hint="eastAsia"/>
        </w:rPr>
      </w:pPr>
      <w:bookmarkStart w:id="41" w:name="_Toc4612776"/>
      <w:r>
        <w:rPr>
          <w:rFonts w:hint="eastAsia"/>
          <w:b/>
          <w:bCs/>
        </w:rPr>
        <w:t>7.1 资产负债表</w:t>
      </w:r>
      <w:bookmarkEnd w:id="41"/>
    </w:p>
    <w:p>
      <w:pPr>
        <w:pStyle w:val="24"/>
        <w:rPr>
          <w:rFonts w:hint="eastAsia"/>
        </w:rPr>
      </w:pPr>
      <w:r>
        <w:rPr>
          <w:rFonts w:hint="eastAsia"/>
        </w:rPr>
        <w:t>会计主体：创金合信医疗保健行业股票型证券投资基金</w:t>
      </w:r>
    </w:p>
    <w:p>
      <w:pPr>
        <w:pStyle w:val="24"/>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3660"/>
        <w:gridCol w:w="1912"/>
        <w:gridCol w:w="3548"/>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3,105,672.20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105,887.03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7,334.26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4,078,582.07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432,816.17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3,294.18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8,319.44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7,741,905.35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3,371,077.02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9,950.79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1,326.76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1,108.07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22,297.23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19,999.30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3,425,759.17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5,105,189.97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-789,043.79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4,316,146.18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7,741,905.35</w:t>
            </w:r>
          </w:p>
        </w:tc>
      </w:tr>
    </w:tbl>
    <w:p>
      <w:pPr>
        <w:pStyle w:val="27"/>
        <w:rPr>
          <w:rFonts w:hint="eastAsia"/>
        </w:rPr>
      </w:pPr>
      <w:r>
        <w:rPr>
          <w:rFonts w:hint="eastAsia"/>
        </w:rPr>
        <w:t>注：1.报告截止日2018年12月31日，基金份额总额4,820,017.02份，其中A类基金份额的份额总额为2,785,780.44份，份额净值0.8959元；C类基金份额的份额总额为2,034,236.58份，份额净值0.8948元。</w:t>
      </w:r>
      <w:r>
        <w:rPr>
          <w:rFonts w:hint="eastAsia"/>
        </w:rPr>
        <w:br w:type="textWrapping"/>
      </w:r>
      <w:r>
        <w:rPr>
          <w:rFonts w:hint="eastAsia"/>
        </w:rPr>
        <w:t>2.本基金由创金合信鑫动力灵活配置混合型证券投资基金转型而来，基金转型生效日为2018年10月31日，2018年度实际报告期间为2018年10月31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2" w:name="_Toc4612777"/>
      <w:r>
        <w:rPr>
          <w:rFonts w:hint="eastAsia"/>
          <w:b/>
          <w:bCs/>
        </w:rPr>
        <w:t>7.2 利润表</w:t>
      </w:r>
      <w:bookmarkEnd w:id="42"/>
    </w:p>
    <w:p>
      <w:pPr>
        <w:pStyle w:val="24"/>
        <w:rPr>
          <w:rFonts w:hint="eastAsia"/>
        </w:rPr>
      </w:pPr>
      <w:r>
        <w:rPr>
          <w:rFonts w:hint="eastAsia"/>
        </w:rPr>
        <w:t>会计主体：创金合信医疗保健行业股票型证券投资基金</w:t>
      </w:r>
    </w:p>
    <w:p>
      <w:pPr>
        <w:pStyle w:val="24"/>
        <w:rPr>
          <w:rFonts w:hint="eastAsia"/>
        </w:rPr>
      </w:pPr>
      <w:r>
        <w:rPr>
          <w:rFonts w:hint="eastAsia"/>
        </w:rPr>
        <w:t>本报告期：2018年10月31日（基金合同生效日）至2018年12月31日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120" w:type="dxa"/>
        <w:tblInd w:w="108" w:type="dxa"/>
        <w:tblLayout w:type="autofit"/>
        <w:tblCellMar>
          <w:top w:w="0" w:type="dxa"/>
          <w:left w:w="108" w:type="dxa"/>
          <w:bottom w:w="0" w:type="dxa"/>
          <w:right w:w="108" w:type="dxa"/>
        </w:tblCellMar>
      </w:tblPr>
      <w:tblGrid>
        <w:gridCol w:w="4166"/>
        <w:gridCol w:w="1912"/>
        <w:gridCol w:w="3042"/>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本期2018年10月31日（基金合同生效日）至2018年12月31日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-828,805.51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2,550.34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1,859.90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690.44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-397,159.81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-360,019.81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-37,140.00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-434,697.83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501.79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68,887.47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19,278.28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2,570.43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1,978.93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38,395.80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6,664.03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-897,692.98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-897,692.98</w:t>
            </w:r>
          </w:p>
        </w:tc>
      </w:tr>
    </w:tbl>
    <w:p>
      <w:pPr>
        <w:pStyle w:val="27"/>
        <w:rPr>
          <w:rFonts w:hint="eastAsia"/>
        </w:rPr>
      </w:pPr>
      <w:r>
        <w:rPr>
          <w:rFonts w:hint="eastAsia"/>
        </w:rPr>
        <w:t>注：本基金由创金合信鑫动力灵活配置混合型证券投资基金转型而来，基金转型生效日为2018年10月31日，2018年度实际报告期间为2018年10月31日(基金转型生效日)至2018年12月31日。截止报告期末本基金转型未满一年，本报告期的财务报表及报表附注均无同期对比数据。</w:t>
      </w:r>
    </w:p>
    <w:p>
      <w:pPr>
        <w:widowControl/>
        <w:jc w:val="left"/>
        <w:rPr>
          <w:rFonts w:hint="eastAsia" w:ascii="宋体" w:hAnsi="宋体" w:cs="宋体"/>
          <w:kern w:val="0"/>
          <w:sz w:val="24"/>
          <w:szCs w:val="24"/>
        </w:rPr>
      </w:pPr>
    </w:p>
    <w:p>
      <w:pPr>
        <w:pStyle w:val="21"/>
        <w:rPr>
          <w:rFonts w:hint="eastAsia"/>
        </w:rPr>
      </w:pPr>
      <w:bookmarkStart w:id="43" w:name="_Toc4612778"/>
      <w:r>
        <w:rPr>
          <w:rFonts w:hint="eastAsia"/>
          <w:b/>
          <w:bCs/>
        </w:rPr>
        <w:t>7.3 所有者权益（基金净值）变动表</w:t>
      </w:r>
      <w:bookmarkEnd w:id="43"/>
    </w:p>
    <w:p>
      <w:pPr>
        <w:pStyle w:val="24"/>
        <w:rPr>
          <w:rFonts w:hint="eastAsia"/>
        </w:rPr>
      </w:pPr>
      <w:r>
        <w:rPr>
          <w:rFonts w:hint="eastAsia"/>
        </w:rPr>
        <w:t>会计主体：创金合信医疗保健行业股票型证券投资基金</w:t>
      </w:r>
    </w:p>
    <w:p>
      <w:pPr>
        <w:pStyle w:val="24"/>
        <w:rPr>
          <w:rFonts w:hint="eastAsia"/>
        </w:rPr>
      </w:pPr>
      <w:r>
        <w:rPr>
          <w:rFonts w:hint="eastAsia"/>
        </w:rPr>
        <w:t>本报告期：2018年10月31日（基金合同生效日）至2018年12月31日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4,506,555.26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-150,876.40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4,355,678.86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-897,692.98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-897,692.98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598,634.71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259,525.59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858,160.30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4,665,026.22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-274,005.24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4,391,020.98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-4,066,391.51</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533,530.83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-3,532,860.68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5,105,189.97</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-789,043.79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4,316,146.18</w:t>
            </w:r>
          </w:p>
        </w:tc>
      </w:tr>
    </w:tbl>
    <w:p>
      <w:pPr>
        <w:pStyle w:val="27"/>
        <w:rPr>
          <w:rFonts w:hint="eastAsia"/>
        </w:rPr>
      </w:pPr>
      <w:r>
        <w:rPr>
          <w:rFonts w:hint="eastAsia"/>
        </w:rPr>
        <w:t>注：本基金由创金合信鑫动力灵活配置混合型证券投资基金转型而来，基金转型生效日为2018年10月31日，2018年度实际报告期间为2018年10月31日(基金转型生效日)至2018年12月31日。截止报告期末本基金转型未满一年，本报告期的财务报表及报表附注均无同期对比数据。</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4" w:name="_Toc4612779"/>
      <w:r>
        <w:rPr>
          <w:rFonts w:hint="eastAsia"/>
          <w:b/>
          <w:bCs/>
        </w:rPr>
        <w:t>7.4 报表附注</w:t>
      </w:r>
      <w:bookmarkEnd w:id="44"/>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医疗保健行业股票型证券投资基金是由原创金合信鑫动力灵活配置混合型证券投资基金(以下简称"创金合信鑫动力混合基金")转型而来。根据原创金合信鑫动力混合基金基金份额持有人大会以通讯方式审议通过的《关于创金合信鑫动力灵活配置混合型证券投资基金转型有关事项的议案》，创金合信鑫动力混合基金的基金管理人创金合信基金管理有限公司于2018年10月24日发布了《创金合信鑫动力灵活配置混合型证券投资基金基金份额持有人大会表决结果暨决议生效公告》。根据《关于创金合信鑫动力灵活配置混合型证券投资基金转型有关事项的议案》以及相关法律法规的规定，经与基金托管人中国邮政储蓄银行股份有限公司(以下简称"中国邮政储蓄银行")协商一致，自2018年10月31日起，原创金合信鑫动力混合基金名称变更为创金合信医疗保健行业股票型证券投资基金(以下简称"本基金"），《创金合信医疗保健行业股票型证券投资基金基金合同》于同日生效。本基金为契约型开放式，存续期限不定。本基金的基金管理人为创金合信基金管理有限公司，基金托管人为中国邮政储蓄银行。</w:t>
      </w:r>
    </w:p>
    <w:p>
      <w:pPr>
        <w:pStyle w:val="27"/>
        <w:spacing w:before="0"/>
        <w:ind w:left="0" w:firstLine="480"/>
        <w:rPr>
          <w:rFonts w:hint="eastAsia"/>
        </w:rPr>
      </w:pPr>
      <w:r>
        <w:rPr>
          <w:rFonts w:hint="eastAsia"/>
        </w:rPr>
        <w:t>根据《创金合信医疗保健行业股票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中华人民共和国证券投资基金法》和《创金合信医疗保健行业股票型证券投资基金基金合同》的有关规定，本基金的投资范围包括国内依法发行上市的股票(包括主板、中小板、创业板以及其他中国证监会允许基金投资的股票)、债券(包括国债、央行票据、地方政府债、金融债、企业债、公司债、公开发行的次级债、中期票据、短期融资券、超短期融资券、可转换债券、可交换债券等)、资产支持证券、货币市场工具(含同业存单等)、金融衍生品(包括权证、股指期货等)及法律法规或中国证监会允许基金投资的其他金融工具。本基金的业绩比较基准为：中证医药卫生指数收益率×90%+人民币活期存款利率(税后)×10%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医疗保健行业股票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10月31日(基金合同生效日)至2018年12月31日止期间的财务报表符合企业会计准则的要求，真实、完整地反映了本基金2018年12月31日的财务状况以及2018年10月31日(基金合同生效日)至2018年12月31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本基金会计年度为公历1月1日起至12月31日止。本期财务报表的实际编制期间为2018年10月31日(基金合同生效日)至2018年12月31日。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资产支持证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本基金持有的股票投资、债券投资、资产支持证券投资和衍生工具按如下原则确定公允价值并进行估值：</w:t>
      </w:r>
    </w:p>
    <w:p>
      <w:pPr>
        <w:pStyle w:val="27"/>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基金份额折算引起的实收基金份额变动于基金份额折算日根据折算前的基金份额数及确定的折算比例计算认列。由于申购和赎回引起的实收基金变动分别于基金申购确认日及基金赎回确认日认列。上述申购和赎回分别包括基金转换所引起的转入基金的实收基金增加和转出基金的实收基金减少。</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资产支持证券在持有期间收到的款项，根据资产支持证券的预计收益率区分属于资产支持证券投资本金部分和投资收益部分，将本金部分冲减资产支持证券投资成本，并将投资收益部分扣除在适用情况下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在符合有关基金分红条件的前提下，本基金每年收益分配次数最多为12次，每份基金份额每次收益分配比例不得低于收益分配基准日每份基金份额该次可供分配利润的10%，若《基金合同》生效不满3个月可不进行收益分配；(2)本基金收益分配方式分两种：现金分红与红利再投资，投资者可选择现金红利或将现金红利自动转为基金份额进行再投资；若投资者不选择，本基金默认的收益分配方式是现金分红；(3)基金收益分配后基金份额净值不能低于面值，即基金收益分配基准日的基金份额净值减去每单位基金份额收益分配金额后不能低于面值；(4)同一类别的每一基金份额享有同等分配权。由于本基金A类基金份额与C类基金份额的基金费用不同，不同类别的基金份额对应的可供分配利润或将不同；(5)在对基金份额持有人利益无实质不利影响的前提下，基金管理人与基金托管人协商一致后，可调整基金收益的分配原则和支付方式，不需召开基金份额持有人大会审议；(6)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7"/>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7"/>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(4)基金卖出股票按0.1%的税率缴纳股票交易印花税，买入股票不征收股票交易印花税。</w:t>
      </w:r>
    </w:p>
    <w:p>
      <w:pPr>
        <w:pStyle w:val="27"/>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5970"/>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3,105,672.20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3,105,672.20</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5,029,381.69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-1,051,239.62</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100,430.00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5,129,811.69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4,078,582.07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-1,051,229.62</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p>
      <w:pPr>
        <w:pStyle w:val="27"/>
        <w:rPr>
          <w:rFonts w:hint="eastAsia"/>
        </w:rPr>
      </w:pPr>
      <w:r>
        <w:rPr>
          <w:rFonts w:hint="eastAsia"/>
        </w:rPr>
        <w:t>本基金本报告期末未持有买入返售金融资产。</w:t>
      </w:r>
    </w:p>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本基金本报告期末未持有买断式逆回购交易中取得的债券。</w:t>
      </w:r>
    </w:p>
    <w:p>
      <w:pPr>
        <w:widowControl/>
        <w:jc w:val="left"/>
        <w:rPr>
          <w:rFonts w:hint="eastAsia" w:ascii="宋体" w:hAnsi="宋体" w:cs="宋体"/>
          <w:kern w:val="0"/>
          <w:sz w:val="24"/>
          <w:szCs w:val="24"/>
        </w:rPr>
      </w:pPr>
    </w:p>
    <w:p>
      <w:pPr>
        <w:pStyle w:val="22"/>
        <w:rPr>
          <w:rFonts w:hint="eastAsia"/>
        </w:rPr>
      </w:pPr>
      <w:r>
        <w:rPr>
          <w:rFonts w:hint="eastAsia"/>
          <w:b/>
          <w:bCs/>
        </w:rPr>
        <w:t>7.4.7.5 应收利息</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3,294.18</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其他资产</w:t>
      </w:r>
    </w:p>
    <w:p>
      <w:pPr>
        <w:pStyle w:val="27"/>
        <w:rPr>
          <w:rFonts w:hint="eastAsia"/>
        </w:rPr>
      </w:pPr>
      <w:r>
        <w:rPr>
          <w:rFonts w:hint="eastAsia"/>
        </w:rPr>
        <w:t>本基金本报告期末未持有其他资产。</w:t>
      </w:r>
    </w:p>
    <w:p>
      <w:pPr>
        <w:widowControl/>
        <w:jc w:val="left"/>
        <w:rPr>
          <w:rFonts w:hint="eastAsia" w:ascii="宋体" w:hAnsi="宋体" w:cs="宋体"/>
          <w:kern w:val="0"/>
          <w:sz w:val="24"/>
          <w:szCs w:val="24"/>
        </w:rPr>
      </w:pPr>
    </w:p>
    <w:p>
      <w:pPr>
        <w:pStyle w:val="22"/>
        <w:rPr>
          <w:rFonts w:hint="eastAsia"/>
        </w:rPr>
      </w:pPr>
      <w:r>
        <w:rPr>
          <w:rFonts w:hint="eastAsia"/>
          <w:b/>
          <w:bCs/>
        </w:rPr>
        <w:t>7.4.7.7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5796"/>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22,297.23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22,297.23</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19,999.30</w:t>
            </w:r>
          </w:p>
        </w:tc>
      </w:tr>
    </w:tbl>
    <w:p>
      <w:pPr>
        <w:widowControl/>
        <w:jc w:val="left"/>
        <w:rPr>
          <w:rFonts w:hint="eastAsia" w:ascii="宋体" w:hAnsi="宋体" w:cs="宋体"/>
          <w:kern w:val="0"/>
          <w:sz w:val="24"/>
          <w:szCs w:val="24"/>
        </w:rPr>
      </w:pPr>
    </w:p>
    <w:p>
      <w:pPr>
        <w:pStyle w:val="22"/>
        <w:rPr>
          <w:rFonts w:hint="eastAsia"/>
        </w:rPr>
      </w:pPr>
      <w:r>
        <w:rPr>
          <w:rFonts w:hint="eastAsia"/>
          <w:b/>
          <w:bCs/>
        </w:rPr>
        <w:t>7.4.7.9 实收基金</w:t>
      </w:r>
    </w:p>
    <w:p>
      <w:pPr>
        <w:pStyle w:val="22"/>
        <w:rPr>
          <w:rFonts w:hint="eastAsia"/>
        </w:rPr>
      </w:pPr>
      <w:r>
        <w:rPr>
          <w:rFonts w:hint="eastAsia" w:hAnsi="Calibri"/>
          <w:b/>
          <w:color w:val="000000"/>
        </w:rPr>
        <w:t>7.4.7.9.1 创金合信医疗保健股票A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(创金合信医疗保健股票A)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-139,789.82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4,224,717.71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2,385,643.38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2,464,508.49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-3,824,580.65</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-3,950,992.29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2,785,780.44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2,878,023.73</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创金合信医疗保健股票C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(创金合信医疗保健股票C)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-12,306.04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129,741.69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2,009,895.01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2,200,517.73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-105,400.12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-115,399.22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2,034,236.58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2,227,166.24</w:t>
            </w:r>
          </w:p>
        </w:tc>
      </w:tr>
    </w:tbl>
    <w:p>
      <w:pPr>
        <w:pStyle w:val="27"/>
        <w:rPr>
          <w:rFonts w:hint="eastAsia"/>
        </w:rPr>
      </w:pPr>
      <w:r>
        <w:rPr>
          <w:rFonts w:hint="eastAsia"/>
        </w:rPr>
        <w:t>注：1.申购含红利再投、转换入份（金）额，赎回含转换出份（金）额。</w:t>
      </w:r>
      <w:r>
        <w:rPr>
          <w:rFonts w:hint="eastAsia"/>
        </w:rPr>
        <w:br w:type="textWrapping"/>
      </w:r>
      <w:r>
        <w:rPr>
          <w:rFonts w:hint="eastAsia"/>
        </w:rPr>
        <w:t>2.根据《关于创金合信鑫动力灵活配置混合型证券投资基金转型为创金合信医疗保健行业股票型证券投资基金基金份额转换及折算结果的公告》，本基金由创金合信鑫动力灵活配置混合型证券投资基金转型而来。转型方案实施后，基金份额持有人持有的创金合信鑫动力灵活配置混合型证券投资基金份额转为创金合信医疗保健行业股票型证券投资基金份额。</w:t>
      </w:r>
      <w:r>
        <w:rPr>
          <w:rFonts w:hint="eastAsia"/>
        </w:rPr>
        <w:br w:type="textWrapping"/>
      </w:r>
      <w:r>
        <w:rPr>
          <w:rFonts w:hint="eastAsia"/>
        </w:rPr>
        <w:t>3. 根据《创金合信医疗保健行业股票型证券投资基金基金合同》、《创金合信医疗保健行业股票型证券投资基金招募说明书》和《创金合信医疗保健行业股票型证券投资基金开放日常申购、赎回、转换及定投业务的公告》，本基金于2018年10月31日(基金合同生效日)至2018年11月5日止期间暂不向投资人开放基金交易。申购、赎回及转换业务自2018年11月6日起开始办理。</w:t>
      </w:r>
    </w:p>
    <w:p>
      <w:pPr>
        <w:widowControl/>
        <w:jc w:val="left"/>
        <w:rPr>
          <w:rFonts w:hint="eastAsia" w:ascii="宋体" w:hAnsi="宋体" w:cs="宋体"/>
          <w:kern w:val="0"/>
          <w:sz w:val="24"/>
          <w:szCs w:val="24"/>
        </w:rPr>
      </w:pPr>
    </w:p>
    <w:p>
      <w:pPr>
        <w:pStyle w:val="22"/>
        <w:rPr>
          <w:rFonts w:hint="eastAsia"/>
        </w:rPr>
      </w:pPr>
      <w:r>
        <w:rPr>
          <w:rFonts w:hint="eastAsia"/>
          <w:b/>
          <w:bCs/>
        </w:rPr>
        <w:t>7.4.7.10 未分配利润</w:t>
      </w:r>
    </w:p>
    <w:p>
      <w:pPr>
        <w:pStyle w:val="22"/>
        <w:rPr>
          <w:rFonts w:hint="eastAsia"/>
        </w:rPr>
      </w:pPr>
      <w:r>
        <w:rPr>
          <w:rFonts w:hint="eastAsia" w:hAnsi="Calibri"/>
          <w:b/>
          <w:color w:val="000000"/>
        </w:rPr>
        <w:t>7.4.7.10.1 创金合信医疗保健股票A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(创金合信医疗保健股票A)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507,338.13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-645,947.15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-138,609.02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-359,794.05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-333,257.30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-693,051.35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15,960.00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433,519.60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449,479.60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257,106.40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-333,611.45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-76,505.05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-241,146.40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767,131.05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525,984.65</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163,504.08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-545,684.85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-382,180.77</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7.4.7.10.2 创金合信医疗保健股票C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(创金合信医疗保健股票C)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7,587.21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-19,854.59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-12,267.38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-103,201.10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-101,440.53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-204,641.63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87,385.27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-277,339.28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-189,954.01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91,740.33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-289,240.52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-197,500.19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-4,355.06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11,901.24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7,546.18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-8,228.62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-398,634.40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-406,863.02</w:t>
            </w:r>
          </w:p>
        </w:tc>
      </w:tr>
    </w:tbl>
    <w:p>
      <w:pPr>
        <w:widowControl/>
        <w:jc w:val="left"/>
        <w:rPr>
          <w:rFonts w:hint="eastAsia" w:ascii="宋体" w:hAnsi="宋体" w:cs="宋体"/>
          <w:kern w:val="0"/>
          <w:sz w:val="24"/>
          <w:szCs w:val="24"/>
        </w:rPr>
      </w:pPr>
    </w:p>
    <w:p>
      <w:pPr>
        <w:pStyle w:val="22"/>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1,716.11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1,859.90</w:t>
            </w:r>
          </w:p>
        </w:tc>
      </w:tr>
    </w:tbl>
    <w:p>
      <w:pPr>
        <w:widowControl/>
        <w:jc w:val="left"/>
        <w:rPr>
          <w:rFonts w:hint="eastAsia" w:ascii="宋体" w:hAnsi="宋体" w:cs="宋体"/>
          <w:kern w:val="0"/>
          <w:sz w:val="24"/>
          <w:szCs w:val="24"/>
        </w:rPr>
      </w:pPr>
    </w:p>
    <w:p>
      <w:pPr>
        <w:pStyle w:val="22"/>
        <w:rPr>
          <w:rFonts w:hint="eastAsia"/>
        </w:rPr>
      </w:pPr>
      <w:r>
        <w:rPr>
          <w:rFonts w:hint="eastAsia"/>
          <w:b/>
          <w:bCs/>
        </w:rPr>
        <w:t>7.4.7.12 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13,339,371.92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13,699,391.73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-360,019.81</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债券投资收益</w:t>
      </w:r>
    </w:p>
    <w:p>
      <w:pPr>
        <w:pStyle w:val="22"/>
        <w:rPr>
          <w:rFonts w:hint="eastAsia"/>
        </w:rPr>
      </w:pPr>
      <w:r>
        <w:rPr>
          <w:rFonts w:hint="eastAsia"/>
          <w:b/>
          <w:bCs/>
        </w:rPr>
        <w:t>7.4.7.13.1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6"/>
        <w:gridCol w:w="587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7.4.7.13.2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678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2,740,972.00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2,652,480.00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125,632.00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-37,140.00</w:t>
            </w:r>
          </w:p>
        </w:tc>
      </w:tr>
    </w:tbl>
    <w:p>
      <w:pPr>
        <w:widowControl/>
        <w:jc w:val="left"/>
        <w:rPr>
          <w:rFonts w:hint="eastAsia" w:ascii="宋体" w:hAnsi="宋体" w:cs="宋体"/>
          <w:kern w:val="0"/>
          <w:sz w:val="24"/>
          <w:szCs w:val="24"/>
        </w:rPr>
      </w:pPr>
    </w:p>
    <w:p>
      <w:pPr>
        <w:pStyle w:val="22"/>
        <w:rPr>
          <w:rFonts w:hint="eastAsia"/>
        </w:rPr>
      </w:pPr>
      <w:r>
        <w:rPr>
          <w:rFonts w:hint="eastAsia"/>
          <w:b/>
          <w:bCs/>
        </w:rPr>
        <w:t>7.4.7.14 衍生工具收益</w:t>
      </w:r>
    </w:p>
    <w:p>
      <w:pPr>
        <w:pStyle w:val="27"/>
        <w:rPr>
          <w:rFonts w:hint="eastAsia"/>
        </w:rPr>
      </w:pPr>
      <w:r>
        <w:rPr>
          <w:rFonts w:hint="eastAsia"/>
        </w:rPr>
        <w:t>本基金本报告期无衍生工具收益。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7.4.7.15 股利收益</w:t>
      </w:r>
    </w:p>
    <w:p>
      <w:pPr>
        <w:pStyle w:val="27"/>
        <w:rPr>
          <w:rFonts w:hint="eastAsia"/>
        </w:rPr>
      </w:pPr>
      <w:r>
        <w:rPr>
          <w:rFonts w:hint="eastAsia"/>
        </w:rPr>
        <w:t>本基金本报告期内无股利收益。</w:t>
      </w:r>
    </w:p>
    <w:p>
      <w:pPr>
        <w:widowControl/>
        <w:jc w:val="left"/>
        <w:rPr>
          <w:rFonts w:hint="eastAsia" w:ascii="宋体" w:hAnsi="宋体" w:cs="宋体"/>
          <w:kern w:val="0"/>
          <w:sz w:val="24"/>
          <w:szCs w:val="24"/>
        </w:rPr>
      </w:pPr>
    </w:p>
    <w:p>
      <w:pPr>
        <w:pStyle w:val="22"/>
        <w:rPr>
          <w:rFonts w:hint="eastAsia"/>
        </w:rPr>
      </w:pPr>
      <w:r>
        <w:rPr>
          <w:rFonts w:hint="eastAsia"/>
          <w:b/>
          <w:bCs/>
        </w:rPr>
        <w:t>7.4.7.16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-434,697.83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-470,547.83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35,850.00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-434,697.83</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501.79</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交易费用</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38,395.80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38,395.80</w:t>
            </w:r>
          </w:p>
        </w:tc>
      </w:tr>
    </w:tbl>
    <w:p>
      <w:pPr>
        <w:widowControl/>
        <w:jc w:val="left"/>
        <w:rPr>
          <w:rFonts w:hint="eastAsia" w:ascii="宋体" w:hAnsi="宋体" w:cs="宋体"/>
          <w:kern w:val="0"/>
          <w:sz w:val="24"/>
          <w:szCs w:val="24"/>
        </w:rPr>
      </w:pPr>
    </w:p>
    <w:p>
      <w:pPr>
        <w:pStyle w:val="22"/>
        <w:rPr>
          <w:rFonts w:hint="eastAsia"/>
        </w:rPr>
      </w:pPr>
      <w:r>
        <w:rPr>
          <w:rFonts w:hint="eastAsia"/>
          <w:b/>
          <w:bCs/>
        </w:rPr>
        <w:t>7.4.7.19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5790"/>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3,398.63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3,065.40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6,664.03</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截至本财务报表批准报出日，本基金无须作披露的资产负债表日后事项。</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pStyle w:val="27"/>
        <w:spacing w:before="0"/>
        <w:ind w:left="0" w:firstLine="480"/>
        <w:rPr>
          <w:rFonts w:hint="eastAsia"/>
        </w:rPr>
      </w:pPr>
      <w:r>
        <w:rPr>
          <w:rFonts w:hint="eastAsia"/>
        </w:rPr>
        <w:t>本报告期不存在重大关联方发生变化的情况。</w:t>
      </w:r>
    </w:p>
    <w:p>
      <w:pPr>
        <w:widowControl/>
        <w:jc w:val="left"/>
        <w:rPr>
          <w:rFonts w:hint="eastAsia" w:ascii="宋体" w:hAnsi="宋体" w:cs="宋体"/>
          <w:kern w:val="0"/>
          <w:sz w:val="24"/>
          <w:szCs w:val="24"/>
        </w:rPr>
      </w:pP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5105"/>
        <w:gridCol w:w="39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本期（基金合同生效日）</w:t>
            </w:r>
            <w:r>
              <w:rPr>
                <w:rFonts w:hint="eastAsia"/>
              </w:rPr>
              <w:br w:type="textWrapping"/>
            </w:r>
            <w:r>
              <w:rPr>
                <w:rFonts w:hint="eastAsia"/>
              </w:rPr>
              <w:t>2018年10月31日至2018年12月31日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31,076,345.34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2222"/>
        <w:gridCol w:w="4761"/>
        <w:gridCol w:w="2062"/>
      </w:tblGrid>
      <w:tr>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2,715,770.00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本期（基金合同生效日）</w:t>
            </w:r>
            <w:r>
              <w:rPr>
                <w:rFonts w:hint="eastAsia"/>
              </w:rPr>
              <w:br w:type="textWrapping"/>
            </w:r>
            <w:r>
              <w:rPr>
                <w:rFonts w:hint="eastAsia"/>
              </w:rPr>
              <w:t>2018年10月31日至2018年12月31日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22,297.23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22,297.23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19,278.28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652.84</w:t>
            </w:r>
          </w:p>
        </w:tc>
      </w:tr>
    </w:tbl>
    <w:p>
      <w:pPr>
        <w:pStyle w:val="27"/>
        <w:rPr>
          <w:rFonts w:hint="eastAsia"/>
        </w:rPr>
      </w:pPr>
      <w:r>
        <w:rPr>
          <w:rFonts w:hint="eastAsia"/>
        </w:rPr>
        <w:t>注：本基金的管理费按前一日基金资产净值的1.50%年费率计提。管理费的计算方法如下：</w:t>
      </w:r>
      <w:r>
        <w:rPr>
          <w:rFonts w:hint="eastAsia"/>
        </w:rPr>
        <w:br w:type="textWrapping"/>
      </w:r>
      <w:r>
        <w:rPr>
          <w:rFonts w:hint="eastAsia"/>
        </w:rPr>
        <w:t>H＝E×1.50%÷当年天数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基金管理人发送的划款指令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591"/>
        <w:gridCol w:w="5454"/>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2,570.43</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基金管理人发送的划款指令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357"/>
        <w:gridCol w:w="3160"/>
        <w:gridCol w:w="3160"/>
        <w:gridCol w:w="1368"/>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1,847.84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1,847.84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1,847.84</w:t>
            </w:r>
          </w:p>
        </w:tc>
      </w:tr>
    </w:tbl>
    <w:p>
      <w:pPr>
        <w:pStyle w:val="27"/>
        <w:rPr>
          <w:rFonts w:hint="eastAsia"/>
        </w:rPr>
      </w:pPr>
      <w:r>
        <w:rPr>
          <w:rFonts w:hint="eastAsia"/>
        </w:rPr>
        <w:t>注：本基金A类基金份额不收取销售服务费，仅就C类基金份额收取销售服务费。C类基金份额销售服务费按前一日C类基金份额基金资产净值的0.70%的年费率计提。销售服务费的计算方法如下：</w:t>
      </w:r>
      <w:r>
        <w:rPr>
          <w:rFonts w:hint="eastAsia"/>
        </w:rPr>
        <w:br w:type="textWrapping"/>
      </w:r>
      <w:r>
        <w:rPr>
          <w:rFonts w:hint="eastAsia"/>
        </w:rPr>
        <w:t>H＝E×0.70%÷当年天数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基金管理人发送的划款指令于次月前5个工作日内从基金财产中一次性支付给登记机构，登记机构收到后按相关合同规定支付给基金销售机构等。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本基金本报告期内未发生与关联方进行银行间同业市场的债券(含回购)交易。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4"/>
        <w:rPr>
          <w:rFonts w:hint="eastAsia"/>
        </w:rPr>
      </w:pPr>
      <w:r>
        <w:rPr>
          <w:rFonts w:hint="eastAsia" w:hAnsi="Calibri"/>
          <w:color w:val="000000"/>
        </w:rPr>
        <w:t>创金合信医疗保健股票A</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1,849,158.11</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1,849,158.11</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66.38%</w:t>
            </w:r>
          </w:p>
        </w:tc>
      </w:tr>
    </w:tbl>
    <w:p>
      <w:pPr>
        <w:pStyle w:val="24"/>
        <w:rPr>
          <w:rFonts w:hint="eastAsia"/>
        </w:rPr>
      </w:pPr>
      <w:r>
        <w:rPr>
          <w:rFonts w:hint="eastAsia" w:hAnsi="Calibri"/>
          <w:color w:val="000000"/>
        </w:rPr>
        <w:t>创金合信医疗保健股票C</w:t>
      </w:r>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2713"/>
        <w:gridCol w:w="6332"/>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基金合同生效日（2018年10月31日）持有的基金份额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1,849,342.37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1,849,342.37</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90.91%</w:t>
            </w:r>
          </w:p>
        </w:tc>
      </w:tr>
    </w:tbl>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本报告期末无除基金管理人之外的其他关联方投资本基金的情况。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3890"/>
        <w:gridCol w:w="3890"/>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2018年10月31日（基金合同生效日）至2018年12月31日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3,105,672.20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1,716.11</w:t>
            </w:r>
          </w:p>
        </w:tc>
      </w:tr>
    </w:tbl>
    <w:p>
      <w:pPr>
        <w:pStyle w:val="27"/>
        <w:rPr>
          <w:rFonts w:hint="eastAsia"/>
        </w:rPr>
      </w:pPr>
      <w:r>
        <w:rPr>
          <w:rFonts w:hint="eastAsia"/>
        </w:rPr>
        <w:t>注：本基金的银行存款由基金托管人中国邮政储蓄银行保管，按银行同业存款利率计息。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本基金本报告期未发生在承销期内参与关联方承销证券的情况。</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期末（2018年12月31日）本基金持有的流通受限证券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3.07</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66,201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991,800.00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203,237.07</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工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22"/>
        <w:rPr>
          <w:rFonts w:hint="eastAsia"/>
        </w:rPr>
      </w:pPr>
      <w:r>
        <w:rPr>
          <w:rFonts w:hint="eastAsia"/>
          <w:b/>
          <w:bCs/>
        </w:rPr>
        <w:t>7.4.13.2.1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4788"/>
        <w:gridCol w:w="425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4.71%。</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 7,424,948.97元，超过经确认的当日净赎回金额。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及买入返售金融资产投资等。</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21"/>
        <w:gridCol w:w="1989"/>
        <w:gridCol w:w="1606"/>
        <w:gridCol w:w="1606"/>
        <w:gridCol w:w="1989"/>
        <w:gridCol w:w="198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3,105,672.20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3,105,672.20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105,887.03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105,887.03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7,334.26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7,334.26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100,440.00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3,978,142.07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4,078,582.07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432,816.17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432,816.17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3,294.18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3,294.18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8,319.44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8,319.44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3,319,333.49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4,422,571.86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7,741,905.35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3,371,077.02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3,371,077.02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9,950.79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9,950.79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1,326.76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1,326.76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1,108.07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1,108.07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22,297.23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22,297.23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19,999.30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19,999.30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3,425,759.17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3,425,759.17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3,319,333.49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996,812.69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4,316,146.18</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93"/>
        <w:gridCol w:w="2919"/>
        <w:gridCol w:w="5108"/>
      </w:tblGrid>
      <w:tr>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-68.49</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68.70</w:t>
            </w:r>
          </w:p>
        </w:tc>
      </w:tr>
    </w:tbl>
    <w:p>
      <w:pPr>
        <w:pStyle w:val="27"/>
        <w:rPr>
          <w:rFonts w:hint="eastAsia"/>
        </w:rPr>
      </w:pPr>
      <w:r>
        <w:rPr>
          <w:rFonts w:hint="eastAsia"/>
        </w:rPr>
        <w:t> 于 2018 年12月31日，本基金持有的交易性债券投资公允价值占基金资产净值的比例为2.33%，因此市场利率的变动对于本基金资产净值无重大影响。</w:t>
      </w:r>
    </w:p>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9"/>
        <w:jc w:val="right"/>
        <w:rPr>
          <w:rFonts w:hint="eastAsia"/>
        </w:rPr>
      </w:pPr>
      <w:r>
        <w:rPr>
          <w:rFonts w:hint="eastAsia"/>
        </w:rPr>
        <w:t>金额单位：人民币元</w:t>
      </w:r>
    </w:p>
    <w:tbl>
      <w:tblPr>
        <w:tblStyle w:val="14"/>
        <w:tblW w:w="9045" w:type="dxa"/>
        <w:tblInd w:w="108" w:type="dxa"/>
        <w:tblLayout w:type="autofit"/>
        <w:tblCellMar>
          <w:top w:w="0" w:type="dxa"/>
          <w:left w:w="108" w:type="dxa"/>
          <w:bottom w:w="0" w:type="dxa"/>
          <w:right w:w="108" w:type="dxa"/>
        </w:tblCellMar>
      </w:tblPr>
      <w:tblGrid>
        <w:gridCol w:w="3016"/>
        <w:gridCol w:w="4220"/>
        <w:gridCol w:w="1809"/>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3,978,142.07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92.17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3,978,142.07</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92.17</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135"/>
        <w:gridCol w:w="2759"/>
        <w:gridCol w:w="5304"/>
      </w:tblGrid>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239,283.68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-239,283.68</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于2018年12月31日，本基金持有的以公允价值计量且其变动计入当期损益的金融资产中属于第一层次的余额为3,774,905.00元，属于第二层次的余额为100,440.00元，属于第三层次的余额为203,237.07元。</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本基金于2018年10月31日(基金合同生效日)属于第三层次的金融工具公允价值为411,108.21元，本期计入损益的利得或损失为-207,871.14元，截至2018年12月31日属于第三层次的金融工具公允价值为203,237.07元。</w:t>
      </w:r>
    </w:p>
    <w:p>
      <w:pPr>
        <w:pStyle w:val="27"/>
        <w:spacing w:before="0"/>
        <w:ind w:left="0" w:firstLine="480"/>
        <w:rPr>
          <w:rFonts w:hint="eastAsia"/>
        </w:rPr>
      </w:pPr>
      <w:r>
        <w:rPr>
          <w:rFonts w:hint="eastAsia"/>
        </w:rPr>
        <w:t>计入损益的利得或损失分别计入利润表中的公允价值变动损益、投资收益等项目。</w:t>
      </w:r>
    </w:p>
    <w:p>
      <w:pPr>
        <w:pStyle w:val="27"/>
        <w:spacing w:before="0"/>
        <w:ind w:left="0" w:firstLine="480"/>
        <w:rPr>
          <w:rFonts w:hint="eastAsia"/>
        </w:rPr>
      </w:pPr>
      <w:r>
        <w:rPr>
          <w:rFonts w:hint="eastAsia"/>
        </w:rPr>
        <w:t>由于上述股票估值相关的公司净资产预期及市净率是不可观察输入值，故分类为第三层级。如果相关证券的净资产预期及市净率变动，将导致公允价值的正相关变动。</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45" w:name="_Toc4612780"/>
      <w:r>
        <w:rPr>
          <w:rFonts w:hint="eastAsia" w:hAnsi="Calibri"/>
          <w:b/>
          <w:color w:val="000000"/>
        </w:rPr>
        <w:t>§7  年度财务报表(转型前)</w:t>
      </w:r>
      <w:bookmarkEnd w:id="45"/>
    </w:p>
    <w:p>
      <w:pPr>
        <w:widowControl/>
        <w:jc w:val="left"/>
        <w:rPr>
          <w:rFonts w:hint="eastAsia" w:ascii="宋体" w:hAnsi="宋体" w:cs="宋体"/>
          <w:kern w:val="0"/>
          <w:sz w:val="24"/>
          <w:szCs w:val="24"/>
        </w:rPr>
      </w:pPr>
    </w:p>
    <w:p>
      <w:pPr>
        <w:pStyle w:val="21"/>
        <w:rPr>
          <w:rFonts w:hint="eastAsia"/>
        </w:rPr>
      </w:pPr>
      <w:bookmarkStart w:id="46" w:name="_Toc4612781"/>
      <w:r>
        <w:rPr>
          <w:rFonts w:hint="eastAsia"/>
          <w:b/>
          <w:bCs/>
        </w:rPr>
        <w:t>7.1 资产负债表</w:t>
      </w:r>
      <w:bookmarkEnd w:id="46"/>
    </w:p>
    <w:p>
      <w:pPr>
        <w:pStyle w:val="24"/>
        <w:rPr>
          <w:rFonts w:hint="eastAsia"/>
        </w:rPr>
      </w:pPr>
      <w:r>
        <w:rPr>
          <w:rFonts w:hint="eastAsia"/>
        </w:rPr>
        <w:t>会计主体：创金合信鑫动力灵活配置混合型证券投资基金</w:t>
      </w:r>
    </w:p>
    <w:p>
      <w:pPr>
        <w:pStyle w:val="24"/>
        <w:rPr>
          <w:rFonts w:hint="eastAsia"/>
        </w:rPr>
      </w:pPr>
      <w:r>
        <w:rPr>
          <w:rFonts w:hint="eastAsia"/>
        </w:rPr>
        <w:t>报告截止日：2018年10月30日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608"/>
        <w:gridCol w:w="1363"/>
        <w:gridCol w:w="2529"/>
        <w:gridCol w:w="2545"/>
      </w:tblGrid>
      <w:tr>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w:t>
            </w:r>
            <w:r>
              <w:rPr>
                <w:rFonts w:hint="eastAsia"/>
              </w:rPr>
              <w:t> </w:t>
            </w:r>
            <w:r>
              <w:rPr>
                <w:rFonts w:hint="eastAsia"/>
                <w:b/>
                <w:bCs/>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 </w:t>
            </w:r>
          </w:p>
          <w:p>
            <w:pPr>
              <w:pStyle w:val="25"/>
              <w:wordWrap w:val="0"/>
              <w:rPr>
                <w:rFonts w:hint="eastAsia"/>
              </w:rPr>
            </w:pPr>
            <w:r>
              <w:rPr>
                <w:rFonts w:hint="eastAsia" w:hAnsi="Calibri"/>
                <w:color w:val="000000"/>
              </w:rPr>
              <w:t>2018年10月30日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 </w:t>
            </w:r>
          </w:p>
          <w:p>
            <w:pPr>
              <w:pStyle w:val="25"/>
              <w:wordWrap w:val="0"/>
              <w:rPr>
                <w:rFonts w:hint="eastAsia"/>
              </w:rPr>
            </w:pPr>
            <w:r>
              <w:rPr>
                <w:rFonts w:hint="eastAsia" w:hAnsi="Calibri"/>
                <w:color w:val="000000"/>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1,250,108.40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119,806.16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4,210.53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26,818.18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417.77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3,027,748.21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3,795,600.00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913,710.00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2,881,890.00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500,000.00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1,095.89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156,992.70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4,408,073.77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4,600,730.70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 </w:t>
            </w:r>
          </w:p>
          <w:p>
            <w:pPr>
              <w:pStyle w:val="25"/>
              <w:wordWrap w:val="0"/>
              <w:rPr>
                <w:rFonts w:hint="eastAsia"/>
              </w:rPr>
            </w:pPr>
            <w:r>
              <w:rPr>
                <w:rFonts w:hint="eastAsia"/>
              </w:rPr>
              <w:t>2018年10月30日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 </w:t>
            </w:r>
          </w:p>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887.57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2,306.68</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768.89</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12.16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75,576.23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52,394.91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79,551.53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4,506,555.26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4,161,012.40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-150,876.40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360,166.77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4,355,678.86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4,521,179.17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4,408,073.77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4,600,730.70</w:t>
            </w:r>
          </w:p>
        </w:tc>
      </w:tr>
    </w:tbl>
    <w:p>
      <w:pPr>
        <w:pStyle w:val="27"/>
        <w:rPr>
          <w:rFonts w:hint="eastAsia"/>
        </w:rPr>
      </w:pPr>
      <w:r>
        <w:rPr>
          <w:rFonts w:hint="eastAsia"/>
        </w:rPr>
        <w:t>注：1.报告截止日2018年10月30日(基金合同失效前日)，基金份额总额4,506,555.26份，其中A类基金份额的份额总额为4,364,507.53份，份额净值0.968元；C类基金份额的份额总额为142,047.73份，份额净值0.914元。</w:t>
      </w:r>
      <w:r>
        <w:rPr>
          <w:rFonts w:hint="eastAsia"/>
        </w:rPr>
        <w:br w:type="textWrapping"/>
      </w:r>
      <w:r>
        <w:rPr>
          <w:rFonts w:hint="eastAsia"/>
        </w:rPr>
        <w:t>2.本基金于2018年10月31日转型为创金合信医疗保健行业股票型证券投资基金，2018年度实际报告期间为2018年1月1日至2018年10月30日。</w:t>
      </w:r>
    </w:p>
    <w:p>
      <w:pPr>
        <w:widowControl/>
        <w:jc w:val="left"/>
        <w:rPr>
          <w:rFonts w:hint="eastAsia" w:ascii="宋体" w:hAnsi="宋体" w:cs="宋体"/>
          <w:kern w:val="0"/>
          <w:sz w:val="24"/>
          <w:szCs w:val="24"/>
        </w:rPr>
      </w:pPr>
    </w:p>
    <w:p>
      <w:pPr>
        <w:pStyle w:val="21"/>
        <w:rPr>
          <w:rFonts w:hint="eastAsia"/>
        </w:rPr>
      </w:pPr>
      <w:bookmarkStart w:id="47" w:name="_Toc4612782"/>
      <w:r>
        <w:rPr>
          <w:rFonts w:hint="eastAsia"/>
          <w:b/>
          <w:bCs/>
        </w:rPr>
        <w:t>7.2 利润表</w:t>
      </w:r>
      <w:bookmarkEnd w:id="47"/>
    </w:p>
    <w:p>
      <w:pPr>
        <w:pStyle w:val="24"/>
        <w:rPr>
          <w:rFonts w:hint="eastAsia"/>
        </w:rPr>
      </w:pPr>
      <w:r>
        <w:rPr>
          <w:rFonts w:hint="eastAsia"/>
        </w:rPr>
        <w:t>会计主体：创金合信鑫动力灵活配置混合型证券投资基金</w:t>
      </w:r>
    </w:p>
    <w:p>
      <w:pPr>
        <w:pStyle w:val="24"/>
        <w:rPr>
          <w:rFonts w:hint="eastAsia"/>
        </w:rPr>
      </w:pPr>
      <w:r>
        <w:rPr>
          <w:rFonts w:hint="eastAsia"/>
        </w:rPr>
        <w:t>本报告期：2018年01月01日至2018年10月30日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969"/>
        <w:gridCol w:w="1363"/>
        <w:gridCol w:w="2168"/>
        <w:gridCol w:w="2545"/>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本期2018年01月01日至2018年10月30日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-至-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-376,162.39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1,750,356.29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140,615.89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10,490,612.93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7.4.7.10</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4,046.33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103,317.29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126,790.60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9,331,359.49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9,778.96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1,055,936.15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-18,269,435.81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-849,068.31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-17,432,074.10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11,706.60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-518,306.79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9,522,533.04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6,646.13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116,359.45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3,985,625.99</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21,356.11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1,491,607.66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7,118.70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497,202.54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165.10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448,749.41</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1,444,126.03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1,444,126.03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87,735.97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103,775.25</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-492,521.84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-2,235,269.70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-492,521.84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-2,235,269.70</w:t>
            </w:r>
          </w:p>
        </w:tc>
      </w:tr>
    </w:tbl>
    <w:p>
      <w:pPr>
        <w:pStyle w:val="27"/>
        <w:rPr>
          <w:rFonts w:hint="eastAsia"/>
        </w:rPr>
      </w:pPr>
      <w:r>
        <w:rPr>
          <w:rFonts w:hint="eastAsia"/>
        </w:rPr>
        <w:t>注：本基金于2018年10月31日转型为创金合信医疗保健行业股票型证券投资基金，2018年度实际报告期间为2018年1月1日至2018年10月30日。</w:t>
      </w:r>
    </w:p>
    <w:p>
      <w:pPr>
        <w:widowControl/>
        <w:jc w:val="left"/>
        <w:rPr>
          <w:rFonts w:hint="eastAsia" w:ascii="宋体" w:hAnsi="宋体" w:cs="宋体"/>
          <w:kern w:val="0"/>
          <w:sz w:val="24"/>
          <w:szCs w:val="24"/>
        </w:rPr>
      </w:pPr>
    </w:p>
    <w:p>
      <w:pPr>
        <w:pStyle w:val="21"/>
        <w:rPr>
          <w:rFonts w:hint="eastAsia"/>
        </w:rPr>
      </w:pPr>
      <w:bookmarkStart w:id="48" w:name="_Toc4612783"/>
      <w:r>
        <w:rPr>
          <w:rFonts w:hint="eastAsia"/>
          <w:b/>
          <w:bCs/>
        </w:rPr>
        <w:t>7.3 所有者权益（基金净值）变动表</w:t>
      </w:r>
      <w:bookmarkEnd w:id="48"/>
    </w:p>
    <w:p>
      <w:pPr>
        <w:pStyle w:val="24"/>
        <w:rPr>
          <w:rFonts w:hint="eastAsia"/>
        </w:rPr>
      </w:pPr>
      <w:r>
        <w:rPr>
          <w:rFonts w:hint="eastAsia"/>
        </w:rPr>
        <w:t>会计主体：创金合信鑫动力灵活配置混合型证券投资基金</w:t>
      </w:r>
    </w:p>
    <w:p>
      <w:pPr>
        <w:pStyle w:val="24"/>
        <w:rPr>
          <w:rFonts w:hint="eastAsia"/>
        </w:rPr>
      </w:pPr>
      <w:r>
        <w:rPr>
          <w:rFonts w:hint="eastAsia"/>
        </w:rPr>
        <w:t>本报告期：2018年01月01日至2018年10月30日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6"/>
        <w:gridCol w:w="1809"/>
        <w:gridCol w:w="1809"/>
        <w:gridCol w:w="2171"/>
      </w:tblGrid>
      <w:tr>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 </w:t>
            </w:r>
          </w:p>
          <w:p>
            <w:pPr>
              <w:pStyle w:val="25"/>
              <w:wordWrap w:val="0"/>
              <w:rPr>
                <w:rFonts w:hint="eastAsia"/>
              </w:rPr>
            </w:pP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4,161,012.40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360,166.77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4,521,179.17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-492,521.84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-492,521.84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345,542.86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-18,521.33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327,021.53</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692,713.10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-8,703.05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684,010.05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-347,170.24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-9,818.28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-356,988.52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4,506,555.26</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-150,876.40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4,355,678.86</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 </w:t>
            </w:r>
          </w:p>
          <w:p>
            <w:pPr>
              <w:pStyle w:val="25"/>
              <w:wordWrap w:val="0"/>
              <w:rPr>
                <w:rFonts w:hint="eastAsia"/>
              </w:rPr>
            </w:pPr>
            <w:r>
              <w:rPr>
                <w:rFonts w:hint="eastAsia"/>
              </w:rPr>
              <w:t>-至-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800,197,271.53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-5,558,123.54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794,639,147.99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-2,235,269.70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-2,235,269.70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-796,036,259.13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8,153,560.01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-787,882,699.12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1,415,325.05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97,917.45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1,513,242.50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-797,451,584.18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8,055,642.56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-789,395,941.62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4,161,012.40</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360,166.77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4,521,179.17</w:t>
            </w:r>
          </w:p>
        </w:tc>
      </w:tr>
    </w:tbl>
    <w:p>
      <w:pPr>
        <w:pStyle w:val="27"/>
        <w:rPr>
          <w:rFonts w:hint="eastAsia" w:hAnsi="Calibri"/>
          <w:color w:val="000000"/>
        </w:rPr>
      </w:pPr>
      <w:r>
        <w:rPr>
          <w:rFonts w:hint="eastAsia" w:hAnsi="Calibri"/>
          <w:color w:val="000000"/>
        </w:rPr>
        <w:t>注：本基金于2018年10月31日转型为创金合信医疗保健行业股票型证券投资基金，2018年度实际报告期间为2018年1月1日至2018年10月30日。</w:t>
      </w:r>
    </w:p>
    <w:p>
      <w:pPr>
        <w:pStyle w:val="24"/>
        <w:rPr>
          <w:rFonts w:hint="eastAsia"/>
        </w:rPr>
      </w:pPr>
      <w:r>
        <w:rPr>
          <w:rFonts w:hint="eastAsia"/>
        </w:rPr>
        <w:t>报表附注为财务报表的组成部分。</w:t>
      </w:r>
    </w:p>
    <w:p>
      <w:pPr>
        <w:pStyle w:val="24"/>
        <w:rPr>
          <w:rFonts w:hint="eastAsia"/>
        </w:rPr>
      </w:pPr>
      <w:r>
        <w:rPr>
          <w:rFonts w:hint="eastAsia"/>
        </w:rPr>
        <w:t>本报告7.1至7.4财务报表由下列负责人签署:</w:t>
      </w:r>
    </w:p>
    <w:tbl>
      <w:tblPr>
        <w:tblStyle w:val="14"/>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24"/>
              <w:wordWrap w:val="0"/>
              <w:rPr>
                <w:rFonts w:hint="eastAsia"/>
              </w:rPr>
            </w:pPr>
            <w:r>
              <w:rPr>
                <w:rFonts w:hint="eastAsia" w:hAnsi="Calibri"/>
                <w:color w:val="000000"/>
              </w:rPr>
              <w:t>苏彦祝</w:t>
            </w:r>
          </w:p>
          <w:p>
            <w:pPr>
              <w:pStyle w:val="24"/>
              <w:wordWrap w:val="0"/>
              <w:rPr>
                <w:rFonts w:hint="eastAsia"/>
              </w:rPr>
            </w:pPr>
            <w:r>
              <w:rPr>
                <w:rFonts w:hint="eastAsia"/>
              </w:rPr>
              <w:t>—————————</w:t>
            </w:r>
          </w:p>
          <w:p>
            <w:pPr>
              <w:pStyle w:val="24"/>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24"/>
              <w:wordWrap w:val="0"/>
              <w:rPr>
                <w:rFonts w:hint="eastAsia"/>
              </w:rPr>
            </w:pPr>
            <w:r>
              <w:rPr>
                <w:rFonts w:hint="eastAsia"/>
              </w:rPr>
              <w:t>黄越岷</w:t>
            </w:r>
          </w:p>
          <w:p>
            <w:pPr>
              <w:pStyle w:val="24"/>
              <w:wordWrap w:val="0"/>
              <w:rPr>
                <w:rFonts w:hint="eastAsia"/>
              </w:rPr>
            </w:pPr>
            <w:r>
              <w:rPr>
                <w:rFonts w:hint="eastAsia"/>
              </w:rPr>
              <w:t>—————————</w:t>
            </w:r>
          </w:p>
          <w:p>
            <w:pPr>
              <w:pStyle w:val="24"/>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24"/>
              <w:wordWrap w:val="0"/>
              <w:rPr>
                <w:rFonts w:hint="eastAsia"/>
              </w:rPr>
            </w:pPr>
            <w:r>
              <w:rPr>
                <w:rFonts w:hint="eastAsia"/>
              </w:rPr>
              <w:t>安兆国</w:t>
            </w:r>
          </w:p>
          <w:p>
            <w:pPr>
              <w:pStyle w:val="24"/>
              <w:wordWrap w:val="0"/>
              <w:rPr>
                <w:rFonts w:hint="eastAsia"/>
              </w:rPr>
            </w:pPr>
            <w:r>
              <w:rPr>
                <w:rFonts w:hint="eastAsia"/>
              </w:rPr>
              <w:t>—————————</w:t>
            </w:r>
          </w:p>
          <w:p>
            <w:pPr>
              <w:pStyle w:val="24"/>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21"/>
        <w:rPr>
          <w:rFonts w:hint="eastAsia"/>
        </w:rPr>
      </w:pPr>
      <w:bookmarkStart w:id="49" w:name="_Toc4612784"/>
      <w:r>
        <w:rPr>
          <w:rFonts w:hint="eastAsia"/>
          <w:b/>
          <w:bCs/>
        </w:rPr>
        <w:t>7.4 报表附注</w:t>
      </w:r>
      <w:bookmarkEnd w:id="49"/>
    </w:p>
    <w:p>
      <w:pPr>
        <w:pStyle w:val="22"/>
        <w:rPr>
          <w:rFonts w:hint="eastAsia"/>
        </w:rPr>
      </w:pPr>
      <w:r>
        <w:rPr>
          <w:rFonts w:hint="eastAsia"/>
          <w:b/>
          <w:bCs/>
        </w:rPr>
        <w:t>7.4.1 基金基本情况</w:t>
      </w:r>
    </w:p>
    <w:p>
      <w:pPr>
        <w:pStyle w:val="27"/>
        <w:spacing w:before="0"/>
        <w:ind w:left="0" w:firstLine="480"/>
        <w:rPr>
          <w:rFonts w:hint="eastAsia"/>
        </w:rPr>
      </w:pPr>
      <w:r>
        <w:rPr>
          <w:rFonts w:hint="eastAsia"/>
        </w:rPr>
        <w:t>创金合信鑫动力灵活配置混合型证券投资基金(以下简称"本基金")经中国证券监督管理委员会(以下简称"中国证监会") 证监许可[2015]2099号《关于准予创金合信鑫动力灵活配置混合型证券投资基金注册的批复》和中国证监会机构部函[2016]1427号《关于创金合信鑫动力灵活配置混合型证券投资基金延期募集备案的回函》核准，由创金合信基金管理有限公司依照《中华人民共和国证券投资基金法》和《创金合信鑫动力灵活配置混合型证券投资基金基金合同》负责公开募集。本基金为契约型开放式，存续期限不定，首次设立募集不包括认购资金利息共募集人民币800,214,719.75元，业经普华永道中天会计师事务所(特殊普通合伙)普华永道中天验字(2016)第1131号验资报告予以验证。经向中国证监会备案，《创金合信鑫动力灵活配置混合型证券投资基金基金合同》于2016年8月30日正式生效，基金合同生效日的基金份额总额为800,228,053.21份基金份额，其中认购资金利息折合13,333.46份基金份额。本基金的基金管理人为创金合信基金管理有限公司，基金托管人为中国邮政储蓄银行股份有限公司(以下简称"中国邮政储蓄银行")。</w:t>
      </w:r>
    </w:p>
    <w:p>
      <w:pPr>
        <w:pStyle w:val="27"/>
        <w:spacing w:before="0"/>
        <w:ind w:left="0" w:firstLine="480"/>
        <w:rPr>
          <w:rFonts w:hint="eastAsia"/>
        </w:rPr>
      </w:pPr>
      <w:r>
        <w:rPr>
          <w:rFonts w:hint="eastAsia"/>
        </w:rPr>
        <w:t>根据《创金合信鑫动力灵活配置混合型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7"/>
        <w:spacing w:before="0"/>
        <w:ind w:left="0" w:firstLine="480"/>
        <w:rPr>
          <w:rFonts w:hint="eastAsia"/>
        </w:rPr>
      </w:pPr>
      <w:r>
        <w:rPr>
          <w:rFonts w:hint="eastAsia"/>
        </w:rPr>
        <w:t>根据本基金份额持有人大会以通讯方式审议通过的《关于创金合信鑫动力灵活配置混合型证券投资基金转型有关事项的议案》，本基金的基金管理人创金合信基金管理有限公司于2018年10月24日发布了《创金合信鑫动力灵活配置混合型证券投资基金基金份额持有人大会表决结果暨决议生效公告》。根据《关于创金合信鑫动力灵活配置混合型证券投资基金转型有关事项的议案》以及相关法律法规的规定，经与基金托管人中国邮政储蓄银行协商一致，本基金的基金管理人创金合信基金管理有限公司将《创金合信鑫动力灵活配置混合型证券投资基金基金合同》、《创金合信鑫动力灵活配置混合型证券投资基金托管协议》分别修订为《创金合信医疗保健行业股票型证券投资基金基金合同》、《创金合信医疗保健行业股票型证券投资基金托管协议》，并已经中国证监会变更注册。《创金合信医疗保健行业股票型证券投资基金基金合同》、《创金合信医疗保健行业股票型证券投资基金托管协议》自2018年10月31日起生效，《创金合信鑫动力灵活配置混合型证券投资基金基金合同》、《创金合信鑫动力灵活配置混合型证券投资基金托管协议》自同日失效。</w:t>
      </w:r>
    </w:p>
    <w:p>
      <w:pPr>
        <w:pStyle w:val="27"/>
        <w:spacing w:before="0"/>
        <w:ind w:left="0" w:firstLine="480"/>
        <w:rPr>
          <w:rFonts w:hint="eastAsia"/>
        </w:rPr>
      </w:pPr>
      <w:r>
        <w:rPr>
          <w:rFonts w:hint="eastAsia"/>
        </w:rPr>
        <w:t>根据《中华人民共和国证券投资基金法》和《创金合信鑫动力灵活配置混合型证券投资基金基金合同》的有关规定，本基金的投资范围包括国内依法发行上市的股票(包括创业板、中小板以及其他经中国证监会允许基金投资的股票)、债券(包括国债、央行票据、地方政府债、金融债、企业债、公司债、中小企业私募债、次级债、中期票据、短期融资券、可转换债券、可交换债券等)、资产支持证券、债券回购、银行存款、金融衍生品(包括权证、股指期货等)及法律法规或中国证监会允许基金投资的其他金融工具(但须符合中国证监会相关规定)。本基金的业绩比较基准为：沪深300指数收益率×30% + 一年期人民币定期存款利率(税后)×70%。</w:t>
      </w:r>
    </w:p>
    <w:p>
      <w:pPr>
        <w:widowControl/>
        <w:jc w:val="left"/>
        <w:rPr>
          <w:rFonts w:hint="eastAsia" w:ascii="宋体" w:hAnsi="宋体" w:cs="宋体"/>
          <w:kern w:val="0"/>
          <w:sz w:val="24"/>
          <w:szCs w:val="24"/>
        </w:rPr>
      </w:pPr>
    </w:p>
    <w:p>
      <w:pPr>
        <w:pStyle w:val="22"/>
        <w:rPr>
          <w:rFonts w:hint="eastAsia"/>
        </w:rPr>
      </w:pPr>
      <w:r>
        <w:rPr>
          <w:rFonts w:hint="eastAsia"/>
          <w:b/>
          <w:bCs/>
        </w:rPr>
        <w:t>7.4.2 会计报表的编制基础</w:t>
      </w:r>
    </w:p>
    <w:p>
      <w:pPr>
        <w:pStyle w:val="27"/>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鑫动力灵活配置混合型证券投资基金基金合同》和在财务报表附注7.4.4所列示的中国证监会、中国基金业协会发布的有关规定及允许的基金行业实务操作编制。</w:t>
      </w:r>
    </w:p>
    <w:p>
      <w:pPr>
        <w:pStyle w:val="27"/>
        <w:spacing w:before="0"/>
        <w:ind w:left="0" w:firstLine="480"/>
        <w:rPr>
          <w:rFonts w:hint="eastAsia"/>
        </w:rPr>
      </w:pPr>
      <w:r>
        <w:rPr>
          <w:rFonts w:hint="eastAsia"/>
        </w:rPr>
        <w:t>经中国证监会批准，本基金基金管理人创金合信基金管理有限公司将本基金于基金合同失效日转型为创金合信医疗保健行业股票型证券投资基金，存续期限不定，因此本基金财务报表仍以持续经营为基础编制。</w:t>
      </w:r>
    </w:p>
    <w:p>
      <w:pPr>
        <w:widowControl/>
        <w:jc w:val="left"/>
        <w:rPr>
          <w:rFonts w:hint="eastAsia" w:ascii="宋体" w:hAnsi="宋体" w:cs="宋体"/>
          <w:kern w:val="0"/>
          <w:sz w:val="24"/>
          <w:szCs w:val="24"/>
        </w:rPr>
      </w:pPr>
    </w:p>
    <w:p>
      <w:pPr>
        <w:pStyle w:val="22"/>
        <w:rPr>
          <w:rFonts w:hint="eastAsia"/>
        </w:rPr>
      </w:pPr>
      <w:r>
        <w:rPr>
          <w:rFonts w:hint="eastAsia"/>
          <w:b/>
          <w:bCs/>
        </w:rPr>
        <w:t>7.4.3 遵循企业会计准则及其他有关规定的声明</w:t>
      </w:r>
    </w:p>
    <w:p>
      <w:pPr>
        <w:pStyle w:val="27"/>
        <w:spacing w:before="0"/>
        <w:ind w:left="0" w:firstLine="480"/>
        <w:rPr>
          <w:rFonts w:hint="eastAsia"/>
        </w:rPr>
      </w:pPr>
      <w:r>
        <w:rPr>
          <w:rFonts w:hint="eastAsia"/>
        </w:rPr>
        <w:t>本基金2018年1月1日至2018年10月30日(基金合同失效前日)止期间的财务报表符合企业会计准则的要求，真实、完整地反映了本基金2018年10月30日(基金合同失效前日)的财务状况以及2018年1月1日至2018年10月30日(基金合同失效前日)止期间的经营成果和基金净值变动情况等有关信息。</w:t>
      </w:r>
    </w:p>
    <w:p>
      <w:pPr>
        <w:widowControl/>
        <w:jc w:val="left"/>
        <w:rPr>
          <w:rFonts w:hint="eastAsia" w:ascii="宋体" w:hAnsi="宋体" w:cs="宋体"/>
          <w:kern w:val="0"/>
          <w:sz w:val="24"/>
          <w:szCs w:val="24"/>
        </w:rPr>
      </w:pPr>
    </w:p>
    <w:p>
      <w:pPr>
        <w:pStyle w:val="22"/>
        <w:rPr>
          <w:rFonts w:hint="eastAsia"/>
        </w:rPr>
      </w:pPr>
      <w:r>
        <w:rPr>
          <w:rFonts w:hint="eastAsia"/>
          <w:b/>
          <w:bCs/>
        </w:rPr>
        <w:t>7.4.4 重要会计政策和会计估计</w:t>
      </w:r>
    </w:p>
    <w:p>
      <w:pPr>
        <w:widowControl/>
        <w:jc w:val="left"/>
        <w:rPr>
          <w:rFonts w:hint="eastAsia" w:ascii="宋体" w:hAnsi="宋体" w:cs="宋体"/>
          <w:kern w:val="0"/>
          <w:sz w:val="24"/>
          <w:szCs w:val="24"/>
        </w:rPr>
      </w:pPr>
    </w:p>
    <w:p>
      <w:pPr>
        <w:pStyle w:val="22"/>
        <w:rPr>
          <w:rFonts w:hint="eastAsia"/>
        </w:rPr>
      </w:pPr>
      <w:r>
        <w:rPr>
          <w:rFonts w:hint="eastAsia"/>
          <w:b/>
          <w:bCs/>
        </w:rPr>
        <w:t>7.4.4.1 会计年度</w:t>
      </w:r>
    </w:p>
    <w:p>
      <w:pPr>
        <w:pStyle w:val="27"/>
        <w:spacing w:before="0"/>
        <w:ind w:left="0" w:firstLine="480"/>
        <w:rPr>
          <w:rFonts w:hint="eastAsia"/>
        </w:rPr>
      </w:pPr>
      <w:r>
        <w:rPr>
          <w:rFonts w:hint="eastAsia"/>
        </w:rPr>
        <w:t>本基金会计年度为公历1月1日起至12月31日止。本财务报表的实际编制期间为2018年1月1日至2018年10月30日(基金合同失效前日)。</w:t>
      </w:r>
    </w:p>
    <w:p>
      <w:pPr>
        <w:widowControl/>
        <w:jc w:val="left"/>
        <w:rPr>
          <w:rFonts w:hint="eastAsia" w:ascii="宋体" w:hAnsi="宋体" w:cs="宋体"/>
          <w:kern w:val="0"/>
          <w:sz w:val="24"/>
          <w:szCs w:val="24"/>
        </w:rPr>
      </w:pPr>
    </w:p>
    <w:p>
      <w:pPr>
        <w:pStyle w:val="22"/>
        <w:rPr>
          <w:rFonts w:hint="eastAsia"/>
        </w:rPr>
      </w:pPr>
      <w:r>
        <w:rPr>
          <w:rFonts w:hint="eastAsia"/>
          <w:b/>
          <w:bCs/>
        </w:rPr>
        <w:t>7.4.4.2 记账本位币</w:t>
      </w:r>
    </w:p>
    <w:p>
      <w:pPr>
        <w:pStyle w:val="27"/>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22"/>
        <w:rPr>
          <w:rFonts w:hint="eastAsia"/>
        </w:rPr>
      </w:pPr>
      <w:r>
        <w:rPr>
          <w:rFonts w:hint="eastAsia"/>
          <w:b/>
          <w:bCs/>
        </w:rPr>
        <w:t>7.4.4.3 金融资产和金融负债的分类</w:t>
      </w:r>
    </w:p>
    <w:p>
      <w:pPr>
        <w:pStyle w:val="27"/>
        <w:spacing w:before="0"/>
        <w:ind w:left="0" w:firstLine="480"/>
        <w:rPr>
          <w:rFonts w:hint="eastAsia"/>
        </w:rPr>
      </w:pPr>
      <w:r>
        <w:rPr>
          <w:rFonts w:hint="eastAsia"/>
        </w:rPr>
        <w:t>(1)金融资产的分类</w:t>
      </w:r>
    </w:p>
    <w:p>
      <w:pPr>
        <w:pStyle w:val="27"/>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7"/>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7"/>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7"/>
        <w:spacing w:before="0"/>
        <w:ind w:left="0" w:firstLine="480"/>
        <w:rPr>
          <w:rFonts w:hint="eastAsia"/>
        </w:rPr>
      </w:pPr>
      <w:r>
        <w:rPr>
          <w:rFonts w:hint="eastAsia"/>
        </w:rPr>
        <w:t>(2)金融负债的分类</w:t>
      </w:r>
    </w:p>
    <w:p>
      <w:pPr>
        <w:pStyle w:val="27"/>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卖出回购金融资产款和其他各类应付款项等。</w:t>
      </w:r>
    </w:p>
    <w:p>
      <w:pPr>
        <w:widowControl/>
        <w:jc w:val="left"/>
        <w:rPr>
          <w:rFonts w:hint="eastAsia" w:ascii="宋体" w:hAnsi="宋体" w:cs="宋体"/>
          <w:kern w:val="0"/>
          <w:sz w:val="24"/>
          <w:szCs w:val="24"/>
        </w:rPr>
      </w:pPr>
    </w:p>
    <w:p>
      <w:pPr>
        <w:pStyle w:val="22"/>
        <w:rPr>
          <w:rFonts w:hint="eastAsia"/>
        </w:rPr>
      </w:pPr>
      <w:r>
        <w:rPr>
          <w:rFonts w:hint="eastAsia"/>
          <w:b/>
          <w:bCs/>
        </w:rPr>
        <w:t>7.4.4.4 金融资产和金融负债的初始确认、后续计量和终止确认</w:t>
      </w:r>
    </w:p>
    <w:p>
      <w:pPr>
        <w:pStyle w:val="27"/>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或资产支持证券起息日或上次除息日至购买日止的利息，单独确认为应收项目。应收款项和其他金融负债的相关交易费用计入初始确认金额。</w:t>
      </w:r>
    </w:p>
    <w:p>
      <w:pPr>
        <w:pStyle w:val="27"/>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7"/>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7"/>
        <w:spacing w:before="0"/>
        <w:ind w:left="0" w:firstLine="480"/>
        <w:rPr>
          <w:rFonts w:hint="eastAsia"/>
        </w:rPr>
      </w:pPr>
      <w:r>
        <w:rPr>
          <w:rFonts w:hint="eastAsia"/>
        </w:rPr>
        <w:t>金融资产终止确认时，其账面价值与收到的对价的差额，计入当期损益。</w:t>
      </w:r>
    </w:p>
    <w:p>
      <w:pPr>
        <w:pStyle w:val="27"/>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22"/>
        <w:rPr>
          <w:rFonts w:hint="eastAsia"/>
        </w:rPr>
      </w:pPr>
      <w:r>
        <w:rPr>
          <w:rFonts w:hint="eastAsia"/>
          <w:b/>
          <w:bCs/>
        </w:rPr>
        <w:t>7.4.4.5 金融资产和金融负债的估值原则</w:t>
      </w:r>
    </w:p>
    <w:p>
      <w:pPr>
        <w:pStyle w:val="27"/>
        <w:spacing w:before="0"/>
        <w:ind w:left="0" w:firstLine="480"/>
        <w:rPr>
          <w:rFonts w:hint="eastAsia"/>
        </w:rPr>
      </w:pPr>
      <w:r>
        <w:rPr>
          <w:rFonts w:hint="eastAsia"/>
        </w:rPr>
        <w:t>本基金持有的股票投资、债券投资和衍生工具按如下原则确定公允价值并进行估值：</w:t>
      </w:r>
    </w:p>
    <w:p>
      <w:pPr>
        <w:pStyle w:val="27"/>
        <w:spacing w:before="0"/>
        <w:ind w:left="0" w:firstLine="480"/>
        <w:rPr>
          <w:rFonts w:hint="eastAsia"/>
        </w:rPr>
      </w:pPr>
      <w:r>
        <w:rPr>
          <w:rFonts w:hint="eastAsia"/>
        </w:rPr>
        <w:t>(1)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7"/>
        <w:spacing w:before="0"/>
        <w:ind w:left="0" w:firstLine="480"/>
        <w:rPr>
          <w:rFonts w:hint="eastAsia"/>
        </w:rPr>
      </w:pPr>
      <w:r>
        <w:rPr>
          <w:rFonts w:hint="eastAsia"/>
        </w:rPr>
        <w:t>(2)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7"/>
        <w:spacing w:before="0"/>
        <w:ind w:left="0" w:firstLine="480"/>
        <w:rPr>
          <w:rFonts w:hint="eastAsia"/>
        </w:rPr>
      </w:pPr>
      <w:r>
        <w:rPr>
          <w:rFonts w:hint="eastAsia"/>
        </w:rPr>
        <w:t>(3)如经济环境发生重大变化或证券发行人发生影响金融工具价格的重大事件，应对估值进行调整并确定公允价值。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7.4.4.6 金融资产和金融负债的抵销</w:t>
      </w:r>
    </w:p>
    <w:p>
      <w:pPr>
        <w:pStyle w:val="27"/>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22"/>
        <w:rPr>
          <w:rFonts w:hint="eastAsia"/>
        </w:rPr>
      </w:pPr>
      <w:r>
        <w:rPr>
          <w:rFonts w:hint="eastAsia"/>
          <w:b/>
          <w:bCs/>
        </w:rPr>
        <w:t>7.4.4.7 实收基金</w:t>
      </w:r>
    </w:p>
    <w:p>
      <w:pPr>
        <w:pStyle w:val="27"/>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22"/>
        <w:rPr>
          <w:rFonts w:hint="eastAsia"/>
        </w:rPr>
      </w:pPr>
      <w:r>
        <w:rPr>
          <w:rFonts w:hint="eastAsia"/>
          <w:b/>
          <w:bCs/>
        </w:rPr>
        <w:t>7.4.4.8 损益平准金</w:t>
      </w:r>
    </w:p>
    <w:p>
      <w:pPr>
        <w:pStyle w:val="27"/>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22"/>
        <w:rPr>
          <w:rFonts w:hint="eastAsia"/>
        </w:rPr>
      </w:pPr>
      <w:r>
        <w:rPr>
          <w:rFonts w:hint="eastAsia"/>
          <w:b/>
          <w:bCs/>
        </w:rPr>
        <w:t>7.4.4.9 收入/（损失）的确认和计量</w:t>
      </w:r>
    </w:p>
    <w:p>
      <w:pPr>
        <w:pStyle w:val="27"/>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7"/>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7"/>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7.4.4.10 费用的确认和计量</w:t>
      </w:r>
    </w:p>
    <w:p>
      <w:pPr>
        <w:pStyle w:val="27"/>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7"/>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22"/>
        <w:rPr>
          <w:rFonts w:hint="eastAsia"/>
        </w:rPr>
      </w:pPr>
      <w:r>
        <w:rPr>
          <w:rFonts w:hint="eastAsia"/>
          <w:b/>
          <w:bCs/>
        </w:rPr>
        <w:t>7.4.4.11 基金的收益分配政策</w:t>
      </w:r>
    </w:p>
    <w:p>
      <w:pPr>
        <w:pStyle w:val="27"/>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法律法规或监管机关另有规定的，从其规定。</w:t>
      </w:r>
    </w:p>
    <w:p>
      <w:pPr>
        <w:widowControl/>
        <w:jc w:val="left"/>
        <w:rPr>
          <w:rFonts w:hint="eastAsia" w:ascii="宋体" w:hAnsi="宋体" w:cs="宋体"/>
          <w:kern w:val="0"/>
          <w:sz w:val="24"/>
          <w:szCs w:val="24"/>
        </w:rPr>
      </w:pPr>
    </w:p>
    <w:p>
      <w:pPr>
        <w:pStyle w:val="22"/>
        <w:rPr>
          <w:rFonts w:hint="eastAsia"/>
        </w:rPr>
      </w:pPr>
      <w:r>
        <w:rPr>
          <w:rFonts w:hint="eastAsia"/>
          <w:b/>
          <w:bCs/>
        </w:rPr>
        <w:t>7.4.4.12 分部报告</w:t>
      </w:r>
    </w:p>
    <w:p>
      <w:pPr>
        <w:pStyle w:val="27"/>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7"/>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22"/>
        <w:rPr>
          <w:rFonts w:hint="eastAsia"/>
        </w:rPr>
      </w:pPr>
      <w:r>
        <w:rPr>
          <w:rFonts w:hint="eastAsia"/>
          <w:b/>
          <w:bCs/>
        </w:rPr>
        <w:t>7.4.4.13 其他重要的会计政策和会计估计</w:t>
      </w:r>
    </w:p>
    <w:p>
      <w:pPr>
        <w:pStyle w:val="27"/>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7"/>
        <w:spacing w:before="0"/>
        <w:ind w:left="0" w:firstLine="480"/>
        <w:rPr>
          <w:rFonts w:hint="eastAsia"/>
        </w:rPr>
      </w:pPr>
      <w:r>
        <w:rPr>
          <w:rFonts w:hint="eastAsia"/>
        </w:rPr>
        <w:t>(1)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市净率法等估值技术进行估值。</w:t>
      </w:r>
    </w:p>
    <w:p>
      <w:pPr>
        <w:pStyle w:val="27"/>
        <w:spacing w:before="0"/>
        <w:ind w:left="0" w:firstLine="480"/>
        <w:rPr>
          <w:rFonts w:hint="eastAsia"/>
        </w:rPr>
      </w:pPr>
      <w:r>
        <w:rPr>
          <w:rFonts w:hint="eastAsia"/>
        </w:rPr>
        <w:t>(2)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22"/>
        <w:rPr>
          <w:rFonts w:hint="eastAsia"/>
        </w:rPr>
      </w:pPr>
      <w:r>
        <w:rPr>
          <w:rFonts w:hint="eastAsia"/>
          <w:b/>
          <w:bCs/>
        </w:rPr>
        <w:t>7.4.5 会计政策和会计估计变更以及差错更正的说明</w:t>
      </w:r>
    </w:p>
    <w:p>
      <w:pPr>
        <w:pStyle w:val="22"/>
        <w:rPr>
          <w:rFonts w:hint="eastAsia"/>
        </w:rPr>
      </w:pPr>
      <w:r>
        <w:rPr>
          <w:rFonts w:hint="eastAsia"/>
          <w:b/>
          <w:bCs/>
        </w:rPr>
        <w:t>7.4.5.1 会计政策变更的说明</w:t>
      </w:r>
    </w:p>
    <w:p>
      <w:pPr>
        <w:pStyle w:val="27"/>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22"/>
        <w:rPr>
          <w:rFonts w:hint="eastAsia"/>
        </w:rPr>
      </w:pPr>
      <w:r>
        <w:rPr>
          <w:rFonts w:hint="eastAsia"/>
          <w:b/>
          <w:bCs/>
        </w:rPr>
        <w:t>7.4.5.2 会计估计变更的说明</w:t>
      </w:r>
    </w:p>
    <w:p>
      <w:pPr>
        <w:pStyle w:val="27"/>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22"/>
        <w:rPr>
          <w:rFonts w:hint="eastAsia"/>
        </w:rPr>
      </w:pPr>
      <w:r>
        <w:rPr>
          <w:rFonts w:hint="eastAsia"/>
          <w:b/>
          <w:bCs/>
        </w:rPr>
        <w:t>7.4.5.3 差错更正的说明</w:t>
      </w:r>
    </w:p>
    <w:p>
      <w:pPr>
        <w:pStyle w:val="27"/>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22"/>
        <w:rPr>
          <w:rFonts w:hint="eastAsia"/>
        </w:rPr>
      </w:pPr>
      <w:r>
        <w:rPr>
          <w:rFonts w:hint="eastAsia"/>
          <w:b/>
          <w:bCs/>
        </w:rPr>
        <w:t>7.4.6 税项</w:t>
      </w:r>
    </w:p>
    <w:p>
      <w:pPr>
        <w:pStyle w:val="27"/>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7"/>
        <w:spacing w:before="0"/>
        <w:ind w:left="0" w:firstLine="480"/>
        <w:rPr>
          <w:rFonts w:hint="eastAsia"/>
        </w:rPr>
      </w:pPr>
      <w:r>
        <w:rPr>
          <w:rFonts w:hint="eastAsia"/>
        </w:rPr>
        <w:t>(1)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7"/>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非货物期货结算价格作为买入价计算销售额。</w:t>
      </w:r>
    </w:p>
    <w:p>
      <w:pPr>
        <w:pStyle w:val="27"/>
        <w:spacing w:before="0"/>
        <w:ind w:left="0" w:firstLine="480"/>
        <w:rPr>
          <w:rFonts w:hint="eastAsia"/>
        </w:rPr>
      </w:pPr>
      <w:r>
        <w:rPr>
          <w:rFonts w:hint="eastAsia"/>
        </w:rPr>
        <w:t>(2)对基金从证券市场中取得的收入，包括买卖股票、债券的差价收入，股票的股息、红利收入，债券的利息收入及其他收入，暂不征收企业所得税。</w:t>
      </w:r>
    </w:p>
    <w:p>
      <w:pPr>
        <w:pStyle w:val="27"/>
        <w:spacing w:before="0"/>
        <w:ind w:left="0" w:firstLine="480"/>
        <w:rPr>
          <w:rFonts w:hint="eastAsia"/>
        </w:rPr>
      </w:pPr>
      <w:r>
        <w:rPr>
          <w:rFonts w:hint="eastAsia"/>
        </w:rPr>
        <w:t>(3)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7"/>
        <w:spacing w:before="0"/>
        <w:ind w:left="0" w:firstLine="480"/>
        <w:rPr>
          <w:rFonts w:hint="eastAsia"/>
        </w:rPr>
      </w:pPr>
      <w:r>
        <w:rPr>
          <w:rFonts w:hint="eastAsia"/>
        </w:rPr>
        <w:t>(4)基金卖出股票按0.1%的税率缴纳股票交易印花税，买入股票不征收股票交易印花税。</w:t>
      </w:r>
    </w:p>
    <w:p>
      <w:pPr>
        <w:pStyle w:val="27"/>
        <w:spacing w:before="0"/>
        <w:ind w:left="0" w:firstLine="480"/>
        <w:rPr>
          <w:rFonts w:hint="eastAsia"/>
        </w:rPr>
      </w:pPr>
      <w:r>
        <w:rPr>
          <w:rFonts w:hint="eastAsia"/>
        </w:rPr>
        <w:t>(5)本基金的城市维护建设税、教育费附加和地方教育费附加等税费按照实际缴纳增值税额的适用比例计算缴纳。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22"/>
        <w:rPr>
          <w:rFonts w:hint="eastAsia"/>
        </w:rPr>
      </w:pPr>
      <w:r>
        <w:rPr>
          <w:rFonts w:hint="eastAsia"/>
          <w:b/>
          <w:bCs/>
        </w:rPr>
        <w:t>7.4.7 重要财务报表项目的说明</w:t>
      </w:r>
    </w:p>
    <w:p>
      <w:pPr>
        <w:pStyle w:val="22"/>
        <w:rPr>
          <w:rFonts w:hint="eastAsia"/>
        </w:rPr>
      </w:pPr>
      <w:r>
        <w:rPr>
          <w:rFonts w:hint="eastAsia"/>
          <w:b/>
          <w:bCs/>
        </w:rPr>
        <w:t>7.4.7.1 银行存款</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075"/>
        <w:gridCol w:w="3414"/>
        <w:gridCol w:w="2556"/>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1,250,108.40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119,806.16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1,250,108.40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119,806.16</w:t>
            </w:r>
          </w:p>
        </w:tc>
      </w:tr>
    </w:tbl>
    <w:p>
      <w:pPr>
        <w:widowControl/>
        <w:jc w:val="left"/>
        <w:rPr>
          <w:rFonts w:hint="eastAsia" w:ascii="宋体" w:hAnsi="宋体" w:cs="宋体"/>
          <w:kern w:val="0"/>
          <w:sz w:val="24"/>
          <w:szCs w:val="24"/>
        </w:rPr>
      </w:pPr>
    </w:p>
    <w:p>
      <w:pPr>
        <w:pStyle w:val="22"/>
        <w:rPr>
          <w:rFonts w:hint="eastAsia"/>
        </w:rPr>
      </w:pPr>
      <w:r>
        <w:rPr>
          <w:rFonts w:hint="eastAsia"/>
          <w:b/>
          <w:bCs/>
        </w:rPr>
        <w:t>7.4.7.2 交易性金融资产</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本期末2018年10月30日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-580,691.79</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2,652,480.00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-35,840.00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2,652,480.00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-35,840.00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3,644,280.00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3,027,748.21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-616,531.79</w:t>
            </w:r>
          </w:p>
        </w:tc>
      </w:tr>
      <w:tr>
        <w:tblPrEx>
          <w:tblCellMar>
            <w:top w:w="0" w:type="dxa"/>
            <w:left w:w="108" w:type="dxa"/>
            <w:bottom w:w="0" w:type="dxa"/>
            <w:right w:w="108" w:type="dxa"/>
          </w:tblCellMar>
        </w:tblPrEx>
        <w:trPr>
          <w:wBefore w:w="0" w:type="auto"/>
        </w:trPr>
        <w:tc>
          <w:tcPr>
            <w:tcW w:w="2526"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991,800.00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913,710.00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-78,090.00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2,902,025.00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-20,135.00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2,902,025.00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2,881,890.00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-20,135.00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3,893,825.00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3,795,600.00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-98,225.00</w:t>
            </w:r>
          </w:p>
        </w:tc>
      </w:tr>
    </w:tbl>
    <w:p>
      <w:pPr>
        <w:widowControl/>
        <w:jc w:val="left"/>
        <w:rPr>
          <w:rFonts w:hint="eastAsia" w:ascii="宋体" w:hAnsi="宋体" w:cs="宋体"/>
          <w:kern w:val="0"/>
          <w:sz w:val="24"/>
          <w:szCs w:val="24"/>
        </w:rPr>
      </w:pPr>
    </w:p>
    <w:p>
      <w:pPr>
        <w:pStyle w:val="22"/>
        <w:rPr>
          <w:rFonts w:hint="eastAsia"/>
        </w:rPr>
      </w:pPr>
      <w:r>
        <w:rPr>
          <w:rFonts w:hint="eastAsia"/>
          <w:b/>
          <w:bCs/>
        </w:rPr>
        <w:t>7.4.7.3 衍生金融资产/负债</w:t>
      </w:r>
    </w:p>
    <w:p>
      <w:pPr>
        <w:pStyle w:val="27"/>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22"/>
        <w:rPr>
          <w:rFonts w:hint="eastAsia"/>
        </w:rPr>
      </w:pPr>
      <w:r>
        <w:rPr>
          <w:rFonts w:hint="eastAsia"/>
          <w:b/>
          <w:bCs/>
        </w:rPr>
        <w:t>7.4.7.4 买入返售金融资产</w:t>
      </w:r>
    </w:p>
    <w:p>
      <w:pPr>
        <w:pStyle w:val="22"/>
        <w:rPr>
          <w:rFonts w:hint="eastAsia"/>
        </w:rPr>
      </w:pPr>
      <w:r>
        <w:rPr>
          <w:rFonts w:hint="eastAsia"/>
          <w:b/>
          <w:bCs/>
        </w:rPr>
        <w:t>7.4.7.4.1 各项买入返售金融资产期末余额</w:t>
      </w:r>
    </w:p>
    <w:tbl>
      <w:tblPr>
        <w:tblStyle w:val="14"/>
        <w:tblW w:w="9045" w:type="dxa"/>
        <w:tblInd w:w="108" w:type="dxa"/>
        <w:tblLayout w:type="autofit"/>
        <w:tblCellMar>
          <w:top w:w="0" w:type="dxa"/>
          <w:left w:w="108" w:type="dxa"/>
          <w:bottom w:w="0" w:type="dxa"/>
          <w:right w:w="108" w:type="dxa"/>
        </w:tblCellMar>
      </w:tblPr>
      <w:tblGrid>
        <w:gridCol w:w="1875"/>
        <w:gridCol w:w="2685"/>
        <w:gridCol w:w="4485"/>
      </w:tblGrid>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87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其中：买断式逆回购</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7.4.7.4.2 期末买断式逆回购交易中取得的债券</w:t>
      </w:r>
    </w:p>
    <w:p>
      <w:pPr>
        <w:pStyle w:val="27"/>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7.4.7.5 应收利息</w:t>
      </w:r>
    </w:p>
    <w:p>
      <w:pPr>
        <w:pStyle w:val="26"/>
        <w:rPr>
          <w:rFonts w:hint="eastAsia"/>
        </w:rPr>
      </w:pPr>
      <w:r>
        <w:rPr>
          <w:rFonts w:hint="eastAsia"/>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311"/>
        <w:gridCol w:w="2479"/>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786.45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157,215.40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-273.98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156,992.70</w:t>
            </w:r>
          </w:p>
        </w:tc>
      </w:tr>
    </w:tbl>
    <w:p>
      <w:pPr>
        <w:widowControl/>
        <w:jc w:val="left"/>
        <w:rPr>
          <w:rFonts w:hint="eastAsia" w:ascii="宋体" w:hAnsi="宋体" w:cs="宋体"/>
          <w:kern w:val="0"/>
          <w:sz w:val="24"/>
          <w:szCs w:val="24"/>
        </w:rPr>
      </w:pPr>
    </w:p>
    <w:p>
      <w:pPr>
        <w:pStyle w:val="22"/>
        <w:rPr>
          <w:rFonts w:hint="eastAsia"/>
        </w:rPr>
      </w:pPr>
      <w:r>
        <w:rPr>
          <w:rFonts w:hint="eastAsia"/>
          <w:b/>
          <w:bCs/>
        </w:rPr>
        <w:t>7.4.7.6 应付交易费用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3571"/>
        <w:gridCol w:w="2225"/>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bl>
    <w:p>
      <w:pPr>
        <w:pStyle w:val="27"/>
        <w:rPr>
          <w:rFonts w:hint="eastAsia"/>
        </w:rPr>
      </w:pPr>
      <w:r>
        <w:rPr>
          <w:rFonts w:hint="eastAsia"/>
        </w:rPr>
        <w:t>注：本基金本报告期末及上年度末无应付交易费用。</w:t>
      </w:r>
    </w:p>
    <w:p>
      <w:pPr>
        <w:widowControl/>
        <w:jc w:val="left"/>
        <w:rPr>
          <w:rFonts w:hint="eastAsia" w:ascii="宋体" w:hAnsi="宋体" w:cs="宋体"/>
          <w:kern w:val="0"/>
          <w:sz w:val="24"/>
          <w:szCs w:val="24"/>
        </w:rPr>
      </w:pPr>
    </w:p>
    <w:p>
      <w:pPr>
        <w:pStyle w:val="22"/>
        <w:rPr>
          <w:rFonts w:hint="eastAsia"/>
        </w:rPr>
      </w:pPr>
      <w:r>
        <w:rPr>
          <w:rFonts w:hint="eastAsia"/>
          <w:b/>
          <w:bCs/>
        </w:rPr>
        <w:t>7.4.7.7 其他负债</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434"/>
        <w:gridCol w:w="2356"/>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75,575.25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49,535.27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75,576.23</w:t>
            </w:r>
          </w:p>
        </w:tc>
      </w:tr>
    </w:tbl>
    <w:p>
      <w:pPr>
        <w:widowControl/>
        <w:jc w:val="left"/>
        <w:rPr>
          <w:rFonts w:hint="eastAsia" w:ascii="宋体" w:hAnsi="宋体" w:cs="宋体"/>
          <w:kern w:val="0"/>
          <w:sz w:val="24"/>
          <w:szCs w:val="24"/>
        </w:rPr>
      </w:pPr>
    </w:p>
    <w:p>
      <w:pPr>
        <w:pStyle w:val="22"/>
        <w:rPr>
          <w:rFonts w:hint="eastAsia"/>
        </w:rPr>
      </w:pPr>
      <w:r>
        <w:rPr>
          <w:rFonts w:hint="eastAsia"/>
          <w:b/>
          <w:bCs/>
        </w:rPr>
        <w:t>7.4.7.8 实收基金</w:t>
      </w:r>
    </w:p>
    <w:p>
      <w:pPr>
        <w:pStyle w:val="22"/>
        <w:rPr>
          <w:rFonts w:hint="eastAsia"/>
        </w:rPr>
      </w:pPr>
      <w:r>
        <w:rPr>
          <w:rFonts w:hint="eastAsia" w:hAnsi="Calibri"/>
          <w:b/>
          <w:color w:val="000000"/>
        </w:rPr>
        <w:t>7.4.7.8.1 创金合信鑫动力混合A</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(创金合信鑫动力混合A)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4,100,212.38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4,100,212.38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4,100,212.38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4,100,212.38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524,959.41</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524,959.41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-260,664.26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-260,664.26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4,364,507.53</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7.4.7.8.2 创金合信鑫动力混合C</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p>
            <w:pPr>
              <w:pStyle w:val="25"/>
              <w:wordWrap w:val="0"/>
              <w:rPr>
                <w:rFonts w:hint="eastAsia"/>
              </w:rPr>
            </w:pPr>
            <w:r>
              <w:rPr>
                <w:rFonts w:hint="eastAsia" w:hAnsi="Calibri"/>
                <w:color w:val="000000"/>
              </w:rPr>
              <w:t>(创金合信鑫动力混合C)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60,800.02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60,800.02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2018-10-31基金份额折算调整</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2018-10-31未领取红利份额折算调整（若有）</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2018-10-31集中申购募集资金本金及利息</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2018-10-31基金拆分和集中申购完成后</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60,800.02</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60,800.02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167,753.69</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167,753.69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-86,505.98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-86,505.98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r>
    </w:tbl>
    <w:p>
      <w:pPr>
        <w:pStyle w:val="27"/>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22"/>
        <w:rPr>
          <w:rFonts w:hint="eastAsia"/>
        </w:rPr>
      </w:pPr>
      <w:r>
        <w:rPr>
          <w:rFonts w:hint="eastAsia"/>
          <w:b/>
          <w:bCs/>
        </w:rPr>
        <w:t>7.4.7.9 未分配利润</w:t>
      </w:r>
    </w:p>
    <w:p>
      <w:pPr>
        <w:pStyle w:val="22"/>
        <w:rPr>
          <w:rFonts w:hint="eastAsia"/>
        </w:rPr>
      </w:pPr>
      <w:r>
        <w:rPr>
          <w:rFonts w:hint="eastAsia" w:hAnsi="Calibri"/>
          <w:b/>
          <w:color w:val="000000"/>
        </w:rPr>
        <w:t>7.4.7.9.1 创金合信鑫动力混合A</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447,176.75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-88,654.60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358,522.15</w:t>
            </w:r>
          </w:p>
        </w:tc>
      </w:tr>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25,743.91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-505,420.61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-479,676.70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34,417.47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-51,871.94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-17,454.47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64,346.16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-70,795.52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-6,449.36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-29,928.69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18,923.58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-11,005.11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507,338.13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-645,947.15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-138,609.02</w:t>
            </w:r>
          </w:p>
        </w:tc>
      </w:tr>
    </w:tbl>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7.4.7.9.2 创金合信鑫动力混合C</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31"/>
        <w:gridCol w:w="2172"/>
        <w:gridCol w:w="2171"/>
        <w:gridCol w:w="2171"/>
      </w:tblGrid>
      <w:tr>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2,890.20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-1,245.58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1,644.62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-12,886.18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-12,845.14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4,655.97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-5,722.83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-1,066.86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9,532.67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-11,786.36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-2,253.69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-4,876.70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6,063.53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1,186.83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7,587.21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-19,854.59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-12,267.38</w:t>
            </w:r>
          </w:p>
        </w:tc>
      </w:tr>
    </w:tbl>
    <w:p>
      <w:pPr>
        <w:widowControl/>
        <w:jc w:val="left"/>
        <w:rPr>
          <w:rFonts w:hint="eastAsia" w:ascii="宋体" w:hAnsi="宋体" w:cs="宋体"/>
          <w:kern w:val="0"/>
          <w:sz w:val="24"/>
          <w:szCs w:val="24"/>
        </w:rPr>
      </w:pPr>
    </w:p>
    <w:p>
      <w:pPr>
        <w:pStyle w:val="22"/>
        <w:rPr>
          <w:rFonts w:hint="eastAsia"/>
        </w:rPr>
      </w:pPr>
      <w:r>
        <w:rPr>
          <w:rFonts w:hint="eastAsia"/>
          <w:b/>
          <w:bCs/>
        </w:rPr>
        <w:t>7.4.7.10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703"/>
        <w:gridCol w:w="208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92,475.88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8,527.44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2,313.97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4,046.33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103,317.29</w:t>
            </w:r>
          </w:p>
        </w:tc>
      </w:tr>
    </w:tbl>
    <w:p>
      <w:pPr>
        <w:widowControl/>
        <w:jc w:val="left"/>
        <w:rPr>
          <w:rFonts w:hint="eastAsia" w:ascii="宋体" w:hAnsi="宋体" w:cs="宋体"/>
          <w:kern w:val="0"/>
          <w:sz w:val="24"/>
          <w:szCs w:val="24"/>
        </w:rPr>
      </w:pPr>
    </w:p>
    <w:p>
      <w:pPr>
        <w:pStyle w:val="22"/>
        <w:rPr>
          <w:rFonts w:hint="eastAsia"/>
        </w:rPr>
      </w:pPr>
      <w:r>
        <w:rPr>
          <w:rFonts w:hint="eastAsia"/>
          <w:b/>
          <w:bCs/>
        </w:rPr>
        <w:t>7.4.7.11股票投资收益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178,090,423.75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178,939,492.06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-849,068.31</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2"/>
        <w:rPr>
          <w:rFonts w:hint="eastAsia"/>
        </w:rPr>
      </w:pPr>
      <w:r>
        <w:rPr>
          <w:rFonts w:hint="eastAsia"/>
          <w:b/>
          <w:bCs/>
        </w:rPr>
        <w:t>7.4.7.12 债券投资收益</w:t>
      </w:r>
    </w:p>
    <w:p>
      <w:pPr>
        <w:pStyle w:val="22"/>
        <w:rPr>
          <w:rFonts w:hint="eastAsia"/>
        </w:rPr>
      </w:pPr>
      <w:r>
        <w:rPr>
          <w:rFonts w:hint="eastAsia"/>
          <w:b/>
          <w:bCs/>
        </w:rPr>
        <w:t>7.4.7.12.1 债券投资收益项目构成</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167"/>
        <w:gridCol w:w="2939"/>
        <w:gridCol w:w="2939"/>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-17,432,074.10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-17,432,074.10</w:t>
            </w:r>
          </w:p>
        </w:tc>
      </w:tr>
    </w:tbl>
    <w:p>
      <w:pPr>
        <w:widowControl/>
        <w:jc w:val="left"/>
        <w:rPr>
          <w:rFonts w:hint="eastAsia" w:ascii="宋体" w:hAnsi="宋体" w:cs="宋体"/>
          <w:kern w:val="0"/>
          <w:sz w:val="24"/>
          <w:szCs w:val="24"/>
        </w:rPr>
      </w:pPr>
    </w:p>
    <w:p>
      <w:pPr>
        <w:pStyle w:val="22"/>
        <w:rPr>
          <w:rFonts w:hint="eastAsia"/>
        </w:rPr>
      </w:pPr>
      <w:r>
        <w:rPr>
          <w:rFonts w:hint="eastAsia"/>
          <w:b/>
          <w:bCs/>
        </w:rPr>
        <w:t>7.4.7.12.2 债券投资收益——买卖债券差价收入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261"/>
        <w:gridCol w:w="3392"/>
        <w:gridCol w:w="3392"/>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256,950.00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1,767,827,350.57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249,545.00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1,754,360,131.21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30,899,293.46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-17,432,074.10</w:t>
            </w:r>
          </w:p>
        </w:tc>
      </w:tr>
    </w:tbl>
    <w:p>
      <w:pPr>
        <w:widowControl/>
        <w:jc w:val="left"/>
        <w:rPr>
          <w:rFonts w:hint="eastAsia" w:ascii="宋体" w:hAnsi="宋体" w:cs="宋体"/>
          <w:kern w:val="0"/>
          <w:sz w:val="24"/>
          <w:szCs w:val="24"/>
        </w:rPr>
      </w:pPr>
    </w:p>
    <w:p>
      <w:pPr>
        <w:pStyle w:val="22"/>
        <w:rPr>
          <w:rFonts w:hint="eastAsia"/>
        </w:rPr>
      </w:pPr>
      <w:r>
        <w:rPr>
          <w:rFonts w:hint="eastAsia"/>
          <w:b/>
          <w:bCs/>
        </w:rPr>
        <w:t>7.4.7.13 衍生工具收益</w:t>
      </w:r>
    </w:p>
    <w:p>
      <w:pPr>
        <w:pStyle w:val="27"/>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22"/>
        <w:rPr>
          <w:rFonts w:hint="eastAsia"/>
        </w:rPr>
      </w:pPr>
      <w:r>
        <w:rPr>
          <w:rFonts w:hint="eastAsia"/>
          <w:b/>
          <w:bCs/>
        </w:rPr>
        <w:t>7.4.7.14 股利收益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11,706.60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11,706.60</w:t>
            </w:r>
          </w:p>
        </w:tc>
      </w:tr>
    </w:tbl>
    <w:p>
      <w:pPr>
        <w:widowControl/>
        <w:jc w:val="left"/>
        <w:rPr>
          <w:rFonts w:hint="eastAsia" w:ascii="宋体" w:hAnsi="宋体" w:cs="宋体"/>
          <w:kern w:val="0"/>
          <w:sz w:val="24"/>
          <w:szCs w:val="24"/>
        </w:rPr>
      </w:pPr>
    </w:p>
    <w:p>
      <w:pPr>
        <w:pStyle w:val="22"/>
        <w:rPr>
          <w:rFonts w:hint="eastAsia"/>
        </w:rPr>
      </w:pPr>
      <w:r>
        <w:rPr>
          <w:rFonts w:hint="eastAsia"/>
          <w:b/>
          <w:bCs/>
        </w:rPr>
        <w:t>7.4.7.15 公允价值变动收益</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713"/>
        <w:gridCol w:w="4225"/>
        <w:gridCol w:w="2107"/>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-518,306.79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9,522,533.04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-502,601.79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3,259,469.85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-15,705.00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6,263,063.19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-518,306.79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9,522,533.04</w:t>
            </w:r>
          </w:p>
        </w:tc>
      </w:tr>
    </w:tbl>
    <w:p>
      <w:pPr>
        <w:widowControl/>
        <w:jc w:val="left"/>
        <w:rPr>
          <w:rFonts w:hint="eastAsia" w:ascii="宋体" w:hAnsi="宋体" w:cs="宋体"/>
          <w:kern w:val="0"/>
          <w:sz w:val="24"/>
          <w:szCs w:val="24"/>
        </w:rPr>
      </w:pPr>
    </w:p>
    <w:p>
      <w:pPr>
        <w:pStyle w:val="22"/>
        <w:rPr>
          <w:rFonts w:hint="eastAsia"/>
        </w:rPr>
      </w:pPr>
      <w:r>
        <w:rPr>
          <w:rFonts w:hint="eastAsia"/>
          <w:b/>
          <w:bCs/>
        </w:rPr>
        <w:t>7.4.7.16 其他收入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6,646.13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1,073.51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6,646.13</w:t>
            </w:r>
          </w:p>
        </w:tc>
      </w:tr>
    </w:tbl>
    <w:p>
      <w:pPr>
        <w:widowControl/>
        <w:jc w:val="left"/>
        <w:rPr>
          <w:rFonts w:hint="eastAsia" w:ascii="宋体" w:hAnsi="宋体" w:cs="宋体"/>
          <w:kern w:val="0"/>
          <w:sz w:val="24"/>
          <w:szCs w:val="24"/>
        </w:rPr>
      </w:pPr>
    </w:p>
    <w:p>
      <w:pPr>
        <w:pStyle w:val="22"/>
        <w:rPr>
          <w:rFonts w:hint="eastAsia"/>
        </w:rPr>
      </w:pPr>
      <w:r>
        <w:rPr>
          <w:rFonts w:hint="eastAsia"/>
          <w:b/>
          <w:bCs/>
        </w:rPr>
        <w:t>7.4.7.17 交易费用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430,574.41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18,175.00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448,749.41</w:t>
            </w:r>
          </w:p>
        </w:tc>
      </w:tr>
    </w:tbl>
    <w:p>
      <w:pPr>
        <w:widowControl/>
        <w:jc w:val="left"/>
        <w:rPr>
          <w:rFonts w:hint="eastAsia" w:ascii="宋体" w:hAnsi="宋体" w:cs="宋体"/>
          <w:kern w:val="0"/>
          <w:sz w:val="24"/>
          <w:szCs w:val="24"/>
        </w:rPr>
      </w:pPr>
    </w:p>
    <w:p>
      <w:pPr>
        <w:pStyle w:val="22"/>
        <w:rPr>
          <w:rFonts w:hint="eastAsia"/>
        </w:rPr>
      </w:pPr>
      <w:r>
        <w:rPr>
          <w:rFonts w:hint="eastAsia"/>
          <w:b/>
          <w:bCs/>
        </w:rPr>
        <w:t>7.4.7.18 其他费用</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5"/>
        <w:gridCol w:w="3863"/>
        <w:gridCol w:w="19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16,601.37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29,589.30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36,985.95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29,934.60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36,000.00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查询服务费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87,735.97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103,775.25</w:t>
            </w:r>
          </w:p>
        </w:tc>
      </w:tr>
    </w:tbl>
    <w:p>
      <w:pPr>
        <w:widowControl/>
        <w:jc w:val="left"/>
        <w:rPr>
          <w:rFonts w:hint="eastAsia" w:ascii="宋体" w:hAnsi="宋体" w:cs="宋体"/>
          <w:kern w:val="0"/>
          <w:sz w:val="24"/>
          <w:szCs w:val="24"/>
        </w:rPr>
      </w:pPr>
    </w:p>
    <w:p>
      <w:pPr>
        <w:pStyle w:val="22"/>
        <w:rPr>
          <w:rFonts w:hint="eastAsia"/>
        </w:rPr>
      </w:pPr>
      <w:r>
        <w:rPr>
          <w:rFonts w:hint="eastAsia"/>
          <w:b/>
          <w:bCs/>
        </w:rPr>
        <w:t>7.4.8 或有事项、资产负债表日后事项的说明</w:t>
      </w:r>
    </w:p>
    <w:p>
      <w:pPr>
        <w:pStyle w:val="22"/>
        <w:rPr>
          <w:rFonts w:hint="eastAsia"/>
        </w:rPr>
      </w:pPr>
      <w:r>
        <w:rPr>
          <w:rFonts w:hint="eastAsia"/>
          <w:b/>
          <w:bCs/>
        </w:rPr>
        <w:t>7.4.8.1 或有事项</w:t>
      </w:r>
    </w:p>
    <w:p>
      <w:pPr>
        <w:pStyle w:val="27"/>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22"/>
        <w:rPr>
          <w:rFonts w:hint="eastAsia"/>
        </w:rPr>
      </w:pPr>
      <w:r>
        <w:rPr>
          <w:rFonts w:hint="eastAsia"/>
          <w:b/>
          <w:bCs/>
        </w:rPr>
        <w:t>7.4.8.2 资产负债表日后事项</w:t>
      </w:r>
    </w:p>
    <w:p>
      <w:pPr>
        <w:pStyle w:val="27"/>
        <w:spacing w:before="0"/>
        <w:ind w:left="0" w:firstLine="480"/>
        <w:rPr>
          <w:rFonts w:hint="eastAsia"/>
        </w:rPr>
      </w:pPr>
      <w:r>
        <w:rPr>
          <w:rFonts w:hint="eastAsia"/>
        </w:rPr>
        <w:t>根据本基金的基金管理人创金合信基金管理有限公司于2018年10月24日发布的《创金合信鑫动力灵活配置混合型证券投资基金基金份额持有人大会表决结果暨决议生效公告》，《创金合信鑫动力灵活配置混合型证券投资基金基金合同》、《创金合信鑫动力灵活配置混合型证券投资基金托管协议》于2018年10月31日失效。《创金合信医疗保健行业股票型证券投资基金基金合同》、《创金合信医疗保健行业股票型证券投资基金托管协议》于同日生效，本基金名称变更为创金合信医疗保健行业股票型证券投资基金。</w:t>
      </w:r>
    </w:p>
    <w:p>
      <w:pPr>
        <w:widowControl/>
        <w:jc w:val="left"/>
        <w:rPr>
          <w:rFonts w:hint="eastAsia" w:ascii="宋体" w:hAnsi="宋体" w:cs="宋体"/>
          <w:kern w:val="0"/>
          <w:sz w:val="24"/>
          <w:szCs w:val="24"/>
        </w:rPr>
      </w:pPr>
    </w:p>
    <w:p>
      <w:pPr>
        <w:pStyle w:val="22"/>
        <w:rPr>
          <w:rFonts w:hint="eastAsia"/>
        </w:rPr>
      </w:pPr>
      <w:r>
        <w:rPr>
          <w:rFonts w:hint="eastAsia"/>
          <w:b/>
          <w:bCs/>
        </w:rPr>
        <w:t>7.4.9 关联方关系</w:t>
      </w:r>
    </w:p>
    <w:p>
      <w:pPr>
        <w:pStyle w:val="22"/>
        <w:rPr>
          <w:rFonts w:hint="eastAsia"/>
        </w:rPr>
      </w:pPr>
      <w:r>
        <w:rPr>
          <w:rFonts w:hint="eastAsia"/>
          <w:b/>
          <w:bCs/>
        </w:rPr>
        <w:t>7.4.9.1 本报告期存在控制关系或其他重大利害关系的关联方发生变化的情况</w:t>
      </w:r>
    </w:p>
    <w:p>
      <w:pPr>
        <w:pStyle w:val="27"/>
        <w:spacing w:before="0"/>
        <w:ind w:left="0" w:firstLine="480"/>
        <w:rPr>
          <w:rFonts w:hint="eastAsia"/>
        </w:rPr>
      </w:pPr>
      <w:r>
        <w:rPr>
          <w:rFonts w:hint="eastAsia"/>
        </w:rPr>
        <w:t>本报告期不存在重大关联方发生变化的情况。</w:t>
      </w:r>
    </w:p>
    <w:p>
      <w:pPr>
        <w:widowControl/>
        <w:jc w:val="left"/>
        <w:rPr>
          <w:rFonts w:hint="eastAsia" w:ascii="宋体" w:hAnsi="宋体" w:cs="宋体"/>
          <w:kern w:val="0"/>
          <w:sz w:val="24"/>
          <w:szCs w:val="24"/>
        </w:rPr>
      </w:pPr>
    </w:p>
    <w:p>
      <w:pPr>
        <w:pStyle w:val="22"/>
        <w:rPr>
          <w:rFonts w:hint="eastAsia"/>
        </w:rPr>
      </w:pPr>
      <w:r>
        <w:rPr>
          <w:rFonts w:hint="eastAsia"/>
          <w:b/>
          <w:bCs/>
        </w:rPr>
        <w:t>7.4.9.2 本报告期与基金发生关联交易的各关联方</w:t>
      </w:r>
    </w:p>
    <w:tbl>
      <w:tblPr>
        <w:tblStyle w:val="14"/>
        <w:tblW w:w="9045" w:type="dxa"/>
        <w:tblInd w:w="108" w:type="dxa"/>
        <w:tblLayout w:type="autofit"/>
        <w:tblCellMar>
          <w:top w:w="0" w:type="dxa"/>
          <w:left w:w="108" w:type="dxa"/>
          <w:bottom w:w="0" w:type="dxa"/>
          <w:right w:w="108" w:type="dxa"/>
        </w:tblCellMar>
      </w:tblPr>
      <w:tblGrid>
        <w:gridCol w:w="5105"/>
        <w:gridCol w:w="3940"/>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中国邮政储蓄银行股份有限公司(“中国邮政储蓄银行”)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基金管理人的股东</w:t>
            </w:r>
          </w:p>
        </w:tc>
      </w:tr>
    </w:tbl>
    <w:p>
      <w:pPr>
        <w:widowControl/>
        <w:jc w:val="left"/>
        <w:rPr>
          <w:rFonts w:hint="eastAsia" w:ascii="宋体" w:hAnsi="宋体" w:cs="宋体"/>
          <w:kern w:val="0"/>
          <w:sz w:val="24"/>
          <w:szCs w:val="24"/>
        </w:rPr>
      </w:pPr>
    </w:p>
    <w:p>
      <w:pPr>
        <w:pStyle w:val="22"/>
        <w:rPr>
          <w:rFonts w:hint="eastAsia"/>
        </w:rPr>
      </w:pPr>
      <w:r>
        <w:rPr>
          <w:rFonts w:hint="eastAsia"/>
          <w:b/>
          <w:bCs/>
        </w:rPr>
        <w:t>7.4.10 本报告期及上年度可比期间的关联方交易</w:t>
      </w:r>
    </w:p>
    <w:p>
      <w:pPr>
        <w:pStyle w:val="22"/>
        <w:rPr>
          <w:rFonts w:hint="eastAsia"/>
        </w:rPr>
      </w:pPr>
      <w:r>
        <w:rPr>
          <w:rFonts w:hint="eastAsia"/>
          <w:b/>
          <w:bCs/>
        </w:rPr>
        <w:t>7.4.10.1 通过关联方交易单元进行的交易</w:t>
      </w:r>
    </w:p>
    <w:p>
      <w:pPr>
        <w:pStyle w:val="22"/>
        <w:rPr>
          <w:rFonts w:hint="eastAsia"/>
        </w:rPr>
      </w:pPr>
      <w:r>
        <w:rPr>
          <w:rFonts w:hint="eastAsia"/>
          <w:b/>
          <w:bCs/>
        </w:rPr>
        <w:t>7.4.10.1.1 股票交易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863"/>
        <w:gridCol w:w="1908"/>
        <w:gridCol w:w="1255"/>
        <w:gridCol w:w="1908"/>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308,967,282.55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7.4.10.1.2 权证交易</w:t>
      </w:r>
    </w:p>
    <w:p>
      <w:pPr>
        <w:pStyle w:val="27"/>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22"/>
        <w:rPr>
          <w:rFonts w:hint="eastAsia"/>
        </w:rPr>
      </w:pPr>
      <w:r>
        <w:rPr>
          <w:rFonts w:hint="eastAsia"/>
          <w:b/>
          <w:bCs/>
        </w:rPr>
        <w:t>7.4.10.1.3 债券交易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823"/>
        <w:gridCol w:w="1997"/>
        <w:gridCol w:w="1117"/>
        <w:gridCol w:w="1997"/>
      </w:tblGrid>
      <w:tr>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51,018,396.45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7.4.10.1.4 债券回购交易</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1"/>
        <w:gridCol w:w="1065"/>
        <w:gridCol w:w="1875"/>
        <w:gridCol w:w="1119"/>
        <w:gridCol w:w="1875"/>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632,600,000.00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7.4.10.1.5 应支付关联方的佣金</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3110"/>
        <w:gridCol w:w="994"/>
        <w:gridCol w:w="1647"/>
        <w:gridCol w:w="1386"/>
        <w:gridCol w:w="1908"/>
      </w:tblGrid>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r>
              <w:rPr>
                <w:rFonts w:hint="eastAsia"/>
              </w:rPr>
              <w:br w:type="textWrapping"/>
            </w: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1425"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r>
              <w:rPr>
                <w:rFonts w:hint="eastAsia"/>
              </w:rPr>
              <w:br w:type="textWrapping"/>
            </w: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225,026.34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bl>
    <w:p>
      <w:pPr>
        <w:pStyle w:val="27"/>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22"/>
        <w:rPr>
          <w:rFonts w:hint="eastAsia"/>
        </w:rPr>
      </w:pPr>
      <w:r>
        <w:rPr>
          <w:rFonts w:hint="eastAsia"/>
          <w:b/>
          <w:bCs/>
        </w:rPr>
        <w:t>7.4.10.2 关联方报酬</w:t>
      </w:r>
    </w:p>
    <w:p>
      <w:pPr>
        <w:pStyle w:val="22"/>
        <w:rPr>
          <w:rFonts w:hint="eastAsia"/>
        </w:rPr>
      </w:pPr>
      <w:r>
        <w:rPr>
          <w:rFonts w:hint="eastAsia"/>
          <w:b/>
          <w:bCs/>
        </w:rPr>
        <w:t>7.4.10.2.1 基金管理费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9045" w:type="dxa"/>
        <w:tblInd w:w="108" w:type="dxa"/>
        <w:tblLayout w:type="autofit"/>
        <w:tblCellMar>
          <w:top w:w="0" w:type="dxa"/>
          <w:left w:w="108" w:type="dxa"/>
          <w:bottom w:w="0" w:type="dxa"/>
          <w:right w:w="108" w:type="dxa"/>
        </w:tblCellMar>
      </w:tblPr>
      <w:tblGrid>
        <w:gridCol w:w="3831"/>
        <w:gridCol w:w="3461"/>
        <w:gridCol w:w="1753"/>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21,356.11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1,491,607.66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1,019.51</w:t>
            </w:r>
          </w:p>
        </w:tc>
      </w:tr>
    </w:tbl>
    <w:p>
      <w:pPr>
        <w:pStyle w:val="27"/>
        <w:rPr>
          <w:rFonts w:hint="eastAsia"/>
        </w:rPr>
      </w:pPr>
      <w:r>
        <w:rPr>
          <w:rFonts w:hint="eastAsia"/>
        </w:rPr>
        <w:t>本基金的管理费按前一日基金资产净值的0.60%年费率计提。管理费的计算方法如下：</w:t>
      </w:r>
      <w:r>
        <w:rPr>
          <w:rFonts w:hint="eastAsia"/>
        </w:rPr>
        <w:br w:type="textWrapping"/>
      </w:r>
      <w:r>
        <w:rPr>
          <w:rFonts w:hint="eastAsia"/>
        </w:rPr>
        <w:t>H＝E×0.60%÷当年天数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7.4.10.2.2 基金托管费</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r>
        <w:rPr>
          <w:rFonts w:hint="eastAsia" w:ascii="宋体" w:hAnsi="宋体" w:cs="宋体"/>
          <w:kern w:val="0"/>
          <w:sz w:val="24"/>
          <w:szCs w:val="24"/>
        </w:rPr>
        <w:t xml:space="preserve"> </w:t>
      </w:r>
    </w:p>
    <w:tbl>
      <w:tblPr>
        <w:tblStyle w:val="14"/>
        <w:tblW w:w="9045" w:type="dxa"/>
        <w:jc w:val="right"/>
        <w:tblLayout w:type="autofit"/>
        <w:tblCellMar>
          <w:top w:w="0" w:type="dxa"/>
          <w:left w:w="108" w:type="dxa"/>
          <w:bottom w:w="0" w:type="dxa"/>
          <w:right w:w="108" w:type="dxa"/>
        </w:tblCellMar>
      </w:tblPr>
      <w:tblGrid>
        <w:gridCol w:w="3591"/>
        <w:gridCol w:w="3629"/>
        <w:gridCol w:w="1825"/>
      </w:tblGrid>
      <w:tr>
        <w:tblPrEx>
          <w:tblCellMar>
            <w:top w:w="0" w:type="dxa"/>
            <w:left w:w="108" w:type="dxa"/>
            <w:bottom w:w="0" w:type="dxa"/>
            <w:right w:w="108" w:type="dxa"/>
          </w:tblCellMar>
        </w:tblPrEx>
        <w:trPr>
          <w:wBefore w:w="0" w:type="auto"/>
          <w:jc w:val="right"/>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w:t>
            </w:r>
          </w:p>
          <w:p>
            <w:pPr>
              <w:pStyle w:val="25"/>
              <w:wordWrap w:val="0"/>
              <w:rPr>
                <w:rFonts w:hint="eastAsia"/>
              </w:rPr>
            </w:pPr>
            <w:r>
              <w:rPr>
                <w:rFonts w:hint="eastAsia" w:hAnsi="Calibri"/>
                <w:color w:val="000000"/>
              </w:rPr>
              <w:t>2018年01月01日至2018年10月30日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上年度可比期间</w:t>
            </w:r>
          </w:p>
          <w:p>
            <w:pPr>
              <w:pStyle w:val="25"/>
              <w:wordWrap w:val="0"/>
              <w:rPr>
                <w:rFonts w:hint="eastAsia"/>
              </w:rPr>
            </w:pPr>
            <w:r>
              <w:rPr>
                <w:rFonts w:hint="eastAsia" w:hAnsi="Calibri"/>
                <w:color w:val="000000"/>
              </w:rPr>
              <w:t>-至-</w:t>
            </w:r>
          </w:p>
        </w:tc>
      </w:tr>
      <w:tr>
        <w:tblPrEx>
          <w:tblCellMar>
            <w:top w:w="0" w:type="dxa"/>
            <w:left w:w="108" w:type="dxa"/>
            <w:bottom w:w="0" w:type="dxa"/>
            <w:right w:w="108" w:type="dxa"/>
          </w:tblCellMar>
        </w:tblPrEx>
        <w:trPr>
          <w:wBefore w:w="0" w:type="auto"/>
          <w:jc w:val="right"/>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7,118.70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497,202.54</w:t>
            </w:r>
          </w:p>
        </w:tc>
      </w:tr>
    </w:tbl>
    <w:p>
      <w:pPr>
        <w:pStyle w:val="27"/>
        <w:rPr>
          <w:rFonts w:hint="eastAsia"/>
        </w:rPr>
      </w:pPr>
      <w:r>
        <w:rPr>
          <w:rFonts w:hint="eastAsia"/>
        </w:rPr>
        <w:t>注：本基金的托管费按前一日基金资产净值的0.20%的年费率计提。托管费的计算方法如下：</w:t>
      </w:r>
      <w:r>
        <w:rPr>
          <w:rFonts w:hint="eastAsia"/>
        </w:rPr>
        <w:br w:type="textWrapping"/>
      </w:r>
      <w:r>
        <w:rPr>
          <w:rFonts w:hint="eastAsia"/>
        </w:rPr>
        <w:t>H＝E×0.20%÷当年天数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由基金管理人向基金托管人发送基金托管费划款指令，基金托管人复核后于次月前3个工作日内从基金财产中一次性支取。若遇法定节假日、公休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7.4.10.2.3 销售服务费</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2526"/>
        <w:gridCol w:w="6519"/>
      </w:tblGrid>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3.03</w:t>
            </w:r>
          </w:p>
        </w:tc>
      </w:tr>
      <w:tr>
        <w:tblPrEx>
          <w:tblCellMar>
            <w:top w:w="0" w:type="dxa"/>
            <w:left w:w="108" w:type="dxa"/>
            <w:bottom w:w="0" w:type="dxa"/>
            <w:right w:w="108" w:type="dxa"/>
          </w:tblCellMar>
        </w:tblPrEx>
        <w:trPr>
          <w:wBefore w:w="0" w:type="auto"/>
        </w:trPr>
        <w:tc>
          <w:tcPr>
            <w:tcW w:w="2526"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获得销售服务费的各关联方名称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3.65</w:t>
            </w:r>
          </w:p>
        </w:tc>
      </w:tr>
    </w:tbl>
    <w:p>
      <w:pPr>
        <w:pStyle w:val="27"/>
        <w:rPr>
          <w:rFonts w:hint="eastAsia"/>
        </w:rPr>
      </w:pPr>
      <w:r>
        <w:rPr>
          <w:rFonts w:hint="eastAsia"/>
        </w:rPr>
        <w:t>本基金A类基金份额不收取销售服务费，仅就C类基金份额所代表的基金资产收取销售服务费。本基金销售服务费按前一日C类基金份额基金资产净值的0.20%的年费率计提。销售服务费的计算方法如下：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销售服务费每日计提，逐日累计至每月月末，按月支付。由基金管理人在次月初3个工作日内出具资金划拨指令，基金托管人复核无误后于2个工作日内进行支付。若遇法定节假日、休息日等，支付日期顺延。</w:t>
      </w:r>
    </w:p>
    <w:p>
      <w:pPr>
        <w:widowControl/>
        <w:jc w:val="left"/>
        <w:rPr>
          <w:rFonts w:hint="eastAsia" w:ascii="宋体" w:hAnsi="宋体" w:cs="宋体"/>
          <w:kern w:val="0"/>
          <w:sz w:val="24"/>
          <w:szCs w:val="24"/>
        </w:rPr>
      </w:pPr>
    </w:p>
    <w:p>
      <w:pPr>
        <w:pStyle w:val="22"/>
        <w:rPr>
          <w:rFonts w:hint="eastAsia"/>
        </w:rPr>
      </w:pPr>
      <w:r>
        <w:rPr>
          <w:rFonts w:hint="eastAsia"/>
          <w:b/>
          <w:bCs/>
        </w:rPr>
        <w:t>7.4.10.3 与关联方进行银行间同业市场的债券(含回购)交易</w:t>
      </w:r>
    </w:p>
    <w:p>
      <w:pPr>
        <w:pStyle w:val="27"/>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22"/>
        <w:rPr>
          <w:rFonts w:hint="eastAsia"/>
        </w:rPr>
      </w:pPr>
      <w:r>
        <w:rPr>
          <w:rFonts w:hint="eastAsia"/>
          <w:b/>
          <w:bCs/>
        </w:rPr>
        <w:t>7.4.10.4 各关联方投资本基金的情况</w:t>
      </w:r>
    </w:p>
    <w:p>
      <w:pPr>
        <w:pStyle w:val="22"/>
        <w:rPr>
          <w:rFonts w:hint="eastAsia"/>
        </w:rPr>
      </w:pPr>
      <w:r>
        <w:rPr>
          <w:rFonts w:hint="eastAsia"/>
          <w:b/>
          <w:bCs/>
        </w:rPr>
        <w:t>7.4.10.4.1 报告期内基金管理人运用固有资金投资本基金的情况</w:t>
      </w:r>
    </w:p>
    <w:p>
      <w:pPr>
        <w:pStyle w:val="27"/>
        <w:rPr>
          <w:rFonts w:hint="eastAsia"/>
        </w:rPr>
      </w:pPr>
      <w:r>
        <w:rPr>
          <w:rFonts w:hint="eastAsia"/>
        </w:rPr>
        <w:t>本报告期及上年度可比期间内无基金管理人运用固有资金投资本基金的情况。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7.4.10.4.2 报告期末除基金管理人之外的其他关联方投资本基金的情况</w:t>
      </w:r>
    </w:p>
    <w:p>
      <w:pPr>
        <w:pStyle w:val="27"/>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22"/>
        <w:rPr>
          <w:rFonts w:hint="eastAsia"/>
        </w:rPr>
      </w:pPr>
      <w:r>
        <w:rPr>
          <w:rFonts w:hint="eastAsia"/>
          <w:b/>
          <w:bCs/>
        </w:rPr>
        <w:t>7.4.10.5 由关联方保管的银行存款余额及当期产生的利息收入</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1265"/>
        <w:gridCol w:w="1945"/>
        <w:gridCol w:w="1945"/>
        <w:gridCol w:w="1795"/>
        <w:gridCol w:w="2095"/>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关联方名称</w:t>
            </w:r>
          </w:p>
        </w:tc>
        <w:tc>
          <w:tcPr>
            <w:tcW w:w="3612"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w:t>
            </w:r>
          </w:p>
          <w:p>
            <w:pPr>
              <w:pStyle w:val="25"/>
              <w:wordWrap w:val="0"/>
              <w:rPr>
                <w:rFonts w:hint="eastAsia"/>
              </w:rPr>
            </w:pPr>
            <w:r>
              <w:rPr>
                <w:rFonts w:hint="eastAsia"/>
              </w:rPr>
              <w:t>2018年01月01日至2018年10月30日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上年度可比期间</w:t>
            </w:r>
          </w:p>
          <w:p>
            <w:pPr>
              <w:pStyle w:val="25"/>
              <w:wordWrap w:val="0"/>
              <w:rPr>
                <w:rFonts w:hint="eastAsia"/>
              </w:rPr>
            </w:pPr>
            <w:r>
              <w:rPr>
                <w:rFonts w:hint="eastAsia"/>
              </w:rPr>
              <w:t>-至-</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中国邮政储蓄银行股份有限公司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1,250,108.40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3,658.03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119,806.16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92,475.88</w:t>
            </w:r>
          </w:p>
        </w:tc>
      </w:tr>
    </w:tbl>
    <w:p>
      <w:pPr>
        <w:pStyle w:val="27"/>
        <w:rPr>
          <w:rFonts w:hint="eastAsia"/>
        </w:rPr>
      </w:pPr>
      <w:r>
        <w:rPr>
          <w:rFonts w:hint="eastAsia"/>
        </w:rPr>
        <w:t>注：本基金的银行存款由基金托管人中国邮政储蓄银行保管，按银行同业存款利率计息。</w:t>
      </w:r>
    </w:p>
    <w:p>
      <w:pPr>
        <w:widowControl/>
        <w:jc w:val="left"/>
        <w:rPr>
          <w:rFonts w:hint="eastAsia" w:ascii="宋体" w:hAnsi="宋体" w:cs="宋体"/>
          <w:kern w:val="0"/>
          <w:sz w:val="24"/>
          <w:szCs w:val="24"/>
        </w:rPr>
      </w:pPr>
    </w:p>
    <w:p>
      <w:pPr>
        <w:pStyle w:val="22"/>
        <w:rPr>
          <w:rFonts w:hint="eastAsia"/>
        </w:rPr>
      </w:pPr>
      <w:r>
        <w:rPr>
          <w:rFonts w:hint="eastAsia"/>
          <w:b/>
          <w:bCs/>
        </w:rPr>
        <w:t>7.4.10.6 本基金在承销期内参与关联方承销证券的情况</w:t>
      </w:r>
    </w:p>
    <w:p>
      <w:pPr>
        <w:pStyle w:val="27"/>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22"/>
        <w:rPr>
          <w:rFonts w:hint="eastAsia"/>
        </w:rPr>
      </w:pPr>
      <w:r>
        <w:rPr>
          <w:rFonts w:hint="eastAsia"/>
          <w:b/>
          <w:bCs/>
        </w:rPr>
        <w:t>7.4.10.7 其他关联交易事项的说明</w:t>
      </w:r>
    </w:p>
    <w:p>
      <w:pPr>
        <w:pStyle w:val="27"/>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22"/>
        <w:rPr>
          <w:rFonts w:hint="eastAsia"/>
        </w:rPr>
      </w:pPr>
      <w:r>
        <w:rPr>
          <w:rFonts w:hint="eastAsia"/>
          <w:b/>
          <w:bCs/>
        </w:rPr>
        <w:t>7.4.11 利润分配情况--非货币市场基金</w:t>
      </w:r>
    </w:p>
    <w:p>
      <w:pPr>
        <w:pStyle w:val="27"/>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22"/>
        <w:rPr>
          <w:rFonts w:hint="eastAsia"/>
        </w:rPr>
      </w:pPr>
      <w:r>
        <w:rPr>
          <w:rFonts w:hint="eastAsia"/>
          <w:b/>
          <w:bCs/>
        </w:rPr>
        <w:t>7.4.12 期末（2018年10月30日）本基金持有的流通受限证券</w:t>
      </w:r>
    </w:p>
    <w:p>
      <w:pPr>
        <w:pStyle w:val="22"/>
        <w:rPr>
          <w:rFonts w:hint="eastAsia"/>
        </w:rPr>
      </w:pPr>
      <w:r>
        <w:rPr>
          <w:rFonts w:hint="eastAsia"/>
          <w:b/>
          <w:bCs/>
        </w:rPr>
        <w:t>7.4.12.1 因认购新发/增发证券而于期末持有的流通受限证券</w:t>
      </w:r>
    </w:p>
    <w:p>
      <w:pPr>
        <w:pStyle w:val="27"/>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22"/>
        <w:rPr>
          <w:rFonts w:hint="eastAsia"/>
        </w:rPr>
      </w:pPr>
      <w:r>
        <w:rPr>
          <w:rFonts w:hint="eastAsia"/>
          <w:b/>
          <w:bCs/>
        </w:rPr>
        <w:t>7.4.12.2 期末持有的暂时停牌等流通受限股票</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600485</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信威集团</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2016-12-26</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6.21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66,201</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991,800.00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411,108.21</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2"/>
        <w:rPr>
          <w:rFonts w:hint="eastAsia"/>
        </w:rPr>
      </w:pPr>
      <w:r>
        <w:rPr>
          <w:rFonts w:hint="eastAsia"/>
          <w:b/>
          <w:bCs/>
        </w:rPr>
        <w:t>7.4.12.3 期末债券正回购交易中作为抵押的债券</w:t>
      </w:r>
    </w:p>
    <w:p>
      <w:pPr>
        <w:pStyle w:val="22"/>
        <w:rPr>
          <w:rFonts w:hint="eastAsia"/>
        </w:rPr>
      </w:pPr>
      <w:r>
        <w:rPr>
          <w:rFonts w:hint="eastAsia"/>
          <w:b/>
          <w:bCs/>
        </w:rPr>
        <w:t>7.4.12.3.1 银行间市场债券正回购</w:t>
      </w:r>
    </w:p>
    <w:p>
      <w:pPr>
        <w:pStyle w:val="27"/>
        <w:rPr>
          <w:rFonts w:hint="eastAsia"/>
        </w:rPr>
      </w:pPr>
      <w:r>
        <w:rPr>
          <w:rFonts w:hint="eastAsia"/>
        </w:rPr>
        <w:t>截至本报告期末2018年10月30日止，本基金从事银行间市场债券正回购交易形成的卖出回购证券款余额为0，无抵押债券。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7.4.12.3.2 交易所市场债券正回购</w:t>
      </w:r>
    </w:p>
    <w:p>
      <w:pPr>
        <w:pStyle w:val="27"/>
        <w:spacing w:before="0"/>
        <w:ind w:left="0" w:firstLine="480"/>
        <w:rPr>
          <w:rFonts w:hint="eastAsia"/>
        </w:rPr>
      </w:pPr>
      <w:r>
        <w:rPr>
          <w:rFonts w:hint="eastAsia"/>
        </w:rPr>
        <w:t>截至本报告期末2018年10月30日止，本基金从事交易所债券正回购交易形成的卖出回购证券款余额为0，无抵押债券。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22"/>
        <w:rPr>
          <w:rFonts w:hint="eastAsia"/>
        </w:rPr>
      </w:pPr>
      <w:r>
        <w:rPr>
          <w:rFonts w:hint="eastAsia"/>
          <w:b/>
          <w:bCs/>
        </w:rPr>
        <w:t>7.4.13 金融工具风险及管理</w:t>
      </w:r>
    </w:p>
    <w:p>
      <w:pPr>
        <w:pStyle w:val="22"/>
        <w:rPr>
          <w:rFonts w:hint="eastAsia"/>
        </w:rPr>
      </w:pPr>
      <w:r>
        <w:rPr>
          <w:rFonts w:hint="eastAsia"/>
          <w:b/>
          <w:bCs/>
        </w:rPr>
        <w:t>7.4.13.1 风险管理政策和组织架构</w:t>
      </w:r>
    </w:p>
    <w:p>
      <w:pPr>
        <w:pStyle w:val="27"/>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7"/>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22"/>
        <w:rPr>
          <w:rFonts w:hint="eastAsia"/>
        </w:rPr>
      </w:pPr>
      <w:r>
        <w:rPr>
          <w:rFonts w:hint="eastAsia"/>
          <w:b/>
          <w:bCs/>
        </w:rPr>
        <w:t>7.4.13.2 信用风险</w:t>
      </w:r>
    </w:p>
    <w:p>
      <w:pPr>
        <w:pStyle w:val="27"/>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7"/>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邮储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7"/>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7"/>
        <w:spacing w:before="0"/>
        <w:ind w:left="0" w:firstLine="480"/>
        <w:rPr>
          <w:rFonts w:hint="eastAsia"/>
        </w:rPr>
      </w:pPr>
      <w:r>
        <w:rPr>
          <w:rFonts w:hint="eastAsia"/>
        </w:rPr>
        <w:t>本基金债券投资的信用评级情况按《中国人民银行信用评级管理指导意见》设定的标准统计及汇总。</w:t>
      </w:r>
    </w:p>
    <w:p>
      <w:pPr>
        <w:pStyle w:val="22"/>
        <w:rPr>
          <w:rFonts w:hint="eastAsia"/>
        </w:rPr>
      </w:pPr>
      <w:r>
        <w:rPr>
          <w:rFonts w:hint="eastAsia"/>
          <w:b/>
          <w:bCs/>
        </w:rPr>
        <w:t>7.4.13.2.1 按短期信用评级列示的债券投资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53"/>
        <w:gridCol w:w="2893"/>
        <w:gridCol w:w="2899"/>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短期信用评级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895"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A-1以下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249,650.00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249,650.00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7.4.13.2.2 按长期信用评级列示的债券投资</w:t>
      </w:r>
    </w:p>
    <w:p>
      <w:pPr>
        <w:pStyle w:val="26"/>
        <w:rPr>
          <w:rFonts w:hint="eastAsia"/>
        </w:rPr>
      </w:pPr>
      <w:r>
        <w:rPr>
          <w:rFonts w:hint="eastAsia" w:hAnsi="Calibri"/>
          <w:color w:val="000000"/>
        </w:rPr>
        <w:t>单位：人民币元</w:t>
      </w:r>
    </w:p>
    <w:tbl>
      <w:tblPr>
        <w:tblStyle w:val="14"/>
        <w:tblW w:w="9045" w:type="dxa"/>
        <w:tblInd w:w="108" w:type="dxa"/>
        <w:tblLayout w:type="autofit"/>
        <w:tblCellMar>
          <w:top w:w="0" w:type="dxa"/>
          <w:left w:w="108" w:type="dxa"/>
          <w:bottom w:w="0" w:type="dxa"/>
          <w:right w:w="108" w:type="dxa"/>
        </w:tblCellMar>
      </w:tblPr>
      <w:tblGrid>
        <w:gridCol w:w="3249"/>
        <w:gridCol w:w="2889"/>
        <w:gridCol w:w="2907"/>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2,632,240.00</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2,632,240.00</w:t>
            </w:r>
          </w:p>
        </w:tc>
      </w:tr>
    </w:tbl>
    <w:p>
      <w:pPr>
        <w:widowControl/>
        <w:jc w:val="left"/>
        <w:rPr>
          <w:rFonts w:hint="eastAsia" w:ascii="宋体" w:hAnsi="宋体" w:cs="宋体"/>
          <w:kern w:val="0"/>
          <w:sz w:val="24"/>
          <w:szCs w:val="24"/>
        </w:rPr>
      </w:pPr>
    </w:p>
    <w:p>
      <w:pPr>
        <w:pStyle w:val="22"/>
        <w:rPr>
          <w:rFonts w:hint="eastAsia"/>
        </w:rPr>
      </w:pPr>
      <w:r>
        <w:rPr>
          <w:rFonts w:hint="eastAsia"/>
          <w:b/>
          <w:bCs/>
        </w:rPr>
        <w:t>7.4.13.3 流动性风险</w:t>
      </w:r>
    </w:p>
    <w:p>
      <w:pPr>
        <w:pStyle w:val="27"/>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7"/>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7"/>
        <w:spacing w:before="0"/>
        <w:ind w:left="0" w:firstLine="480"/>
        <w:rPr>
          <w:rFonts w:hint="eastAsia"/>
        </w:rPr>
      </w:pPr>
      <w:r>
        <w:rPr>
          <w:rFonts w:hint="eastAsia"/>
        </w:rPr>
        <w:t>于2018年10月30日，本基金所承担的全部金融负债的合约约定到期日均为一个月以内且不计息，可赎回基金份额净值(所有者权益)无固定到期日且不计息，因此账面余额约为未折现的合约到期现金流量。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22"/>
        <w:rPr>
          <w:rFonts w:hint="eastAsia"/>
        </w:rPr>
      </w:pPr>
      <w:r>
        <w:rPr>
          <w:rFonts w:hint="eastAsia"/>
          <w:b/>
          <w:bCs/>
        </w:rPr>
        <w:t>7.4.13.3.1 报告期内本基金组合资产的流动性风险分析</w:t>
      </w:r>
    </w:p>
    <w:p>
      <w:pPr>
        <w:pStyle w:val="27"/>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7"/>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7"/>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10月30日，本基金持有的流动性受限资产的估值占基金资产净值的比例为9.44%。</w:t>
      </w:r>
    </w:p>
    <w:p>
      <w:pPr>
        <w:pStyle w:val="27"/>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10月30日，本基金组合资产中7个工作日可变现资产的账面价值为 3,991,964.40元，超过经确认的当日净赎回金额。</w:t>
      </w:r>
    </w:p>
    <w:p>
      <w:pPr>
        <w:pStyle w:val="27"/>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7"/>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22"/>
        <w:rPr>
          <w:rFonts w:hint="eastAsia"/>
        </w:rPr>
      </w:pPr>
      <w:r>
        <w:rPr>
          <w:rFonts w:hint="eastAsia"/>
          <w:b/>
          <w:bCs/>
        </w:rPr>
        <w:t>7.4.13.4 市场风险</w:t>
      </w:r>
    </w:p>
    <w:p>
      <w:pPr>
        <w:pStyle w:val="27"/>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widowControl/>
        <w:jc w:val="left"/>
        <w:rPr>
          <w:rFonts w:hint="eastAsia" w:ascii="宋体" w:hAnsi="宋体" w:cs="宋体"/>
          <w:kern w:val="0"/>
          <w:sz w:val="24"/>
          <w:szCs w:val="24"/>
        </w:rPr>
      </w:pPr>
    </w:p>
    <w:p>
      <w:pPr>
        <w:pStyle w:val="22"/>
        <w:rPr>
          <w:rFonts w:hint="eastAsia"/>
        </w:rPr>
      </w:pPr>
      <w:r>
        <w:rPr>
          <w:rFonts w:hint="eastAsia"/>
          <w:b/>
          <w:bCs/>
        </w:rPr>
        <w:t>7.4.13.4.1 利率风险</w:t>
      </w:r>
    </w:p>
    <w:p>
      <w:pPr>
        <w:pStyle w:val="27"/>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7"/>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7"/>
        <w:spacing w:before="0"/>
        <w:ind w:left="0" w:firstLine="480"/>
        <w:rPr>
          <w:rFonts w:hint="eastAsia"/>
        </w:rPr>
      </w:pPr>
      <w:r>
        <w:rPr>
          <w:rFonts w:hint="eastAsia"/>
        </w:rPr>
        <w:t>本基金投资于交易所及银行间市场交易的固定收益品种比重较大，此外还持有银行存款、结算备付金、存出保证金及买入返售金融资产等利率敏感性资产，因此存在相应的利率风险。</w:t>
      </w:r>
    </w:p>
    <w:p>
      <w:pPr>
        <w:pStyle w:val="22"/>
        <w:rPr>
          <w:rFonts w:hint="eastAsia"/>
        </w:rPr>
      </w:pPr>
      <w:r>
        <w:rPr>
          <w:rFonts w:hint="eastAsia"/>
          <w:b/>
          <w:bCs/>
        </w:rPr>
        <w:t>7.4.13.4.1.1 利率风险敞口</w:t>
      </w:r>
    </w:p>
    <w:p>
      <w:pPr>
        <w:pStyle w:val="26"/>
        <w:rPr>
          <w:rFonts w:hint="eastAsia"/>
        </w:rPr>
      </w:pPr>
      <w:r>
        <w:rPr>
          <w:rFonts w:hint="eastAsia" w:hAnsi="Calibri"/>
          <w:color w:val="000000"/>
        </w:rPr>
        <w:t>单位：人民币元</w:t>
      </w:r>
    </w:p>
    <w:tbl>
      <w:tblPr>
        <w:tblStyle w:val="14"/>
        <w:tblW w:w="10200" w:type="dxa"/>
        <w:tblInd w:w="108" w:type="dxa"/>
        <w:tblLayout w:type="autofit"/>
        <w:tblCellMar>
          <w:top w:w="0" w:type="dxa"/>
          <w:left w:w="108" w:type="dxa"/>
          <w:bottom w:w="0" w:type="dxa"/>
          <w:right w:w="108" w:type="dxa"/>
        </w:tblCellMar>
      </w:tblPr>
      <w:tblGrid>
        <w:gridCol w:w="1019"/>
        <w:gridCol w:w="1909"/>
        <w:gridCol w:w="1910"/>
        <w:gridCol w:w="1542"/>
        <w:gridCol w:w="1910"/>
        <w:gridCol w:w="1910"/>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本期末2018年10月30日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1,250,108.40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1,250,108.40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4,210.53</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4,210.53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2,616,640.00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411,108.21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3,027,748.21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126,006.63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126,006.63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3,870,958.93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537,114.84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4,408,073.77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2,127.91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2,127.91</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709.30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709.30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22.43</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49,535.27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49,535.27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52,394.91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52,394.91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3,870,958.93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484,719.93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4,355,678.86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上年度末-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119,806.16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119,806.16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26,818.18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26,818.18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417.77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417.77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249,650.00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2,632,240.00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3,795,600.00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买入返售金融资产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500,000.00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500,000.00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1,095.89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1,095.89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156,992.70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156,992.70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896,692.11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1,071,798.59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4,600,730.70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887.57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2,306.68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768.89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768.89</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12.16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75,576.23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75,576.23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79,551.53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79,551.53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sz w:val="21"/>
                <w:szCs w:val="21"/>
              </w:rPr>
            </w:pPr>
            <w:r>
              <w:rPr>
                <w:rFonts w:hint="eastAsia" w:hAnsi="Calibri"/>
                <w:color w:val="000000"/>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896,692.11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2,632,240.00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992,247.06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sz w:val="21"/>
                <w:szCs w:val="21"/>
              </w:rPr>
            </w:pPr>
            <w:r>
              <w:rPr>
                <w:rFonts w:hint="eastAsia"/>
                <w:sz w:val="21"/>
                <w:szCs w:val="21"/>
              </w:rPr>
              <w:t>4,521,179.17</w:t>
            </w:r>
          </w:p>
        </w:tc>
      </w:tr>
    </w:tbl>
    <w:p>
      <w:pPr>
        <w:pStyle w:val="27"/>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22"/>
        <w:rPr>
          <w:rFonts w:hint="eastAsia"/>
        </w:rPr>
      </w:pPr>
      <w:r>
        <w:rPr>
          <w:rFonts w:hint="eastAsia"/>
          <w:b/>
          <w:bCs/>
        </w:rPr>
        <w:t>7.4.13.4.1.2 利率风险的敏感性分析</w:t>
      </w:r>
    </w:p>
    <w:tbl>
      <w:tblPr>
        <w:tblStyle w:val="14"/>
        <w:tblW w:w="9120" w:type="dxa"/>
        <w:tblInd w:w="108" w:type="dxa"/>
        <w:tblLayout w:type="autofit"/>
        <w:tblCellMar>
          <w:top w:w="0" w:type="dxa"/>
          <w:left w:w="108" w:type="dxa"/>
          <w:bottom w:w="0" w:type="dxa"/>
          <w:right w:w="108" w:type="dxa"/>
        </w:tblCellMar>
      </w:tblPr>
      <w:tblGrid>
        <w:gridCol w:w="1082"/>
        <w:gridCol w:w="2889"/>
        <w:gridCol w:w="3054"/>
        <w:gridCol w:w="2095"/>
      </w:tblGrid>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288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市场利率上升25个基点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-1,194.50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-6,439.50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市场利率下降25个基点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1,197.96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6,470.42</w:t>
            </w:r>
          </w:p>
        </w:tc>
      </w:tr>
    </w:tbl>
    <w:p>
      <w:pPr>
        <w:widowControl/>
        <w:jc w:val="left"/>
        <w:rPr>
          <w:rFonts w:hint="eastAsia" w:ascii="宋体" w:hAnsi="宋体" w:cs="宋体"/>
          <w:kern w:val="0"/>
          <w:sz w:val="24"/>
          <w:szCs w:val="24"/>
        </w:rPr>
      </w:pPr>
    </w:p>
    <w:p>
      <w:pPr>
        <w:pStyle w:val="22"/>
        <w:rPr>
          <w:rFonts w:hint="eastAsia"/>
        </w:rPr>
      </w:pPr>
      <w:r>
        <w:rPr>
          <w:rFonts w:hint="eastAsia"/>
          <w:b/>
          <w:bCs/>
        </w:rPr>
        <w:t>7.4.13.4.2 外汇风险</w:t>
      </w:r>
    </w:p>
    <w:p>
      <w:pPr>
        <w:pStyle w:val="27"/>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22"/>
        <w:rPr>
          <w:rFonts w:hint="eastAsia"/>
        </w:rPr>
      </w:pPr>
      <w:r>
        <w:rPr>
          <w:rFonts w:hint="eastAsia"/>
          <w:b/>
          <w:bCs/>
        </w:rPr>
        <w:t>7.4.13.4.3 其他价格风险</w:t>
      </w:r>
    </w:p>
    <w:p>
      <w:pPr>
        <w:pStyle w:val="27"/>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7"/>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22"/>
        <w:rPr>
          <w:rFonts w:hint="eastAsia"/>
        </w:rPr>
      </w:pPr>
      <w:r>
        <w:rPr>
          <w:rFonts w:hint="eastAsia"/>
          <w:b/>
          <w:bCs/>
        </w:rPr>
        <w:t>7.4.13.4.3.1 其他价格风险敞口</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本期末</w:t>
            </w:r>
          </w:p>
          <w:p>
            <w:pPr>
              <w:pStyle w:val="25"/>
              <w:wordWrap w:val="0"/>
              <w:rPr>
                <w:rFonts w:hint="eastAsia"/>
              </w:rPr>
            </w:pPr>
            <w:r>
              <w:rPr>
                <w:rFonts w:hint="eastAsia"/>
              </w:rPr>
              <w:t>2018年10月30日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上年度末</w:t>
            </w:r>
          </w:p>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411,108.21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20.21</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411,108.21</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913,710.00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20.21</w:t>
            </w:r>
          </w:p>
        </w:tc>
      </w:tr>
    </w:tbl>
    <w:p>
      <w:pPr>
        <w:widowControl/>
        <w:jc w:val="left"/>
        <w:rPr>
          <w:rFonts w:hint="eastAsia" w:ascii="宋体" w:hAnsi="宋体" w:cs="宋体"/>
          <w:kern w:val="0"/>
          <w:sz w:val="24"/>
          <w:szCs w:val="24"/>
        </w:rPr>
      </w:pPr>
    </w:p>
    <w:p>
      <w:pPr>
        <w:pStyle w:val="22"/>
        <w:rPr>
          <w:rFonts w:hint="eastAsia"/>
        </w:rPr>
      </w:pPr>
      <w:r>
        <w:rPr>
          <w:rFonts w:hint="eastAsia"/>
          <w:b/>
          <w:bCs/>
        </w:rPr>
        <w:t>7.4.13.4.3.2 其他价格风险的敏感性分析</w:t>
      </w:r>
    </w:p>
    <w:tbl>
      <w:tblPr>
        <w:tblStyle w:val="14"/>
        <w:tblW w:w="0" w:type="auto"/>
        <w:tblInd w:w="108" w:type="dxa"/>
        <w:tblLayout w:type="autofit"/>
        <w:tblCellMar>
          <w:top w:w="0" w:type="dxa"/>
          <w:left w:w="108" w:type="dxa"/>
          <w:bottom w:w="0" w:type="dxa"/>
          <w:right w:w="108" w:type="dxa"/>
        </w:tblCellMar>
      </w:tblPr>
      <w:tblGrid>
        <w:gridCol w:w="1082"/>
        <w:gridCol w:w="2759"/>
        <w:gridCol w:w="3064"/>
        <w:gridCol w:w="2293"/>
      </w:tblGrid>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本期末</w:t>
            </w:r>
          </w:p>
          <w:p>
            <w:pPr>
              <w:pStyle w:val="25"/>
              <w:wordWrap w:val="0"/>
              <w:rPr>
                <w:rFonts w:hint="eastAsia"/>
              </w:rPr>
            </w:pPr>
            <w:r>
              <w:rPr>
                <w:rFonts w:hint="eastAsia" w:hAnsi="Calibri"/>
                <w:color w:val="000000"/>
              </w:rPr>
              <w:t>2018年10月30日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上年度末</w:t>
            </w:r>
          </w:p>
          <w:p>
            <w:pPr>
              <w:pStyle w:val="25"/>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20,555.41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45,685.50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-20,555.41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-45,685.50</w:t>
            </w:r>
          </w:p>
        </w:tc>
      </w:tr>
    </w:tbl>
    <w:p>
      <w:pPr>
        <w:widowControl/>
        <w:jc w:val="left"/>
        <w:rPr>
          <w:rFonts w:hint="eastAsia" w:ascii="宋体" w:hAnsi="宋体" w:cs="宋体"/>
          <w:kern w:val="0"/>
          <w:sz w:val="24"/>
          <w:szCs w:val="24"/>
        </w:rPr>
      </w:pPr>
    </w:p>
    <w:p>
      <w:pPr>
        <w:pStyle w:val="22"/>
        <w:rPr>
          <w:rFonts w:hint="eastAsia"/>
        </w:rPr>
      </w:pPr>
      <w:r>
        <w:rPr>
          <w:rFonts w:hint="eastAsia"/>
          <w:b/>
          <w:bCs/>
        </w:rPr>
        <w:t>7.4.14 有助于理解和分析会计报表需要说明的其他事项</w:t>
      </w:r>
    </w:p>
    <w:p>
      <w:pPr>
        <w:pStyle w:val="27"/>
        <w:spacing w:before="0"/>
        <w:ind w:left="0" w:firstLine="480"/>
        <w:rPr>
          <w:rFonts w:hint="eastAsia"/>
        </w:rPr>
      </w:pPr>
      <w:r>
        <w:rPr>
          <w:rFonts w:hint="eastAsia"/>
        </w:rPr>
        <w:t>（1)公允价值</w:t>
      </w:r>
    </w:p>
    <w:p>
      <w:pPr>
        <w:pStyle w:val="27"/>
        <w:spacing w:before="0"/>
        <w:ind w:left="0" w:firstLine="480"/>
        <w:rPr>
          <w:rFonts w:hint="eastAsia"/>
        </w:rPr>
      </w:pPr>
      <w:r>
        <w:rPr>
          <w:rFonts w:hint="eastAsia"/>
        </w:rPr>
        <w:t>(a)金融工具公允价值计量的方法</w:t>
      </w:r>
    </w:p>
    <w:p>
      <w:pPr>
        <w:pStyle w:val="27"/>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7"/>
        <w:spacing w:before="0"/>
        <w:ind w:left="0" w:firstLine="480"/>
        <w:rPr>
          <w:rFonts w:hint="eastAsia"/>
        </w:rPr>
      </w:pPr>
      <w:r>
        <w:rPr>
          <w:rFonts w:hint="eastAsia"/>
        </w:rPr>
        <w:t>第一层次：相同资产或负债在活跃市场上未经调整的报价。</w:t>
      </w:r>
    </w:p>
    <w:p>
      <w:pPr>
        <w:pStyle w:val="27"/>
        <w:spacing w:before="0"/>
        <w:ind w:left="0" w:firstLine="480"/>
        <w:rPr>
          <w:rFonts w:hint="eastAsia"/>
        </w:rPr>
      </w:pPr>
      <w:r>
        <w:rPr>
          <w:rFonts w:hint="eastAsia"/>
        </w:rPr>
        <w:t>第二层次：除第一层次输入值外相关资产或负债直接或间接可观察的输入值。</w:t>
      </w:r>
    </w:p>
    <w:p>
      <w:pPr>
        <w:pStyle w:val="27"/>
        <w:spacing w:before="0"/>
        <w:ind w:left="0" w:firstLine="480"/>
        <w:rPr>
          <w:rFonts w:hint="eastAsia"/>
        </w:rPr>
      </w:pPr>
      <w:r>
        <w:rPr>
          <w:rFonts w:hint="eastAsia"/>
        </w:rPr>
        <w:t>第三层次：相关资产或负债的不可观察输入值。</w:t>
      </w:r>
    </w:p>
    <w:p>
      <w:pPr>
        <w:pStyle w:val="27"/>
        <w:spacing w:before="0"/>
        <w:ind w:left="0" w:firstLine="480"/>
        <w:rPr>
          <w:rFonts w:hint="eastAsia"/>
        </w:rPr>
      </w:pPr>
      <w:r>
        <w:rPr>
          <w:rFonts w:hint="eastAsia"/>
        </w:rPr>
        <w:t>(b)持续的以公允价值计量的金融工具</w:t>
      </w:r>
    </w:p>
    <w:p>
      <w:pPr>
        <w:pStyle w:val="27"/>
        <w:spacing w:before="0"/>
        <w:ind w:left="0" w:firstLine="480"/>
        <w:rPr>
          <w:rFonts w:hint="eastAsia"/>
        </w:rPr>
      </w:pPr>
      <w:r>
        <w:rPr>
          <w:rFonts w:hint="eastAsia"/>
        </w:rPr>
        <w:t>(i)各层次金融工具公允价值</w:t>
      </w:r>
    </w:p>
    <w:p>
      <w:pPr>
        <w:pStyle w:val="27"/>
        <w:spacing w:before="0"/>
        <w:ind w:left="0" w:firstLine="480"/>
        <w:rPr>
          <w:rFonts w:hint="eastAsia"/>
        </w:rPr>
      </w:pPr>
      <w:r>
        <w:rPr>
          <w:rFonts w:hint="eastAsia"/>
        </w:rPr>
        <w:t>于2018年10月30日(基金合同失效前日)，本基金持有的以公允价值计量且其变动计入当期损益的金融资产中属于第二层次的余额为2,616,640.00元，属于第三层次的余额为411,108.21元，无属于第一层次的余额(2017年12月31日：第二层次3,795,600.00元，无第一或第三层次)。</w:t>
      </w:r>
    </w:p>
    <w:p>
      <w:pPr>
        <w:pStyle w:val="27"/>
        <w:spacing w:before="0"/>
        <w:ind w:left="0" w:firstLine="480"/>
        <w:rPr>
          <w:rFonts w:hint="eastAsia"/>
        </w:rPr>
      </w:pPr>
      <w:r>
        <w:rPr>
          <w:rFonts w:hint="eastAsia"/>
        </w:rPr>
        <w:t>(ii)公允价值所属层次间的重大变动</w:t>
      </w:r>
    </w:p>
    <w:p>
      <w:pPr>
        <w:pStyle w:val="27"/>
        <w:spacing w:before="0"/>
        <w:ind w:left="0" w:firstLine="480"/>
        <w:rPr>
          <w:rFonts w:hint="eastAsia"/>
        </w:rPr>
      </w:pPr>
      <w:r>
        <w:rPr>
          <w:rFonts w:hint="eastAsia"/>
        </w:rPr>
        <w:t>本基金以导致各层次之间转换的事项发生日为确认各层次之间转换的时点。</w:t>
      </w:r>
    </w:p>
    <w:p>
      <w:pPr>
        <w:pStyle w:val="27"/>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7"/>
        <w:spacing w:before="0"/>
        <w:ind w:left="0" w:firstLine="480"/>
        <w:rPr>
          <w:rFonts w:hint="eastAsia"/>
        </w:rPr>
      </w:pPr>
      <w:r>
        <w:rPr>
          <w:rFonts w:hint="eastAsia"/>
        </w:rPr>
        <w:t>(iii)第三层次公允价值余额和本期变动金额</w:t>
      </w:r>
    </w:p>
    <w:p>
      <w:pPr>
        <w:pStyle w:val="27"/>
        <w:spacing w:before="0"/>
        <w:ind w:left="0" w:firstLine="480"/>
        <w:rPr>
          <w:rFonts w:hint="eastAsia"/>
        </w:rPr>
      </w:pPr>
      <w:r>
        <w:rPr>
          <w:rFonts w:hint="eastAsia"/>
        </w:rPr>
        <w:t>无。</w:t>
      </w:r>
    </w:p>
    <w:p>
      <w:pPr>
        <w:pStyle w:val="27"/>
        <w:spacing w:before="0"/>
        <w:ind w:left="0" w:firstLine="480"/>
        <w:rPr>
          <w:rFonts w:hint="eastAsia"/>
        </w:rPr>
      </w:pPr>
      <w:r>
        <w:rPr>
          <w:rFonts w:hint="eastAsia"/>
        </w:rPr>
        <w:t>(c)非持续的以公允价值计量的金融工具</w:t>
      </w:r>
    </w:p>
    <w:p>
      <w:pPr>
        <w:pStyle w:val="27"/>
        <w:spacing w:before="0"/>
        <w:ind w:left="0" w:firstLine="480"/>
        <w:rPr>
          <w:rFonts w:hint="eastAsia"/>
        </w:rPr>
      </w:pPr>
      <w:r>
        <w:rPr>
          <w:rFonts w:hint="eastAsia"/>
        </w:rPr>
        <w:t>于2018年12月31日，本基金未持有非持续的以公允价值计量的金融资产。</w:t>
      </w:r>
    </w:p>
    <w:p>
      <w:pPr>
        <w:pStyle w:val="27"/>
        <w:spacing w:before="0"/>
        <w:ind w:left="0" w:firstLine="480"/>
        <w:rPr>
          <w:rFonts w:hint="eastAsia"/>
        </w:rPr>
      </w:pPr>
      <w:r>
        <w:rPr>
          <w:rFonts w:hint="eastAsia"/>
        </w:rPr>
        <w:t>(d)不以公允价值计量的金融工具</w:t>
      </w:r>
    </w:p>
    <w:p>
      <w:pPr>
        <w:pStyle w:val="27"/>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7"/>
        <w:spacing w:before="0"/>
        <w:ind w:left="0" w:firstLine="480"/>
        <w:rPr>
          <w:rFonts w:hint="eastAsia"/>
        </w:rPr>
      </w:pPr>
      <w:r>
        <w:rPr>
          <w:rFonts w:hint="eastAsia"/>
        </w:rPr>
        <w:t>(2)其他</w:t>
      </w:r>
    </w:p>
    <w:p>
      <w:pPr>
        <w:pStyle w:val="27"/>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20"/>
        <w:rPr>
          <w:rFonts w:hint="eastAsia"/>
        </w:rPr>
      </w:pPr>
      <w:bookmarkStart w:id="50" w:name="_Toc4612785"/>
      <w:r>
        <w:rPr>
          <w:rFonts w:hint="eastAsia" w:hAnsi="Calibri"/>
          <w:b/>
          <w:color w:val="000000"/>
        </w:rPr>
        <w:t>§8 投资组合报告(转型后)</w:t>
      </w:r>
      <w:bookmarkEnd w:id="50"/>
    </w:p>
    <w:p>
      <w:pPr>
        <w:widowControl/>
        <w:jc w:val="left"/>
        <w:rPr>
          <w:rFonts w:hint="eastAsia" w:ascii="宋体" w:hAnsi="宋体" w:cs="宋体"/>
          <w:kern w:val="0"/>
          <w:sz w:val="24"/>
          <w:szCs w:val="24"/>
        </w:rPr>
      </w:pPr>
    </w:p>
    <w:p>
      <w:pPr>
        <w:pStyle w:val="21"/>
        <w:rPr>
          <w:rFonts w:hint="eastAsia"/>
        </w:rPr>
      </w:pPr>
      <w:bookmarkStart w:id="51" w:name="_Toc4612786"/>
      <w:r>
        <w:rPr>
          <w:rFonts w:hint="eastAsia"/>
          <w:b/>
          <w:bCs/>
        </w:rPr>
        <w:t>8.1 期末基金资产组合情况</w:t>
      </w:r>
      <w:bookmarkEnd w:id="51"/>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51.38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3,211,559.23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41.48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451,764.05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5.84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7,741,905.35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52" w:name="_Toc4612787"/>
      <w:r>
        <w:rPr>
          <w:rFonts w:hint="eastAsia"/>
          <w:b/>
          <w:bCs/>
        </w:rPr>
        <w:t>8.2 报告期末按行业分类的股票投资组合</w:t>
      </w:r>
      <w:bookmarkEnd w:id="52"/>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3,148,086.07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72.94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496,856.00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11.51</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333,200.00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7.72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3,978,142.07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92.17</w:t>
            </w:r>
          </w:p>
        </w:tc>
      </w:tr>
    </w:tbl>
    <w:p>
      <w:pPr>
        <w:widowControl/>
        <w:jc w:val="left"/>
        <w:rPr>
          <w:rFonts w:hint="eastAsia" w:ascii="宋体" w:hAnsi="宋体" w:cs="宋体"/>
          <w:kern w:val="0"/>
          <w:sz w:val="24"/>
          <w:szCs w:val="24"/>
        </w:rPr>
      </w:pPr>
    </w:p>
    <w:p>
      <w:pPr>
        <w:pStyle w:val="21"/>
        <w:rPr>
          <w:rFonts w:hint="eastAsia"/>
        </w:rPr>
      </w:pPr>
      <w:bookmarkStart w:id="53" w:name="_Toc4612788"/>
      <w:r>
        <w:rPr>
          <w:rFonts w:hint="eastAsia"/>
          <w:b/>
          <w:bCs/>
        </w:rPr>
        <w:t>8.3 期末按公允价值占基金资产净值比例大小排序的所有股票投资明细</w:t>
      </w:r>
      <w:bookmarkEnd w:id="53"/>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山东药玻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393,300.00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长春高新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凯莱英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366,390.00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8.49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开立医疗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358,150.00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鱼跃医疗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351,019.00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昭衍新药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333,200.00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迈瑞医疗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327,660.00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13,940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287,861.00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285,360.00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271,050.00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225,806.00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203,237.07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安科生物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165,664.00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安图生物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0.57</w:t>
            </w:r>
          </w:p>
        </w:tc>
      </w:tr>
    </w:tbl>
    <w:p>
      <w:pPr>
        <w:widowControl/>
        <w:jc w:val="left"/>
        <w:rPr>
          <w:rFonts w:hint="eastAsia" w:ascii="宋体" w:hAnsi="宋体" w:cs="宋体"/>
          <w:kern w:val="0"/>
          <w:sz w:val="24"/>
          <w:szCs w:val="24"/>
        </w:rPr>
      </w:pPr>
    </w:p>
    <w:p>
      <w:pPr>
        <w:pStyle w:val="21"/>
        <w:rPr>
          <w:rFonts w:hint="eastAsia"/>
        </w:rPr>
      </w:pPr>
      <w:bookmarkStart w:id="54" w:name="_Toc4612789"/>
      <w:r>
        <w:rPr>
          <w:rFonts w:hint="eastAsia"/>
          <w:b/>
          <w:bCs/>
        </w:rPr>
        <w:t>8.4 报告期内股票投资组合的重大变动</w:t>
      </w:r>
      <w:bookmarkEnd w:id="54"/>
    </w:p>
    <w:p>
      <w:pPr>
        <w:pStyle w:val="22"/>
        <w:rPr>
          <w:rFonts w:hint="eastAsia"/>
        </w:rPr>
      </w:pPr>
      <w:r>
        <w:rPr>
          <w:rFonts w:hint="eastAsia"/>
          <w:b/>
          <w:bCs/>
        </w:rPr>
        <w:t>8.4.1 累计买入金额超出期末基金资产净值2%或前20名的股票明细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1,543,557.00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昭衍新药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1,483,729.80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34.38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益丰药房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1,251,128.00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山东药玻</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1,239,744.00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迈瑞医疗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1,185,358.00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1,129,659.20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1,104,078.00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25.58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1,034,561.00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乐普医疗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1,011,865.00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929,599.00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开立医疗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923,679.00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华兰生物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854,339.00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662,747.00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600,643.00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569,811.58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博雅生物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503,465.20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414,461.00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普利制药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287,114.00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安图生物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240,235.00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189,564.64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药明康德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176,947.00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贝达药业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154,659.00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泰格医药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老百姓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103,829.00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2.41</w:t>
            </w:r>
          </w:p>
        </w:tc>
      </w:tr>
    </w:tbl>
    <w:p>
      <w:pPr>
        <w:pStyle w:val="27"/>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累计卖出金额超出期末基金资产净值2%或前20名的股票明细</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占期末基金资产净值比例(%)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鱼跃医疗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1,190,675.00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昭衍新药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1,146,367.00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600529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山东药玻</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937,177.88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乐普医疗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904,593.00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迈瑞医疗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892,644.30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益丰药房</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862,850.48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19.99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科伦药业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816,413.00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18.92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恒瑞医药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794,064.00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689,285.00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646,251.90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14.97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华东医药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566,147.00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开立医疗</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550,755.00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12.76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000513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丽珠集团</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547,360.00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华兰生物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529,054.00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博雅生物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515,259.36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11.94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一心堂</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315,449.00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7.31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普利制药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271,230.00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安科生物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216,106.00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603658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安图生物</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197,857.00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国药一致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186,882.00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药明康德</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173,820.00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4.03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300558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贝达药业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157,600.00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泰格医药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131,531.00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603883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老百姓</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2.32</w:t>
            </w:r>
          </w:p>
        </w:tc>
      </w:tr>
    </w:tbl>
    <w:p>
      <w:pPr>
        <w:pStyle w:val="27"/>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6"/>
        <w:rPr>
          <w:rFonts w:hint="eastAsia"/>
        </w:rPr>
      </w:pPr>
      <w:r>
        <w:rPr>
          <w:rFonts w:hint="eastAsia" w:hAnsi="Calibri"/>
          <w:color w:val="000000"/>
        </w:rPr>
        <w:t>单位：人民币元</w:t>
      </w:r>
    </w:p>
    <w:tbl>
      <w:tblPr>
        <w:tblStyle w:val="14"/>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17,736,973.42</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13,339,371.92</w:t>
            </w:r>
          </w:p>
        </w:tc>
      </w:tr>
    </w:tbl>
    <w:p>
      <w:pPr>
        <w:pStyle w:val="27"/>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21"/>
        <w:rPr>
          <w:rFonts w:hint="eastAsia"/>
        </w:rPr>
      </w:pPr>
      <w:bookmarkStart w:id="55" w:name="_Toc4612790"/>
      <w:r>
        <w:rPr>
          <w:rFonts w:hint="eastAsia"/>
          <w:b/>
          <w:bCs/>
        </w:rPr>
        <w:t>8.5 期末按债券品种分类的债券投资组合</w:t>
      </w:r>
      <w:bookmarkEnd w:id="55"/>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2.33</w:t>
            </w:r>
          </w:p>
        </w:tc>
      </w:tr>
    </w:tbl>
    <w:p>
      <w:pPr>
        <w:widowControl/>
        <w:jc w:val="left"/>
        <w:rPr>
          <w:rFonts w:hint="eastAsia" w:ascii="宋体" w:hAnsi="宋体" w:cs="宋体"/>
          <w:kern w:val="0"/>
          <w:sz w:val="24"/>
          <w:szCs w:val="24"/>
        </w:rPr>
      </w:pPr>
    </w:p>
    <w:p>
      <w:pPr>
        <w:pStyle w:val="21"/>
        <w:rPr>
          <w:rFonts w:hint="eastAsia"/>
        </w:rPr>
      </w:pPr>
      <w:bookmarkStart w:id="56" w:name="_Toc4612791"/>
      <w:r>
        <w:rPr>
          <w:rFonts w:hint="eastAsia"/>
          <w:b/>
          <w:bCs/>
        </w:rPr>
        <w:t>8.6 期末按公允价值占基金资产净值比例大小排序的前五名债券投资明细</w:t>
      </w:r>
      <w:bookmarkEnd w:id="5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100,440.00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2.33</w:t>
            </w:r>
          </w:p>
        </w:tc>
      </w:tr>
    </w:tbl>
    <w:p>
      <w:pPr>
        <w:widowControl/>
        <w:jc w:val="left"/>
        <w:rPr>
          <w:rFonts w:hint="eastAsia" w:ascii="宋体" w:hAnsi="宋体" w:cs="宋体"/>
          <w:kern w:val="0"/>
          <w:sz w:val="24"/>
          <w:szCs w:val="24"/>
        </w:rPr>
      </w:pPr>
    </w:p>
    <w:p>
      <w:pPr>
        <w:pStyle w:val="21"/>
        <w:rPr>
          <w:rFonts w:hint="eastAsia"/>
        </w:rPr>
      </w:pPr>
      <w:bookmarkStart w:id="57" w:name="_Toc4612792"/>
      <w:r>
        <w:rPr>
          <w:rFonts w:hint="eastAsia"/>
          <w:b/>
          <w:bCs/>
        </w:rPr>
        <w:t>8.7 期末按公允价值占基金资产净值比例大小排序的所有资产支持证券投资明细</w:t>
      </w:r>
      <w:bookmarkEnd w:id="57"/>
    </w:p>
    <w:p>
      <w:pPr>
        <w:pStyle w:val="27"/>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58" w:name="_Toc4612793"/>
      <w:r>
        <w:rPr>
          <w:rFonts w:hint="eastAsia"/>
          <w:b/>
          <w:bCs/>
        </w:rPr>
        <w:t>8.8 报告期末按公允价值占基金资产净值比例大小排序的前五名贵金属投资明细</w:t>
      </w:r>
      <w:bookmarkEnd w:id="58"/>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59" w:name="_Toc4612794"/>
      <w:r>
        <w:rPr>
          <w:rFonts w:hint="eastAsia"/>
          <w:b/>
          <w:bCs/>
        </w:rPr>
        <w:t>8.9 期末按公允价值占基金资产净值比例大小排序的前五名权证投资明细</w:t>
      </w:r>
      <w:bookmarkEnd w:id="59"/>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60" w:name="_Toc4612795"/>
      <w:r>
        <w:rPr>
          <w:rFonts w:hint="eastAsia"/>
          <w:b/>
          <w:bCs/>
        </w:rPr>
        <w:t>8.10 报告期末本基金投资的股指期货交易情况说明</w:t>
      </w:r>
      <w:bookmarkEnd w:id="6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61" w:name="_Toc4612796"/>
      <w:r>
        <w:rPr>
          <w:rFonts w:hint="eastAsia"/>
          <w:b/>
          <w:bCs/>
        </w:rPr>
        <w:t>8.11 报告期末本基金投资的国债期货交易情况说明</w:t>
      </w:r>
      <w:bookmarkEnd w:id="61"/>
    </w:p>
    <w:p>
      <w:pPr>
        <w:pStyle w:val="27"/>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62" w:name="_Toc4612797"/>
      <w:r>
        <w:rPr>
          <w:rFonts w:hint="eastAsia"/>
          <w:b/>
          <w:bCs/>
        </w:rPr>
        <w:t>8.12 投资组合报告附注</w:t>
      </w:r>
      <w:bookmarkEnd w:id="62"/>
    </w:p>
    <w:p>
      <w:pPr>
        <w:pStyle w:val="22"/>
        <w:rPr>
          <w:rFonts w:hint="eastAsia"/>
        </w:rPr>
      </w:pPr>
      <w:r>
        <w:rPr>
          <w:rFonts w:hint="eastAsia"/>
          <w:b/>
          <w:bCs/>
        </w:rPr>
        <w:t>8.12.1 2018年8月4日，江苏鱼跃医疗设备股份有限公司（下称"鱼跃医疗"，股票代码：002223）公告收到实际控制人，董事长吴光明先生的通知，其于2018年8月2日收到中国证监会《行政处罚决定书》，认定吴光明内幕交易"花王股份"及短线交易"鱼跃医疗""万东医疗"，对吴光明给予警告，没收违法所得919万元，并处以2777万元罚款。 本基金投研人员分析认为，本次行政处罚仅针对吴光明先生个人，与公司无关，且吴光明已按处罚决定书所规定时间交纳相关款项，公司生产经营正常，不受影响。公司作为国内家用医疗器械龙头，业绩稳定增长，估值较低，维持买入评级。本基金经理依据基金合同和公司投资管理制度，在投资授权范围内，经正常投资决策程序对鱼跃医疗进行了投资</w:t>
      </w:r>
    </w:p>
    <w:p>
      <w:pPr>
        <w:widowControl/>
        <w:jc w:val="left"/>
        <w:rPr>
          <w:rFonts w:hint="eastAsia" w:ascii="宋体" w:hAnsi="宋体" w:cs="宋体"/>
          <w:kern w:val="0"/>
          <w:sz w:val="24"/>
          <w:szCs w:val="24"/>
        </w:rPr>
      </w:pPr>
    </w:p>
    <w:p>
      <w:pPr>
        <w:pStyle w:val="22"/>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7,334.26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432,816.17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3,294.18</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8,319.44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451,764.05</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7"/>
        <w:rPr>
          <w:rFonts w:hint="eastAsia"/>
        </w:rPr>
      </w:pPr>
      <w:r>
        <w:rPr>
          <w:rFonts w:hint="eastAsia"/>
        </w:rPr>
        <w:t>本基金本报告期末前十名股票不存在流通受限的情况。</w:t>
      </w:r>
    </w:p>
    <w:p>
      <w:pPr>
        <w:widowControl/>
        <w:jc w:val="left"/>
        <w:rPr>
          <w:rFonts w:hint="eastAsia" w:ascii="宋体" w:hAnsi="宋体" w:cs="宋体"/>
          <w:kern w:val="0"/>
          <w:sz w:val="24"/>
          <w:szCs w:val="24"/>
        </w:rPr>
      </w:pPr>
    </w:p>
    <w:p>
      <w:pPr>
        <w:pStyle w:val="20"/>
        <w:rPr>
          <w:rFonts w:hint="eastAsia"/>
        </w:rPr>
      </w:pPr>
      <w:bookmarkStart w:id="63" w:name="_Toc4612798"/>
      <w:r>
        <w:rPr>
          <w:rFonts w:hint="eastAsia" w:hAnsi="Calibri"/>
          <w:b/>
          <w:color w:val="000000"/>
        </w:rPr>
        <w:t>§8 投资组合报告（转型前）</w:t>
      </w:r>
      <w:bookmarkEnd w:id="63"/>
    </w:p>
    <w:p>
      <w:pPr>
        <w:widowControl/>
        <w:jc w:val="left"/>
        <w:rPr>
          <w:rFonts w:hint="eastAsia" w:ascii="宋体" w:hAnsi="宋体" w:cs="宋体"/>
          <w:kern w:val="0"/>
          <w:sz w:val="24"/>
          <w:szCs w:val="24"/>
        </w:rPr>
      </w:pPr>
    </w:p>
    <w:p>
      <w:pPr>
        <w:pStyle w:val="21"/>
        <w:rPr>
          <w:rFonts w:hint="eastAsia"/>
        </w:rPr>
      </w:pPr>
      <w:bookmarkStart w:id="64" w:name="_Toc4612799"/>
      <w:r>
        <w:rPr>
          <w:rFonts w:hint="eastAsia"/>
          <w:b/>
          <w:bCs/>
        </w:rPr>
        <w:t>8.1 期末基金资产组合情况</w:t>
      </w:r>
      <w:bookmarkEnd w:id="64"/>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3612"/>
        <w:gridCol w:w="2529"/>
        <w:gridCol w:w="2167"/>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9.33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59.36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1,254,318.93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28.46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2.86</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4,408,073.77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21"/>
        <w:rPr>
          <w:rFonts w:hint="eastAsia"/>
        </w:rPr>
      </w:pPr>
      <w:bookmarkStart w:id="65" w:name="_Toc4612800"/>
      <w:r>
        <w:rPr>
          <w:rFonts w:hint="eastAsia"/>
          <w:b/>
          <w:bCs/>
        </w:rPr>
        <w:t>8.2 报告期末按行业分类的股票投资组合</w:t>
      </w:r>
      <w:bookmarkEnd w:id="65"/>
    </w:p>
    <w:tbl>
      <w:tblPr>
        <w:tblStyle w:val="14"/>
        <w:tblW w:w="0" w:type="auto"/>
        <w:tblInd w:w="108" w:type="dxa"/>
        <w:tblLayout w:type="autofit"/>
        <w:tblCellMar>
          <w:top w:w="0" w:type="dxa"/>
          <w:left w:w="108" w:type="dxa"/>
          <w:bottom w:w="0" w:type="dxa"/>
          <w:right w:w="108" w:type="dxa"/>
        </w:tblCellMar>
      </w:tblPr>
      <w:tblGrid>
        <w:gridCol w:w="720"/>
        <w:gridCol w:w="3974"/>
        <w:gridCol w:w="2167"/>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代码</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行业类别</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公允价值（元）</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A</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农、林、牧、渔业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B</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采矿业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C</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制造业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9.44</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D</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电力、热力、燃气及水生产和供应业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E</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建筑业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F</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批发和零售业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G</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交通运输、仓储和邮政业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H</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住宿和餐饮业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I</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信息传输、软件和信息技术服务业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J</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K</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房地产业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L</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租赁和商务服务业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M</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科学研究和技术服务业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N</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水利、环境和公共设施管理业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O</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居民服务、修理和其他服务业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P</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教育</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Q</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卫生和社会工作</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R</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文化、体育和娱乐业</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S</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综合</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411,108.21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9.44</w:t>
            </w:r>
          </w:p>
        </w:tc>
      </w:tr>
    </w:tbl>
    <w:p>
      <w:pPr>
        <w:widowControl/>
        <w:jc w:val="left"/>
        <w:rPr>
          <w:rFonts w:hint="eastAsia" w:ascii="宋体" w:hAnsi="宋体" w:cs="宋体"/>
          <w:kern w:val="0"/>
          <w:sz w:val="24"/>
          <w:szCs w:val="24"/>
        </w:rPr>
      </w:pPr>
    </w:p>
    <w:p>
      <w:pPr>
        <w:pStyle w:val="21"/>
        <w:rPr>
          <w:rFonts w:hint="eastAsia"/>
        </w:rPr>
      </w:pPr>
      <w:bookmarkStart w:id="66" w:name="_Toc4612801"/>
      <w:r>
        <w:rPr>
          <w:rFonts w:hint="eastAsia"/>
          <w:b/>
          <w:bCs/>
        </w:rPr>
        <w:t>8.3 期末按公允价值占基金资产净值比例大小排序的所有股票投资明细</w:t>
      </w:r>
      <w:bookmarkEnd w:id="66"/>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09"/>
        <w:gridCol w:w="1599"/>
        <w:gridCol w:w="1599"/>
        <w:gridCol w:w="1774"/>
        <w:gridCol w:w="1774"/>
        <w:gridCol w:w="164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66,201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411,108.21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9.44</w:t>
            </w:r>
          </w:p>
        </w:tc>
      </w:tr>
    </w:tbl>
    <w:p>
      <w:pPr>
        <w:widowControl/>
        <w:jc w:val="left"/>
        <w:rPr>
          <w:rFonts w:hint="eastAsia" w:ascii="宋体" w:hAnsi="宋体" w:cs="宋体"/>
          <w:kern w:val="0"/>
          <w:sz w:val="24"/>
          <w:szCs w:val="24"/>
        </w:rPr>
      </w:pPr>
      <w:r>
        <w:rPr>
          <w:rFonts w:hint="eastAsia" w:ascii="宋体" w:hAnsi="宋体" w:cs="宋体"/>
          <w:kern w:val="0"/>
          <w:sz w:val="24"/>
          <w:szCs w:val="24"/>
        </w:rPr>
        <w:br w:type="textWrapping"/>
      </w:r>
    </w:p>
    <w:p>
      <w:pPr>
        <w:pStyle w:val="21"/>
        <w:rPr>
          <w:rFonts w:hint="eastAsia"/>
        </w:rPr>
      </w:pPr>
      <w:bookmarkStart w:id="67" w:name="_Toc4612802"/>
      <w:r>
        <w:rPr>
          <w:rFonts w:hint="eastAsia"/>
          <w:b/>
          <w:bCs/>
        </w:rPr>
        <w:t>8.4 报告期内股票投资组合的重大变动</w:t>
      </w:r>
      <w:bookmarkEnd w:id="67"/>
    </w:p>
    <w:p>
      <w:pPr>
        <w:pStyle w:val="22"/>
        <w:rPr>
          <w:rFonts w:hint="eastAsia"/>
        </w:rPr>
      </w:pPr>
      <w:r>
        <w:rPr>
          <w:rFonts w:hint="eastAsia"/>
          <w:b/>
          <w:bCs/>
        </w:rPr>
        <w:t>8.4.1 累计买入金额超出期初基金资产净值2%或前20名的股票明细</w:t>
      </w:r>
    </w:p>
    <w:p>
      <w:pPr>
        <w:pStyle w:val="27"/>
        <w:rPr>
          <w:rFonts w:hint="eastAsia"/>
        </w:rPr>
      </w:pPr>
      <w:r>
        <w:rPr>
          <w:rFonts w:hint="eastAsia"/>
        </w:rPr>
        <w:t>本基金本报告期未买入股票。</w:t>
      </w:r>
    </w:p>
    <w:p>
      <w:pPr>
        <w:widowControl/>
        <w:jc w:val="left"/>
        <w:rPr>
          <w:rFonts w:hint="eastAsia" w:ascii="宋体" w:hAnsi="宋体" w:cs="宋体"/>
          <w:kern w:val="0"/>
          <w:sz w:val="24"/>
          <w:szCs w:val="24"/>
        </w:rPr>
      </w:pPr>
    </w:p>
    <w:p>
      <w:pPr>
        <w:pStyle w:val="22"/>
        <w:rPr>
          <w:rFonts w:hint="eastAsia"/>
        </w:rPr>
      </w:pPr>
      <w:r>
        <w:rPr>
          <w:rFonts w:hint="eastAsia"/>
          <w:b/>
          <w:bCs/>
        </w:rPr>
        <w:t>8.4.2 累计卖出金额超出期初基金资产净值2%或前20名的股票明细</w:t>
      </w:r>
    </w:p>
    <w:p>
      <w:pPr>
        <w:pStyle w:val="27"/>
        <w:rPr>
          <w:rFonts w:hint="eastAsia"/>
        </w:rPr>
      </w:pPr>
      <w:r>
        <w:rPr>
          <w:rFonts w:hint="eastAsia"/>
        </w:rPr>
        <w:t>本基金本报告期未卖出股票。</w:t>
      </w:r>
    </w:p>
    <w:p>
      <w:pPr>
        <w:widowControl/>
        <w:jc w:val="left"/>
        <w:rPr>
          <w:rFonts w:hint="eastAsia" w:ascii="宋体" w:hAnsi="宋体" w:cs="宋体"/>
          <w:kern w:val="0"/>
          <w:sz w:val="24"/>
          <w:szCs w:val="24"/>
        </w:rPr>
      </w:pPr>
    </w:p>
    <w:p>
      <w:pPr>
        <w:pStyle w:val="22"/>
        <w:rPr>
          <w:rFonts w:hint="eastAsia"/>
        </w:rPr>
      </w:pPr>
      <w:r>
        <w:rPr>
          <w:rFonts w:hint="eastAsia"/>
          <w:b/>
          <w:bCs/>
        </w:rPr>
        <w:t>8.4.3 买入股票的成本总额及卖出股票的收入总额</w:t>
      </w:r>
    </w:p>
    <w:p>
      <w:pPr>
        <w:pStyle w:val="27"/>
        <w:rPr>
          <w:rFonts w:hint="eastAsia"/>
        </w:rPr>
      </w:pPr>
      <w:r>
        <w:rPr>
          <w:rFonts w:hint="eastAsia"/>
        </w:rPr>
        <w:t>本基金本报告期未买卖股票。</w:t>
      </w:r>
    </w:p>
    <w:p>
      <w:pPr>
        <w:widowControl/>
        <w:jc w:val="left"/>
        <w:rPr>
          <w:rFonts w:hint="eastAsia" w:ascii="宋体" w:hAnsi="宋体" w:cs="宋体"/>
          <w:kern w:val="0"/>
          <w:sz w:val="24"/>
          <w:szCs w:val="24"/>
        </w:rPr>
      </w:pPr>
    </w:p>
    <w:p>
      <w:pPr>
        <w:pStyle w:val="21"/>
        <w:rPr>
          <w:rFonts w:hint="eastAsia"/>
        </w:rPr>
      </w:pPr>
      <w:bookmarkStart w:id="68" w:name="_Toc4612803"/>
      <w:r>
        <w:rPr>
          <w:rFonts w:hint="eastAsia"/>
          <w:b/>
          <w:bCs/>
        </w:rPr>
        <w:t>8.5 期末按债券品种分类的债券投资组合</w:t>
      </w:r>
      <w:bookmarkEnd w:id="68"/>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2,616,640.00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60.07</w:t>
            </w:r>
          </w:p>
        </w:tc>
      </w:tr>
    </w:tbl>
    <w:p>
      <w:pPr>
        <w:widowControl/>
        <w:jc w:val="left"/>
        <w:rPr>
          <w:rFonts w:hint="eastAsia" w:ascii="宋体" w:hAnsi="宋体" w:cs="宋体"/>
          <w:kern w:val="0"/>
          <w:sz w:val="24"/>
          <w:szCs w:val="24"/>
        </w:rPr>
      </w:pPr>
    </w:p>
    <w:p>
      <w:pPr>
        <w:pStyle w:val="21"/>
        <w:rPr>
          <w:rFonts w:hint="eastAsia"/>
        </w:rPr>
      </w:pPr>
      <w:bookmarkStart w:id="69" w:name="_Toc4612804"/>
      <w:r>
        <w:rPr>
          <w:rFonts w:hint="eastAsia"/>
          <w:b/>
          <w:bCs/>
        </w:rPr>
        <w:t>8.6 期末按公允价值占基金资产净值比例大小排序的前五名债券投资明细</w:t>
      </w:r>
      <w:bookmarkEnd w:id="69"/>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784"/>
        <w:gridCol w:w="1515"/>
        <w:gridCol w:w="1515"/>
        <w:gridCol w:w="1714"/>
        <w:gridCol w:w="1956"/>
        <w:gridCol w:w="1714"/>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018002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国开1302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2,616,640.00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60.07</w:t>
            </w:r>
          </w:p>
        </w:tc>
      </w:tr>
    </w:tbl>
    <w:p>
      <w:pPr>
        <w:widowControl/>
        <w:jc w:val="left"/>
        <w:rPr>
          <w:rFonts w:hint="eastAsia" w:ascii="宋体" w:hAnsi="宋体" w:cs="宋体"/>
          <w:kern w:val="0"/>
          <w:sz w:val="24"/>
          <w:szCs w:val="24"/>
        </w:rPr>
      </w:pPr>
    </w:p>
    <w:p>
      <w:pPr>
        <w:pStyle w:val="21"/>
        <w:rPr>
          <w:rFonts w:hint="eastAsia"/>
        </w:rPr>
      </w:pPr>
      <w:bookmarkStart w:id="70" w:name="_Toc4612805"/>
      <w:r>
        <w:rPr>
          <w:rFonts w:hint="eastAsia"/>
          <w:b/>
          <w:bCs/>
        </w:rPr>
        <w:t>8.7 期末按公允价值占基金资产净值比例大小排序的前十名资产支持证券投资明细</w:t>
      </w:r>
      <w:bookmarkEnd w:id="70"/>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本基金本报告期末未持有资产支持证券。</w:t>
      </w:r>
    </w:p>
    <w:p>
      <w:pPr>
        <w:widowControl/>
        <w:jc w:val="left"/>
        <w:rPr>
          <w:rFonts w:hint="eastAsia" w:ascii="宋体" w:hAnsi="宋体" w:cs="宋体"/>
          <w:kern w:val="0"/>
          <w:sz w:val="24"/>
          <w:szCs w:val="24"/>
        </w:rPr>
      </w:pPr>
    </w:p>
    <w:p>
      <w:pPr>
        <w:pStyle w:val="21"/>
        <w:rPr>
          <w:rFonts w:hint="eastAsia"/>
        </w:rPr>
      </w:pPr>
      <w:bookmarkStart w:id="71" w:name="_Toc4612806"/>
      <w:r>
        <w:rPr>
          <w:rFonts w:hint="eastAsia"/>
          <w:b/>
          <w:bCs/>
        </w:rPr>
        <w:t>8.8 报告期末按公允价值占基金资产净值比例大小排序的前五名贵金属投资明细</w:t>
      </w:r>
      <w:bookmarkEnd w:id="71"/>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本基金本报告期末未持有贵金属。</w:t>
      </w:r>
    </w:p>
    <w:p>
      <w:pPr>
        <w:widowControl/>
        <w:jc w:val="left"/>
        <w:rPr>
          <w:rFonts w:hint="eastAsia" w:ascii="宋体" w:hAnsi="宋体" w:cs="宋体"/>
          <w:kern w:val="0"/>
          <w:sz w:val="24"/>
          <w:szCs w:val="24"/>
        </w:rPr>
      </w:pPr>
    </w:p>
    <w:p>
      <w:pPr>
        <w:pStyle w:val="21"/>
        <w:rPr>
          <w:rFonts w:hint="eastAsia"/>
        </w:rPr>
      </w:pPr>
      <w:bookmarkStart w:id="72" w:name="_Toc4612807"/>
      <w:r>
        <w:rPr>
          <w:rFonts w:hint="eastAsia"/>
          <w:b/>
          <w:bCs/>
        </w:rPr>
        <w:t>8.9 期末按公允价值占基金资产净值比例大小排序的前五名权证投资明细</w:t>
      </w:r>
      <w:bookmarkEnd w:id="72"/>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本基金本报告期末未持有权证。</w:t>
      </w:r>
    </w:p>
    <w:p>
      <w:pPr>
        <w:widowControl/>
        <w:jc w:val="left"/>
        <w:rPr>
          <w:rFonts w:hint="eastAsia" w:ascii="宋体" w:hAnsi="宋体" w:cs="宋体"/>
          <w:kern w:val="0"/>
          <w:sz w:val="24"/>
          <w:szCs w:val="24"/>
        </w:rPr>
      </w:pPr>
    </w:p>
    <w:p>
      <w:pPr>
        <w:pStyle w:val="21"/>
        <w:rPr>
          <w:rFonts w:hint="eastAsia"/>
        </w:rPr>
      </w:pPr>
      <w:bookmarkStart w:id="73" w:name="_Toc4612808"/>
      <w:r>
        <w:rPr>
          <w:rFonts w:hint="eastAsia"/>
          <w:b/>
          <w:bCs/>
        </w:rPr>
        <w:t>8.10 报告期末本基金投资的股指期货交易情况说明</w:t>
      </w:r>
      <w:bookmarkEnd w:id="73"/>
    </w:p>
    <w:p>
      <w:pPr>
        <w:pStyle w:val="22"/>
        <w:rPr>
          <w:rFonts w:hint="eastAsia"/>
        </w:rPr>
      </w:pPr>
      <w:r>
        <w:rPr>
          <w:rFonts w:hint="eastAsia"/>
          <w:b/>
          <w:bCs/>
        </w:rPr>
        <w:t>8.10.1 报告期末本基金投资的股指期货持仓和损益明细</w:t>
      </w:r>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本基金本报告期未投资股指期货。</w:t>
      </w:r>
    </w:p>
    <w:p>
      <w:pPr>
        <w:widowControl/>
        <w:jc w:val="left"/>
        <w:rPr>
          <w:rFonts w:hint="eastAsia" w:ascii="宋体" w:hAnsi="宋体" w:cs="宋体"/>
          <w:kern w:val="0"/>
          <w:sz w:val="24"/>
          <w:szCs w:val="24"/>
        </w:rPr>
      </w:pPr>
    </w:p>
    <w:p>
      <w:pPr>
        <w:pStyle w:val="21"/>
        <w:rPr>
          <w:rFonts w:hint="eastAsia"/>
        </w:rPr>
      </w:pPr>
      <w:bookmarkStart w:id="74" w:name="_Toc4612809"/>
      <w:r>
        <w:rPr>
          <w:rFonts w:hint="eastAsia"/>
          <w:b/>
          <w:bCs/>
        </w:rPr>
        <w:t>8.11 报告期末本基金投资的国债期货交易情况说明</w:t>
      </w:r>
      <w:bookmarkEnd w:id="74"/>
    </w:p>
    <w:tbl>
      <w:tblPr>
        <w:tblStyle w:val="14"/>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7"/>
      </w:pPr>
      <w:r>
        <w:rPr>
          <w:rFonts w:hint="eastAsia"/>
        </w:rPr>
        <w:t>本基金本报告期未投资国债期货。</w:t>
      </w:r>
    </w:p>
    <w:p>
      <w:pPr>
        <w:widowControl/>
        <w:jc w:val="left"/>
        <w:rPr>
          <w:rFonts w:hint="eastAsia" w:ascii="宋体" w:hAnsi="宋体" w:cs="宋体"/>
          <w:kern w:val="0"/>
          <w:sz w:val="24"/>
          <w:szCs w:val="24"/>
        </w:rPr>
      </w:pPr>
    </w:p>
    <w:p>
      <w:pPr>
        <w:pStyle w:val="21"/>
        <w:rPr>
          <w:rFonts w:hint="eastAsia"/>
        </w:rPr>
      </w:pPr>
      <w:bookmarkStart w:id="75" w:name="_Toc4612810"/>
      <w:r>
        <w:rPr>
          <w:rFonts w:hint="eastAsia" w:hAnsi="Calibri"/>
          <w:b/>
          <w:color w:val="000000"/>
        </w:rPr>
        <w:t>8.12 投资组合报告附注</w:t>
      </w:r>
      <w:bookmarkEnd w:id="75"/>
    </w:p>
    <w:p>
      <w:pPr>
        <w:pStyle w:val="22"/>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22"/>
        <w:rPr>
          <w:rFonts w:hint="eastAsia"/>
        </w:rPr>
      </w:pPr>
      <w:r>
        <w:rPr>
          <w:rFonts w:hint="eastAsia" w:hAnsi="Calibri"/>
          <w:b/>
          <w:color w:val="000000"/>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22"/>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14"/>
        <w:tblW w:w="0" w:type="auto"/>
        <w:tblInd w:w="108" w:type="dxa"/>
        <w:tblLayout w:type="autofit"/>
        <w:tblCellMar>
          <w:top w:w="0" w:type="dxa"/>
          <w:left w:w="108" w:type="dxa"/>
          <w:bottom w:w="0" w:type="dxa"/>
          <w:right w:w="108" w:type="dxa"/>
        </w:tblCellMar>
      </w:tblPr>
      <w:tblGrid>
        <w:gridCol w:w="716"/>
        <w:gridCol w:w="3889"/>
        <w:gridCol w:w="4593"/>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126,006.63</w:t>
            </w:r>
          </w:p>
        </w:tc>
      </w:tr>
    </w:tbl>
    <w:p>
      <w:pPr>
        <w:widowControl/>
        <w:jc w:val="left"/>
        <w:rPr>
          <w:rFonts w:hint="eastAsia" w:ascii="宋体" w:hAnsi="宋体" w:cs="宋体"/>
          <w:kern w:val="0"/>
          <w:sz w:val="24"/>
          <w:szCs w:val="24"/>
        </w:rPr>
      </w:pPr>
    </w:p>
    <w:p>
      <w:pPr>
        <w:pStyle w:val="22"/>
        <w:rPr>
          <w:rFonts w:hint="eastAsia"/>
        </w:rPr>
      </w:pPr>
      <w:r>
        <w:rPr>
          <w:rFonts w:hint="eastAsia"/>
          <w:b/>
          <w:bCs/>
        </w:rPr>
        <w:t>8.12.4 期末持有的处于转股期的可转换债券明细</w:t>
      </w:r>
    </w:p>
    <w:p>
      <w:pPr>
        <w:pStyle w:val="27"/>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22"/>
        <w:rPr>
          <w:rFonts w:hint="eastAsia"/>
        </w:rPr>
      </w:pPr>
      <w:r>
        <w:rPr>
          <w:rFonts w:hint="eastAsia"/>
          <w:b/>
          <w:bCs/>
        </w:rPr>
        <w:t>8.12.5 期末前十名股票中存在流通受限情况的说明</w:t>
      </w:r>
    </w:p>
    <w:p>
      <w:pPr>
        <w:pStyle w:val="26"/>
        <w:rPr>
          <w:rFonts w:hint="eastAsia"/>
        </w:rPr>
      </w:pPr>
      <w:r>
        <w:rPr>
          <w:rFonts w:hint="eastAsia" w:hAnsi="Calibri"/>
          <w:color w:val="000000"/>
        </w:rPr>
        <w:t>金额单位：人民币元</w:t>
      </w:r>
    </w:p>
    <w:tbl>
      <w:tblPr>
        <w:tblStyle w:val="14"/>
        <w:tblW w:w="0" w:type="auto"/>
        <w:tblInd w:w="108" w:type="dxa"/>
        <w:tblLayout w:type="autofit"/>
        <w:tblCellMar>
          <w:top w:w="0" w:type="dxa"/>
          <w:left w:w="108" w:type="dxa"/>
          <w:bottom w:w="0" w:type="dxa"/>
          <w:right w:w="108" w:type="dxa"/>
        </w:tblCellMar>
      </w:tblPr>
      <w:tblGrid>
        <w:gridCol w:w="829"/>
        <w:gridCol w:w="1666"/>
        <w:gridCol w:w="1666"/>
        <w:gridCol w:w="1666"/>
        <w:gridCol w:w="1705"/>
        <w:gridCol w:w="166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流通受限部分的公允价值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占基金资产净值比例(%)</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流通受限情况说明</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600485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信威集团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411,108.21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widowControl/>
        <w:jc w:val="left"/>
        <w:rPr>
          <w:rFonts w:hint="eastAsia" w:ascii="宋体" w:hAnsi="宋体" w:cs="宋体"/>
          <w:kern w:val="0"/>
          <w:sz w:val="24"/>
          <w:szCs w:val="24"/>
        </w:rPr>
      </w:pPr>
    </w:p>
    <w:p>
      <w:pPr>
        <w:pStyle w:val="20"/>
        <w:rPr>
          <w:rFonts w:hint="eastAsia"/>
        </w:rPr>
      </w:pPr>
      <w:bookmarkStart w:id="76" w:name="_Toc4612811"/>
      <w:r>
        <w:rPr>
          <w:rFonts w:hint="eastAsia" w:hAnsi="Calibri"/>
          <w:b/>
          <w:color w:val="000000"/>
        </w:rPr>
        <w:t>§9  基金份额持有人信息(转型后)</w:t>
      </w:r>
      <w:bookmarkEnd w:id="76"/>
    </w:p>
    <w:p>
      <w:pPr>
        <w:widowControl/>
        <w:jc w:val="left"/>
        <w:rPr>
          <w:rFonts w:hint="eastAsia" w:ascii="宋体" w:hAnsi="宋体" w:cs="宋体"/>
          <w:kern w:val="0"/>
          <w:sz w:val="24"/>
          <w:szCs w:val="24"/>
        </w:rPr>
      </w:pPr>
    </w:p>
    <w:p>
      <w:pPr>
        <w:pStyle w:val="21"/>
        <w:rPr>
          <w:rFonts w:hint="eastAsia"/>
        </w:rPr>
      </w:pPr>
      <w:bookmarkStart w:id="77" w:name="_Toc4612812"/>
      <w:r>
        <w:rPr>
          <w:rFonts w:hint="eastAsia"/>
          <w:b/>
          <w:bCs/>
        </w:rPr>
        <w:t>9.1 期末基金份额持有人户数及持有人结构</w:t>
      </w:r>
      <w:bookmarkEnd w:id="77"/>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13,140.47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2,240,762.33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545,018.11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17,689.01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1,849,342.37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184,894.21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15,205.10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4,090,104.70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729,912.32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15.14%</w:t>
            </w:r>
          </w:p>
        </w:tc>
      </w:tr>
    </w:tbl>
    <w:p>
      <w:pPr>
        <w:widowControl/>
        <w:jc w:val="left"/>
        <w:rPr>
          <w:rFonts w:hint="eastAsia" w:ascii="宋体" w:hAnsi="宋体" w:cs="宋体"/>
          <w:kern w:val="0"/>
          <w:sz w:val="24"/>
          <w:szCs w:val="24"/>
        </w:rPr>
      </w:pPr>
    </w:p>
    <w:p>
      <w:pPr>
        <w:pStyle w:val="21"/>
        <w:rPr>
          <w:rFonts w:hint="eastAsia"/>
        </w:rPr>
      </w:pPr>
      <w:bookmarkStart w:id="78" w:name="_Toc4612813"/>
      <w:r>
        <w:rPr>
          <w:rFonts w:hint="eastAsia" w:hAnsi="Calibri"/>
          <w:b/>
          <w:color w:val="000000"/>
        </w:rPr>
        <w:t>9.2 期末基金管理人的从业人员持有本基金的情况</w:t>
      </w:r>
      <w:bookmarkEnd w:id="78"/>
    </w:p>
    <w:tbl>
      <w:tblPr>
        <w:tblStyle w:val="14"/>
        <w:tblW w:w="9045" w:type="dxa"/>
        <w:tblInd w:w="108" w:type="dxa"/>
        <w:tblLayout w:type="autofit"/>
        <w:tblCellMar>
          <w:top w:w="0" w:type="dxa"/>
          <w:left w:w="108" w:type="dxa"/>
          <w:bottom w:w="0" w:type="dxa"/>
          <w:right w:w="108" w:type="dxa"/>
        </w:tblCellMar>
      </w:tblPr>
      <w:tblGrid>
        <w:gridCol w:w="3048"/>
        <w:gridCol w:w="2103"/>
        <w:gridCol w:w="1924"/>
        <w:gridCol w:w="197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409,810.75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14.71%</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1,004.74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0.05%</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410,815.49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8.52%</w:t>
            </w:r>
          </w:p>
        </w:tc>
      </w:tr>
    </w:tbl>
    <w:p>
      <w:pPr>
        <w:widowControl/>
        <w:jc w:val="left"/>
        <w:rPr>
          <w:rFonts w:hint="eastAsia" w:ascii="宋体" w:hAnsi="宋体" w:cs="宋体"/>
          <w:kern w:val="0"/>
          <w:sz w:val="24"/>
          <w:szCs w:val="24"/>
        </w:rPr>
      </w:pPr>
    </w:p>
    <w:p>
      <w:pPr>
        <w:pStyle w:val="21"/>
        <w:rPr>
          <w:rFonts w:hint="eastAsia"/>
        </w:rPr>
      </w:pPr>
      <w:bookmarkStart w:id="79" w:name="_Toc4612814"/>
      <w:r>
        <w:rPr>
          <w:rFonts w:hint="eastAsia"/>
          <w:b/>
          <w:bCs/>
        </w:rPr>
        <w:t>9.3 期末基金管理人的从业人员持有本开放式基金份额总量区间情况</w:t>
      </w:r>
      <w:bookmarkEnd w:id="79"/>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10~50</w:t>
            </w:r>
          </w:p>
        </w:tc>
      </w:tr>
    </w:tbl>
    <w:p>
      <w:pPr>
        <w:widowControl/>
        <w:jc w:val="left"/>
        <w:rPr>
          <w:rFonts w:hint="eastAsia" w:ascii="宋体" w:hAnsi="宋体" w:cs="宋体"/>
          <w:kern w:val="0"/>
          <w:sz w:val="24"/>
          <w:szCs w:val="24"/>
        </w:rPr>
      </w:pPr>
    </w:p>
    <w:p>
      <w:pPr>
        <w:pStyle w:val="20"/>
        <w:rPr>
          <w:rFonts w:hint="eastAsia"/>
        </w:rPr>
      </w:pPr>
      <w:bookmarkStart w:id="80" w:name="_Toc4612815"/>
      <w:r>
        <w:rPr>
          <w:rFonts w:hint="eastAsia" w:hAnsi="Calibri"/>
          <w:b/>
          <w:color w:val="000000"/>
        </w:rPr>
        <w:t>§9  基金份额持有人信息(转型前)</w:t>
      </w:r>
      <w:bookmarkEnd w:id="80"/>
    </w:p>
    <w:p>
      <w:pPr>
        <w:widowControl/>
        <w:jc w:val="left"/>
        <w:rPr>
          <w:rFonts w:hint="eastAsia" w:ascii="宋体" w:hAnsi="宋体" w:cs="宋体"/>
          <w:kern w:val="0"/>
          <w:sz w:val="24"/>
          <w:szCs w:val="24"/>
        </w:rPr>
      </w:pPr>
    </w:p>
    <w:p>
      <w:pPr>
        <w:pStyle w:val="21"/>
        <w:rPr>
          <w:rFonts w:hint="eastAsia"/>
        </w:rPr>
      </w:pPr>
      <w:bookmarkStart w:id="81" w:name="_Toc4612816"/>
      <w:r>
        <w:rPr>
          <w:rFonts w:hint="eastAsia"/>
          <w:b/>
          <w:bCs/>
        </w:rPr>
        <w:t>9.1 期末基金份额持有人户数及持有人结构</w:t>
      </w:r>
      <w:bookmarkEnd w:id="81"/>
    </w:p>
    <w:p>
      <w:pPr>
        <w:pStyle w:val="26"/>
        <w:rPr>
          <w:rFonts w:hint="eastAsia"/>
        </w:rPr>
      </w:pPr>
      <w:r>
        <w:rPr>
          <w:rFonts w:hint="eastAsia" w:hAnsi="Calibri"/>
          <w:color w:val="000000"/>
        </w:rPr>
        <w:t>份额单位：份</w:t>
      </w:r>
    </w:p>
    <w:tbl>
      <w:tblPr>
        <w:tblStyle w:val="14"/>
        <w:tblW w:w="9045" w:type="dxa"/>
        <w:tblInd w:w="108" w:type="dxa"/>
        <w:tblLayout w:type="autofit"/>
        <w:tblCellMar>
          <w:top w:w="0" w:type="dxa"/>
          <w:left w:w="108" w:type="dxa"/>
          <w:bottom w:w="0" w:type="dxa"/>
          <w:right w:w="108" w:type="dxa"/>
        </w:tblCellMar>
      </w:tblPr>
      <w:tblGrid>
        <w:gridCol w:w="904"/>
        <w:gridCol w:w="904"/>
        <w:gridCol w:w="1808"/>
        <w:gridCol w:w="905"/>
        <w:gridCol w:w="905"/>
        <w:gridCol w:w="905"/>
        <w:gridCol w:w="2714"/>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持有人户数(户)</w:t>
            </w:r>
          </w:p>
        </w:tc>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户均持有的基金份额</w:t>
            </w:r>
          </w:p>
        </w:tc>
        <w:tc>
          <w:tcPr>
            <w:tcW w:w="30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机构投资者</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个人投资者</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27,977.61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4,292,374.17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98.35%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72,133.36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1.65%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3,839.13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142,047.73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23,718.71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4,292,374.17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95.25%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214,181.09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4.75%</w:t>
            </w:r>
          </w:p>
        </w:tc>
      </w:tr>
    </w:tbl>
    <w:p>
      <w:pPr>
        <w:widowControl/>
        <w:jc w:val="left"/>
        <w:rPr>
          <w:rFonts w:hint="eastAsia" w:ascii="宋体" w:hAnsi="宋体" w:cs="宋体"/>
          <w:kern w:val="0"/>
          <w:sz w:val="24"/>
          <w:szCs w:val="24"/>
        </w:rPr>
      </w:pPr>
    </w:p>
    <w:p>
      <w:pPr>
        <w:pStyle w:val="21"/>
        <w:rPr>
          <w:rFonts w:hint="eastAsia"/>
        </w:rPr>
      </w:pPr>
      <w:bookmarkStart w:id="82" w:name="_Toc4612817"/>
      <w:r>
        <w:rPr>
          <w:rFonts w:hint="eastAsia" w:hAnsi="Calibri"/>
          <w:b/>
          <w:color w:val="000000"/>
        </w:rPr>
        <w:t>9.2 期末基金管理人的从业人员持有本基金的情况</w:t>
      </w:r>
      <w:bookmarkEnd w:id="82"/>
    </w:p>
    <w:tbl>
      <w:tblPr>
        <w:tblStyle w:val="14"/>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7,901.11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创金合信医疗保健股票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1,200.00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9,101.11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0.20%</w:t>
            </w:r>
          </w:p>
        </w:tc>
      </w:tr>
    </w:tbl>
    <w:p>
      <w:pPr>
        <w:widowControl/>
        <w:jc w:val="left"/>
        <w:rPr>
          <w:rFonts w:hint="eastAsia" w:ascii="宋体" w:hAnsi="宋体" w:cs="宋体"/>
          <w:kern w:val="0"/>
          <w:sz w:val="24"/>
          <w:szCs w:val="24"/>
        </w:rPr>
      </w:pPr>
    </w:p>
    <w:p>
      <w:pPr>
        <w:pStyle w:val="21"/>
        <w:rPr>
          <w:rFonts w:hint="eastAsia"/>
        </w:rPr>
      </w:pPr>
      <w:bookmarkStart w:id="83" w:name="_Toc4612818"/>
      <w:r>
        <w:rPr>
          <w:rFonts w:hint="eastAsia"/>
          <w:b/>
          <w:bCs/>
        </w:rPr>
        <w:t>9.3 期末基金管理人的从业人员持有本开放式基金份额总量区间情况</w:t>
      </w:r>
      <w:bookmarkEnd w:id="83"/>
    </w:p>
    <w:tbl>
      <w:tblPr>
        <w:tblStyle w:val="14"/>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创金合信鑫动力混合C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20"/>
        <w:rPr>
          <w:rFonts w:hint="eastAsia"/>
        </w:rPr>
      </w:pPr>
      <w:bookmarkStart w:id="84" w:name="_Toc4612819"/>
      <w:r>
        <w:rPr>
          <w:rFonts w:hint="eastAsia" w:hAnsi="Calibri"/>
          <w:b/>
          <w:color w:val="000000"/>
        </w:rPr>
        <w:t>§10  开放式基金份额变动(转型后)</w:t>
      </w:r>
      <w:bookmarkEnd w:id="84"/>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创金合信医疗保健股票A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创金合信医疗保健股票C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基金合同生效日(2018年10月31日)基金份额总额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4,364,507.53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142,047.73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2,385,643.38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2,009,895.01</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减：基金合同生效日起至报告期期末基金总赎回份额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3,824,580.65</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105,400.12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基金合同生效日起至报告期期末基金拆分变动份额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-139,789.82</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-12,306.04</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2,785,780.44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2,034,236.58</w:t>
            </w:r>
          </w:p>
        </w:tc>
      </w:tr>
    </w:tbl>
    <w:p>
      <w:pPr>
        <w:pStyle w:val="27"/>
        <w:rPr>
          <w:rFonts w:hint="eastAsia"/>
        </w:rPr>
      </w:pPr>
      <w:r>
        <w:rPr>
          <w:rFonts w:hint="eastAsia"/>
        </w:rPr>
        <w:t>注：（1）创金合信鑫动力灵活配置混合型证券投资基金的基金份额于2018年10月31日转换为创金合信医疗保健行业股票型证券投资基金的基金份额，并将转换后的基金份额进行折算。</w:t>
      </w:r>
      <w:r>
        <w:rPr>
          <w:rFonts w:hint="eastAsia"/>
        </w:rPr>
        <w:br w:type="textWrapping"/>
      </w:r>
      <w:r>
        <w:rPr>
          <w:rFonts w:hint="eastAsia"/>
        </w:rPr>
        <w:t>（2）用于计算折算比例的基金份额净值四舍五入保留到小数点后第9位，创金合信医疗保健股票经折算后的份额数四舍五入保留到小数点后两位，转换及折算结果请查阅基金的相关公告。</w:t>
      </w:r>
    </w:p>
    <w:p>
      <w:pPr>
        <w:widowControl/>
        <w:jc w:val="left"/>
        <w:rPr>
          <w:rFonts w:hint="eastAsia" w:ascii="宋体" w:hAnsi="宋体" w:cs="宋体"/>
          <w:kern w:val="0"/>
          <w:sz w:val="24"/>
          <w:szCs w:val="24"/>
        </w:rPr>
      </w:pPr>
    </w:p>
    <w:p>
      <w:pPr>
        <w:pStyle w:val="20"/>
        <w:rPr>
          <w:rFonts w:hint="eastAsia"/>
        </w:rPr>
      </w:pPr>
      <w:bookmarkStart w:id="85" w:name="_Toc4612820"/>
      <w:r>
        <w:rPr>
          <w:rFonts w:hint="eastAsia"/>
          <w:b/>
          <w:bCs/>
        </w:rPr>
        <w:t>§10  开放式基金份额变动(转型前)</w:t>
      </w:r>
      <w:bookmarkEnd w:id="85"/>
    </w:p>
    <w:p>
      <w:pPr>
        <w:pStyle w:val="26"/>
        <w:rPr>
          <w:rFonts w:hint="eastAsia"/>
        </w:rPr>
      </w:pPr>
      <w:r>
        <w:rPr>
          <w:rFonts w:hint="eastAsia" w:hAnsi="Calibri"/>
          <w:color w:val="000000"/>
        </w:rPr>
        <w:t>单位：份</w:t>
      </w:r>
    </w:p>
    <w:tbl>
      <w:tblPr>
        <w:tblStyle w:val="14"/>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pPr>
            <w:r>
              <w:rPr>
                <w:rFonts w:hint="eastAsia" w:hAnsi="Calibri"/>
                <w:color w:val="000000"/>
              </w:rPr>
              <w:t>创金合信鑫动力混合A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创金合信鑫动力混合C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基金合同生效日(2016年08月30日)基金份额总额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800,103,491.18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124,562.03</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4,100,212.38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60,800.02</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524,959.41</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167,753.69</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260,664.26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86,505.98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4,364,507.53</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26"/>
              <w:wordWrap w:val="0"/>
              <w:rPr>
                <w:rFonts w:hint="eastAsia"/>
              </w:rPr>
            </w:pPr>
            <w:r>
              <w:rPr>
                <w:rFonts w:hint="eastAsia" w:hAnsi="Calibri"/>
                <w:color w:val="000000"/>
              </w:rPr>
              <w:t>142,047.73</w:t>
            </w:r>
          </w:p>
        </w:tc>
      </w:tr>
    </w:tbl>
    <w:p>
      <w:pPr>
        <w:widowControl/>
        <w:jc w:val="left"/>
        <w:rPr>
          <w:rFonts w:hint="eastAsia" w:ascii="宋体" w:hAnsi="宋体" w:cs="宋体"/>
          <w:kern w:val="0"/>
          <w:sz w:val="24"/>
          <w:szCs w:val="24"/>
        </w:rPr>
      </w:pPr>
    </w:p>
    <w:p>
      <w:pPr>
        <w:pStyle w:val="20"/>
        <w:rPr>
          <w:rFonts w:hint="eastAsia"/>
        </w:rPr>
      </w:pPr>
      <w:bookmarkStart w:id="86" w:name="_Toc4612821"/>
      <w:r>
        <w:rPr>
          <w:rFonts w:hint="eastAsia" w:hAnsi="Calibri"/>
          <w:b/>
          <w:color w:val="000000"/>
        </w:rPr>
        <w:t>§11  重大事件揭示</w:t>
      </w:r>
      <w:bookmarkEnd w:id="86"/>
    </w:p>
    <w:p>
      <w:pPr>
        <w:widowControl/>
        <w:jc w:val="left"/>
        <w:rPr>
          <w:rFonts w:hint="eastAsia" w:ascii="宋体" w:hAnsi="宋体" w:cs="宋体"/>
          <w:kern w:val="0"/>
          <w:sz w:val="24"/>
          <w:szCs w:val="24"/>
        </w:rPr>
      </w:pPr>
    </w:p>
    <w:p>
      <w:pPr>
        <w:pStyle w:val="21"/>
        <w:rPr>
          <w:rFonts w:hint="eastAsia"/>
        </w:rPr>
      </w:pPr>
      <w:bookmarkStart w:id="87" w:name="_Toc4612822"/>
      <w:r>
        <w:rPr>
          <w:rFonts w:hint="eastAsia"/>
          <w:b/>
          <w:bCs/>
        </w:rPr>
        <w:t>11.1 基金份额持有人大会决议</w:t>
      </w:r>
      <w:bookmarkEnd w:id="87"/>
    </w:p>
    <w:p>
      <w:pPr>
        <w:pStyle w:val="27"/>
        <w:spacing w:before="0"/>
        <w:ind w:left="0" w:firstLine="480"/>
        <w:rPr>
          <w:rFonts w:hint="eastAsia"/>
        </w:rPr>
      </w:pPr>
      <w:r>
        <w:rPr>
          <w:rFonts w:hint="eastAsia"/>
        </w:rPr>
        <w:t>报告期，本基金以通讯方式召开了基金份额持有人大会，并于2018年10月22日表决通过了《关于创金合信鑫动力灵活配置混合型证券投资基金转型有关事项的议案》，本次大会决议自该日起生效。</w:t>
      </w:r>
    </w:p>
    <w:p>
      <w:pPr>
        <w:widowControl/>
        <w:jc w:val="left"/>
        <w:rPr>
          <w:rFonts w:hint="eastAsia" w:ascii="宋体" w:hAnsi="宋体" w:cs="宋体"/>
          <w:kern w:val="0"/>
          <w:sz w:val="24"/>
          <w:szCs w:val="24"/>
        </w:rPr>
      </w:pPr>
    </w:p>
    <w:p>
      <w:pPr>
        <w:pStyle w:val="21"/>
        <w:rPr>
          <w:rFonts w:hint="eastAsia"/>
        </w:rPr>
      </w:pPr>
      <w:bookmarkStart w:id="88" w:name="_Toc4612823"/>
      <w:r>
        <w:rPr>
          <w:rFonts w:hint="eastAsia"/>
          <w:b/>
          <w:bCs/>
        </w:rPr>
        <w:t>11.2 基金管理人、基金托管人的专门基金托管部门的重大人事变动</w:t>
      </w:r>
      <w:bookmarkEnd w:id="88"/>
    </w:p>
    <w:p>
      <w:pPr>
        <w:pStyle w:val="27"/>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21"/>
        <w:rPr>
          <w:rFonts w:hint="eastAsia"/>
        </w:rPr>
      </w:pPr>
      <w:bookmarkStart w:id="89" w:name="_Toc4612824"/>
      <w:r>
        <w:rPr>
          <w:rFonts w:hint="eastAsia"/>
          <w:b/>
          <w:bCs/>
        </w:rPr>
        <w:t>11.3 涉及基金管理人、基金财产、基金托管业务的诉讼</w:t>
      </w:r>
      <w:bookmarkEnd w:id="89"/>
    </w:p>
    <w:p>
      <w:pPr>
        <w:pStyle w:val="27"/>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21"/>
        <w:rPr>
          <w:rFonts w:hint="eastAsia"/>
        </w:rPr>
      </w:pPr>
      <w:bookmarkStart w:id="90" w:name="_Toc4612825"/>
      <w:r>
        <w:rPr>
          <w:rFonts w:hint="eastAsia"/>
          <w:b/>
          <w:bCs/>
        </w:rPr>
        <w:t>11.4 基金投资策略的改变</w:t>
      </w:r>
      <w:bookmarkEnd w:id="90"/>
    </w:p>
    <w:p>
      <w:pPr>
        <w:pStyle w:val="27"/>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21"/>
        <w:rPr>
          <w:rFonts w:hint="eastAsia"/>
        </w:rPr>
      </w:pPr>
      <w:bookmarkStart w:id="91" w:name="_Toc4612826"/>
      <w:r>
        <w:rPr>
          <w:rFonts w:hint="eastAsia"/>
          <w:b/>
          <w:bCs/>
        </w:rPr>
        <w:t>11.5 为基金进行审计的会计师事务所情况</w:t>
      </w:r>
      <w:bookmarkEnd w:id="91"/>
    </w:p>
    <w:p>
      <w:pPr>
        <w:pStyle w:val="27"/>
        <w:spacing w:before="0"/>
        <w:ind w:left="0" w:firstLine="480"/>
        <w:rPr>
          <w:rFonts w:hint="eastAsia"/>
        </w:rPr>
      </w:pPr>
      <w:r>
        <w:rPr>
          <w:rFonts w:hint="eastAsia"/>
        </w:rPr>
        <w:t xml:space="preserve">本报告期内本基金未更换会计师事务所,本年度支付给普华永道中天会计师事务所(特殊普通合伙)审计费用20,000.00元,该审计机构连续提供审计服务的年限为3年（含转型前）。 </w:t>
      </w:r>
    </w:p>
    <w:p>
      <w:pPr>
        <w:widowControl/>
        <w:jc w:val="left"/>
        <w:rPr>
          <w:rFonts w:hint="eastAsia" w:ascii="宋体" w:hAnsi="宋体" w:cs="宋体"/>
          <w:kern w:val="0"/>
          <w:sz w:val="24"/>
          <w:szCs w:val="24"/>
        </w:rPr>
      </w:pPr>
    </w:p>
    <w:p>
      <w:pPr>
        <w:pStyle w:val="21"/>
        <w:rPr>
          <w:rFonts w:hint="eastAsia"/>
        </w:rPr>
      </w:pPr>
      <w:bookmarkStart w:id="92" w:name="_Toc4612827"/>
      <w:r>
        <w:rPr>
          <w:rFonts w:hint="eastAsia"/>
          <w:b/>
          <w:bCs/>
        </w:rPr>
        <w:t>11.6 管理人、托管人及其高级管理人员受稽查或处罚等情况</w:t>
      </w:r>
      <w:bookmarkEnd w:id="92"/>
    </w:p>
    <w:p>
      <w:pPr>
        <w:pStyle w:val="27"/>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21"/>
        <w:rPr>
          <w:rFonts w:hint="eastAsia"/>
        </w:rPr>
      </w:pPr>
      <w:bookmarkStart w:id="93" w:name="_Toc4612828"/>
      <w:r>
        <w:rPr>
          <w:rFonts w:hint="eastAsia"/>
          <w:b/>
          <w:bCs/>
        </w:rPr>
        <w:t>转型后</w:t>
      </w:r>
      <w:bookmarkEnd w:id="93"/>
    </w:p>
    <w:p>
      <w:pPr>
        <w:pStyle w:val="22"/>
        <w:rPr>
          <w:rFonts w:hint="eastAsia"/>
        </w:rPr>
      </w:pPr>
      <w:r>
        <w:rPr>
          <w:rFonts w:hint="eastAsia"/>
          <w:b/>
          <w:bCs/>
        </w:rPr>
        <w:t>报告期2018年10月31日（基金合同生效日） - 2018年12月31日</w:t>
      </w:r>
    </w:p>
    <w:p>
      <w:pPr>
        <w:pStyle w:val="21"/>
        <w:rPr>
          <w:rFonts w:hint="eastAsia"/>
        </w:rPr>
      </w:pPr>
      <w:bookmarkStart w:id="94" w:name="_Toc4612829"/>
      <w:r>
        <w:rPr>
          <w:rFonts w:hint="eastAsia"/>
          <w:b/>
          <w:bCs/>
        </w:rPr>
        <w:t>11.7 基金租用证券公司交易单元的有关情况</w:t>
      </w:r>
      <w:bookmarkEnd w:id="94"/>
    </w:p>
    <w:p>
      <w:pPr>
        <w:pStyle w:val="22"/>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31,076,345.34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22,297.23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本基金在报告期内成立，交易单元均于本期内新增。</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14"/>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2,715,770.00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5" w:name="_Toc4612830"/>
      <w:r>
        <w:rPr>
          <w:rFonts w:hint="eastAsia"/>
          <w:b/>
          <w:bCs/>
        </w:rPr>
        <w:t>转型前</w:t>
      </w:r>
      <w:bookmarkEnd w:id="95"/>
    </w:p>
    <w:p>
      <w:pPr>
        <w:pStyle w:val="22"/>
        <w:rPr>
          <w:rFonts w:hint="eastAsia"/>
        </w:rPr>
      </w:pPr>
      <w:r>
        <w:rPr>
          <w:rFonts w:hint="eastAsia"/>
          <w:b/>
          <w:bCs/>
        </w:rPr>
        <w:t>报告期2018年01月01日 - 2018年10月30日</w:t>
      </w:r>
    </w:p>
    <w:p>
      <w:pPr>
        <w:pStyle w:val="21"/>
        <w:rPr>
          <w:rFonts w:hint="eastAsia"/>
        </w:rPr>
      </w:pPr>
      <w:bookmarkStart w:id="96" w:name="_Toc4612831"/>
      <w:r>
        <w:rPr>
          <w:rFonts w:hint="eastAsia"/>
          <w:b/>
          <w:bCs/>
        </w:rPr>
        <w:t>11.7 基金租用证券公司交易单元的有关情况</w:t>
      </w:r>
      <w:bookmarkEnd w:id="96"/>
    </w:p>
    <w:p>
      <w:pPr>
        <w:pStyle w:val="22"/>
        <w:rPr>
          <w:rFonts w:hint="eastAsia"/>
        </w:rPr>
      </w:pPr>
      <w:r>
        <w:rPr>
          <w:rFonts w:hint="eastAsia"/>
          <w:b/>
          <w:bCs/>
        </w:rPr>
        <w:t>11.7.1 基金租用证券公司交易单元进行股票投资及佣金支付情况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w:t>
            </w:r>
          </w:p>
        </w:tc>
      </w:tr>
    </w:tbl>
    <w:p>
      <w:pPr>
        <w:pStyle w:val="27"/>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本基金本报告期内无交易单元变更。</w:t>
      </w:r>
    </w:p>
    <w:p>
      <w:pPr>
        <w:widowControl/>
        <w:jc w:val="left"/>
        <w:rPr>
          <w:rFonts w:hint="eastAsia" w:ascii="宋体" w:hAnsi="宋体" w:cs="宋体"/>
          <w:kern w:val="0"/>
          <w:sz w:val="24"/>
          <w:szCs w:val="24"/>
        </w:rPr>
      </w:pPr>
    </w:p>
    <w:p>
      <w:pPr>
        <w:pStyle w:val="22"/>
        <w:rPr>
          <w:rFonts w:hint="eastAsia"/>
        </w:rPr>
      </w:pPr>
      <w:r>
        <w:rPr>
          <w:rFonts w:hint="eastAsia"/>
          <w:b/>
          <w:bCs/>
        </w:rPr>
        <w:t>11.7.2 基金租用证券公司交易单元进行其他证券投资的情况</w:t>
      </w:r>
    </w:p>
    <w:p>
      <w:pPr>
        <w:pStyle w:val="26"/>
        <w:rPr>
          <w:rFonts w:hint="eastAsia"/>
        </w:rPr>
      </w:pPr>
      <w:r>
        <w:rPr>
          <w:rFonts w:hint="eastAsia" w:hAnsi="Calibri"/>
          <w:color w:val="000000"/>
        </w:rPr>
        <w:t>金额单位：人民币元</w:t>
      </w:r>
    </w:p>
    <w:tbl>
      <w:tblPr>
        <w:tblStyle w:val="14"/>
        <w:tblW w:w="9045" w:type="dxa"/>
        <w:tblInd w:w="108" w:type="dxa"/>
        <w:tblLayout w:type="autofit"/>
        <w:tblCellMar>
          <w:top w:w="0" w:type="dxa"/>
          <w:left w:w="108" w:type="dxa"/>
          <w:bottom w:w="0" w:type="dxa"/>
          <w:right w:w="108" w:type="dxa"/>
        </w:tblCellMar>
      </w:tblPr>
      <w:tblGrid>
        <w:gridCol w:w="1501"/>
        <w:gridCol w:w="760"/>
        <w:gridCol w:w="1050"/>
        <w:gridCol w:w="1064"/>
        <w:gridCol w:w="1050"/>
        <w:gridCol w:w="760"/>
        <w:gridCol w:w="1050"/>
        <w:gridCol w:w="760"/>
        <w:gridCol w:w="1050"/>
      </w:tblGrid>
      <w:tr>
        <w:tblPrEx>
          <w:tblCellMar>
            <w:top w:w="0" w:type="dxa"/>
            <w:left w:w="108" w:type="dxa"/>
            <w:bottom w:w="0" w:type="dxa"/>
            <w:right w:w="108" w:type="dxa"/>
          </w:tblCellMar>
        </w:tblPrEx>
        <w:trPr>
          <w:wBefore w:w="0" w:type="auto"/>
        </w:trPr>
        <w:tc>
          <w:tcPr>
            <w:tcW w:w="150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券商名称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49,200,000.00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21"/>
        <w:rPr>
          <w:rFonts w:hint="eastAsia"/>
        </w:rPr>
      </w:pPr>
      <w:bookmarkStart w:id="97" w:name="_Toc4612832"/>
      <w:r>
        <w:rPr>
          <w:rFonts w:hint="eastAsia"/>
          <w:b/>
          <w:bCs/>
        </w:rPr>
        <w:t>11.8 其他重大事件</w:t>
      </w:r>
      <w:bookmarkEnd w:id="97"/>
    </w:p>
    <w:tbl>
      <w:tblPr>
        <w:tblStyle w:val="14"/>
        <w:tblW w:w="9045" w:type="dxa"/>
        <w:tblInd w:w="108" w:type="dxa"/>
        <w:tblLayout w:type="autofit"/>
        <w:tblCellMar>
          <w:top w:w="0" w:type="dxa"/>
          <w:left w:w="108" w:type="dxa"/>
          <w:bottom w:w="0" w:type="dxa"/>
          <w:right w:w="108" w:type="dxa"/>
        </w:tblCellMar>
      </w:tblPr>
      <w:tblGrid>
        <w:gridCol w:w="904"/>
        <w:gridCol w:w="3166"/>
        <w:gridCol w:w="3166"/>
        <w:gridCol w:w="1809"/>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创金合信鑫动力灵活配置混合型证券投资基金2017年第4季度报告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创金合信基金管理有限公司关于创金合信鑫动力灵活配置混合型证券投资基金修订基金合同、托管协议部分条款及调整赎回费相关规则的公告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创金合信鑫动力灵活配置混合型证券投资基金（2017年第2号）招募说明书（更新）（2018年3月修订）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创金合信鑫动力灵活配置混合型证券投资基金（2017年第2号）招募说明书（摘要）（2018年3月修订）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创金合信鑫动力灵活配置混合型证券投资基金基金合同（2018年3月修订）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创金合信鑫动力灵活配置混合型证券投资基金托管协议（2018年3月修订）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创金合信鑫动力灵活配置混合型证券投资基金2017年年度报告摘要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创金合信鑫动力灵活配置混合型证券投资基金2017年年度报告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2018-03-31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2018-08-29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创金合信基金管理有限公司关于以通讯方式召开创金合信鑫动力灵活配置混合型证券投资基金基金份额持有人大会的公告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创金合信基金管理有限公司关于以通讯方式召开创金合信鑫动力灵活配置混合型证券投资基金基金份额持有人大会的第一次提示性公告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创金合信基金管理有限公司关于以通讯方式召开创金合信鑫动力灵活配置混合型证券投资基金基金份额持有人大会的第二次提示性公告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2018-09-26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创金合信鑫动力灵活配置混合型证券投资基金（2018年第2号）招募说明书（更新）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创金合信鑫动力灵活配置混合型证券投资基金招募说明书（更新）摘要（2018年第2号）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创金合信鑫动力灵活配置混合型证券投资基金暂停申购、定期定额投资业务的公告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创金合信鑫动力灵活配置混合型证券投资基金基金份额持有人大会表决结果暨决议生效公告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创金合信鑫动力灵活配置混合型证券投资基金2018年第3季度报告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创金合信医疗保健行业股票型证券投资基金合同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创金合信医疗保健行业股票型证券投资基金基金合同摘要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创金合信医疗保健行业股票型证券投资基金托管协议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创金合信医疗保健行业股票型证券投资基金招募说明书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关于创金合信鑫动力灵活配置混合型证券投资基金转型为创金合信医疗保健行业股票型证券投资基金的提示性公告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创金合信医疗保健行业股票型证券投资基金开放日常申购、赎回、转换及定期定额投资业务的公告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关于创金合信鑫动力灵活配置混合型证券投资基金转型为创金合信医疗保健行业股票型证券投资基金基金份额转换及折算结果的公告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2018-11-29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创金合信基金管理有限公司关于旗下部分基金估值调整情况的公告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hAnsi="Calibri"/>
                <w:color w:val="000000"/>
              </w:rPr>
              <w:t>公司官网、证券时报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2018-12-15</w:t>
            </w:r>
          </w:p>
        </w:tc>
      </w:tr>
    </w:tbl>
    <w:p>
      <w:pPr>
        <w:widowControl/>
        <w:jc w:val="left"/>
        <w:rPr>
          <w:rFonts w:hint="eastAsia" w:ascii="宋体" w:hAnsi="宋体" w:cs="宋体"/>
          <w:kern w:val="0"/>
          <w:sz w:val="24"/>
          <w:szCs w:val="24"/>
        </w:rPr>
      </w:pPr>
    </w:p>
    <w:p>
      <w:pPr>
        <w:pStyle w:val="20"/>
        <w:rPr>
          <w:rFonts w:hint="eastAsia"/>
        </w:rPr>
      </w:pPr>
      <w:bookmarkStart w:id="98" w:name="_Toc4612833"/>
      <w:r>
        <w:rPr>
          <w:rFonts w:hint="eastAsia" w:hAnsi="Calibri"/>
          <w:b/>
          <w:color w:val="000000"/>
        </w:rPr>
        <w:t>§12  影响投资者决策的其他重要信息</w:t>
      </w:r>
      <w:bookmarkEnd w:id="98"/>
    </w:p>
    <w:p>
      <w:pPr>
        <w:widowControl/>
        <w:jc w:val="left"/>
        <w:rPr>
          <w:rFonts w:hint="eastAsia" w:ascii="宋体" w:hAnsi="宋体" w:cs="宋体"/>
          <w:kern w:val="0"/>
          <w:sz w:val="24"/>
          <w:szCs w:val="24"/>
        </w:rPr>
      </w:pPr>
    </w:p>
    <w:p>
      <w:pPr>
        <w:pStyle w:val="21"/>
        <w:rPr>
          <w:rFonts w:hint="eastAsia"/>
        </w:rPr>
      </w:pPr>
      <w:bookmarkStart w:id="99" w:name="_Toc4612834"/>
      <w:r>
        <w:rPr>
          <w:rFonts w:hint="eastAsia"/>
          <w:b/>
          <w:bCs/>
        </w:rPr>
        <w:t>12.1 报告期内单一投资者持有基金份额比例达到或超过20%的情况</w:t>
      </w:r>
      <w:bookmarkEnd w:id="99"/>
    </w:p>
    <w:tbl>
      <w:tblPr>
        <w:tblStyle w:val="14"/>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blPrEx>
          <w:tblCellMar>
            <w:top w:w="0" w:type="dxa"/>
            <w:left w:w="108" w:type="dxa"/>
            <w:bottom w:w="0" w:type="dxa"/>
            <w:right w:w="108" w:type="dxa"/>
          </w:tblCellMar>
        </w:tblPrEx>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25"/>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24"/>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20180101 - 20181227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3,887,812.33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20181108 - 20181231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3,698,500.48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3,698,500.48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right"/>
              <w:rPr>
                <w:rFonts w:hint="eastAsia"/>
              </w:rPr>
            </w:pPr>
            <w:r>
              <w:rPr>
                <w:rFonts w:hint="eastAsia"/>
              </w:rPr>
              <w:t>76.73%</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13"/>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7"/>
              <w:wordWrap w:val="0"/>
              <w:spacing w:before="0"/>
              <w:ind w:left="0" w:firstLine="480"/>
              <w:rPr>
                <w:rFonts w:hint="eastAsia"/>
              </w:rPr>
            </w:pPr>
            <w:r>
              <w:rPr>
                <w:rFonts w:hint="eastAsia"/>
              </w:rPr>
              <w:t>1、大额申购风险</w:t>
            </w:r>
          </w:p>
          <w:p>
            <w:pPr>
              <w:pStyle w:val="27"/>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7"/>
              <w:wordWrap w:val="0"/>
              <w:spacing w:before="0"/>
              <w:ind w:left="0" w:firstLine="480"/>
              <w:rPr>
                <w:rFonts w:hint="eastAsia"/>
              </w:rPr>
            </w:pPr>
            <w:r>
              <w:rPr>
                <w:rFonts w:hint="eastAsia"/>
              </w:rPr>
              <w:t>2、大额赎回风险</w:t>
            </w:r>
          </w:p>
          <w:p>
            <w:pPr>
              <w:pStyle w:val="27"/>
              <w:wordWrap w:val="0"/>
              <w:spacing w:before="0"/>
              <w:ind w:left="0" w:firstLine="480"/>
              <w:rPr>
                <w:rFonts w:hint="eastAsia"/>
              </w:rPr>
            </w:pPr>
            <w:r>
              <w:rPr>
                <w:rFonts w:hint="eastAsia"/>
              </w:rPr>
              <w:t>（1）若本基金在短时间内难以变现足够的资产予以应对，可能导致流动性风险；</w:t>
            </w:r>
          </w:p>
          <w:p>
            <w:pPr>
              <w:pStyle w:val="27"/>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7"/>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7"/>
              <w:wordWrap w:val="0"/>
              <w:spacing w:before="0"/>
              <w:ind w:left="0" w:firstLine="480"/>
              <w:rPr>
                <w:rFonts w:hint="eastAsia"/>
              </w:rPr>
            </w:pPr>
            <w:r>
              <w:rPr>
                <w:rFonts w:hint="eastAsia"/>
              </w:rPr>
              <w:t>（4）因基金净值精度计算问题，可能因赎回费归入基金资产，导致基金净值有较大波动；</w:t>
            </w:r>
          </w:p>
          <w:p>
            <w:pPr>
              <w:pStyle w:val="27"/>
              <w:wordWrap w:val="0"/>
              <w:spacing w:before="0"/>
              <w:ind w:left="0" w:firstLine="480"/>
              <w:rPr>
                <w:rFonts w:hint="eastAsia"/>
              </w:rPr>
            </w:pPr>
            <w:r>
              <w:rPr>
                <w:rFonts w:hint="eastAsia"/>
              </w:rPr>
              <w:t>（5）大额赎回导致基金资产规模过小，不能满足存续条件，可能导致基金合同终止、清算等风险。</w:t>
            </w:r>
          </w:p>
          <w:p>
            <w:pPr>
              <w:pStyle w:val="27"/>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21"/>
        <w:rPr>
          <w:rFonts w:hint="eastAsia"/>
        </w:rPr>
      </w:pPr>
      <w:bookmarkStart w:id="100" w:name="_Toc4612835"/>
      <w:r>
        <w:rPr>
          <w:rFonts w:hint="eastAsia"/>
          <w:b/>
          <w:bCs/>
        </w:rPr>
        <w:t>12.2 影响投资者决策的其他重要信息</w:t>
      </w:r>
      <w:bookmarkEnd w:id="100"/>
    </w:p>
    <w:p>
      <w:pPr>
        <w:pStyle w:val="24"/>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20"/>
        <w:rPr>
          <w:rFonts w:hint="eastAsia"/>
        </w:rPr>
      </w:pPr>
      <w:bookmarkStart w:id="101" w:name="_Toc4612836"/>
      <w:r>
        <w:rPr>
          <w:rFonts w:hint="eastAsia" w:hAnsi="Calibri"/>
          <w:b/>
          <w:color w:val="000000"/>
        </w:rPr>
        <w:t>§13  备查文件目录</w:t>
      </w:r>
      <w:bookmarkEnd w:id="101"/>
    </w:p>
    <w:p>
      <w:pPr>
        <w:widowControl/>
        <w:jc w:val="left"/>
        <w:rPr>
          <w:rFonts w:hint="eastAsia" w:ascii="宋体" w:hAnsi="宋体" w:cs="宋体"/>
          <w:kern w:val="0"/>
          <w:sz w:val="24"/>
          <w:szCs w:val="24"/>
        </w:rPr>
      </w:pPr>
    </w:p>
    <w:p>
      <w:pPr>
        <w:pStyle w:val="21"/>
        <w:rPr>
          <w:rFonts w:hint="eastAsia"/>
        </w:rPr>
      </w:pPr>
      <w:bookmarkStart w:id="102" w:name="_Toc4612837"/>
      <w:r>
        <w:rPr>
          <w:rFonts w:hint="eastAsia"/>
          <w:b/>
          <w:bCs/>
        </w:rPr>
        <w:t>13.1 备查文件目录</w:t>
      </w:r>
      <w:bookmarkEnd w:id="102"/>
    </w:p>
    <w:p>
      <w:pPr>
        <w:pStyle w:val="27"/>
        <w:spacing w:before="0"/>
        <w:ind w:left="0" w:firstLine="480"/>
        <w:rPr>
          <w:rFonts w:hint="eastAsia"/>
        </w:rPr>
      </w:pPr>
      <w:r>
        <w:rPr>
          <w:rFonts w:hint="eastAsia"/>
        </w:rPr>
        <w:t>1、《创金合信医疗保健行业股票型证券投资基金基金合同》、《创金合信鑫动力灵活配置混合型证券投资基金基金合同》；</w:t>
      </w:r>
    </w:p>
    <w:p>
      <w:pPr>
        <w:pStyle w:val="27"/>
        <w:spacing w:before="0"/>
        <w:ind w:left="0" w:firstLine="480"/>
        <w:rPr>
          <w:rFonts w:hint="eastAsia"/>
        </w:rPr>
      </w:pPr>
      <w:r>
        <w:rPr>
          <w:rFonts w:hint="eastAsia"/>
        </w:rPr>
        <w:t>2、《创金合信医疗保健行业股票型证券投资基金托管协议》、《创金合信鑫动力灵活配置混合型证券投资基金托管协议》；</w:t>
      </w:r>
    </w:p>
    <w:p>
      <w:pPr>
        <w:pStyle w:val="27"/>
        <w:spacing w:before="0"/>
        <w:ind w:left="0" w:firstLine="480"/>
        <w:rPr>
          <w:rFonts w:hint="eastAsia"/>
        </w:rPr>
      </w:pPr>
      <w:r>
        <w:rPr>
          <w:rFonts w:hint="eastAsia"/>
        </w:rPr>
        <w:t>3、创金合信医疗保健行业股票型证券投资基金2018年年度报告。</w:t>
      </w:r>
    </w:p>
    <w:p>
      <w:pPr>
        <w:widowControl/>
        <w:jc w:val="left"/>
        <w:rPr>
          <w:rFonts w:hint="eastAsia" w:ascii="宋体" w:hAnsi="宋体" w:cs="宋体"/>
          <w:kern w:val="0"/>
          <w:sz w:val="24"/>
          <w:szCs w:val="24"/>
        </w:rPr>
      </w:pPr>
    </w:p>
    <w:p>
      <w:pPr>
        <w:pStyle w:val="21"/>
        <w:rPr>
          <w:rFonts w:hint="eastAsia"/>
        </w:rPr>
      </w:pPr>
      <w:bookmarkStart w:id="103" w:name="_Toc4612838"/>
      <w:r>
        <w:rPr>
          <w:rFonts w:hint="eastAsia"/>
          <w:b/>
          <w:bCs/>
        </w:rPr>
        <w:t>13.2 存放地点</w:t>
      </w:r>
      <w:bookmarkEnd w:id="103"/>
    </w:p>
    <w:p>
      <w:pPr>
        <w:pStyle w:val="27"/>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21"/>
        <w:rPr>
          <w:rFonts w:hint="eastAsia"/>
        </w:rPr>
      </w:pPr>
      <w:bookmarkStart w:id="104" w:name="_Toc4612839"/>
      <w:r>
        <w:rPr>
          <w:rFonts w:hint="eastAsia"/>
          <w:b/>
          <w:bCs/>
        </w:rPr>
        <w:t>13.3 查阅方式</w:t>
      </w:r>
      <w:bookmarkEnd w:id="104"/>
    </w:p>
    <w:p>
      <w:pPr>
        <w:pStyle w:val="27"/>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26"/>
        <w:rPr>
          <w:rFonts w:hint="eastAsia"/>
        </w:rPr>
      </w:pPr>
      <w:r>
        <w:rPr>
          <w:rFonts w:hint="eastAsia" w:hAnsi="Calibri"/>
          <w:b/>
          <w:bCs/>
          <w:color w:val="000000"/>
        </w:rPr>
        <w:t>创金合信基金管理有限公司</w:t>
      </w:r>
    </w:p>
    <w:p>
      <w:pPr>
        <w:pStyle w:val="26"/>
        <w:rPr>
          <w:rFonts w:hint="eastAsia"/>
        </w:rPr>
      </w:pPr>
      <w:r>
        <w:rPr>
          <w:rFonts w:hint="eastAsia" w:hAnsi="Calibri"/>
          <w:b/>
          <w:bCs/>
          <w:color w:val="000000"/>
        </w:rPr>
        <w:t>二〇一九年三月二十九日</w:t>
      </w:r>
    </w:p>
    <w:p>
      <w:pPr>
        <w:pStyle w:val="31"/>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separate"/>
    </w:r>
    <w:r>
      <w:rPr>
        <w:rStyle w:val="17"/>
        <w:lang/>
      </w:rPr>
      <w:t>21</w:t>
    </w:r>
    <w:r>
      <w:rPr>
        <w:rStyle w:val="17"/>
      </w:rPr>
      <w:fldChar w:fldCharType="end"/>
    </w:r>
  </w:p>
  <w:p>
    <w:pPr>
      <w:pStyle w:val="6"/>
      <w:jc w:val="center"/>
    </w:pPr>
    <w:r>
      <w:rPr>
        <w:rFonts w:hint="eastAsia"/>
      </w:rPr>
      <w:t xml:space="preserve">                   第       页，共118页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7"/>
      </w:rPr>
    </w:pPr>
    <w:r>
      <w:rPr>
        <w:rStyle w:val="17"/>
      </w:rPr>
      <w:fldChar w:fldCharType="begin"/>
    </w:r>
    <w:r>
      <w:rPr>
        <w:rStyle w:val="17"/>
      </w:rPr>
      <w:instrText xml:space="preserve">PAGE  </w:instrText>
    </w:r>
    <w:r>
      <w:rPr>
        <w:rStyle w:val="17"/>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right"/>
      <w:rPr>
        <w:rFonts w:hint="eastAsia"/>
      </w:rPr>
    </w:pPr>
    <w:r>
      <w:rPr>
        <w:rFonts w:hint="eastAsia"/>
      </w:rPr>
      <w:t>创金合信医疗保健行业股票型证券投资基金（原创金合信鑫动力灵活配置混合</w:t>
    </w:r>
  </w:p>
  <w:p>
    <w:pPr>
      <w:pStyle w:val="7"/>
      <w:jc w:val="right"/>
    </w:pPr>
    <w:r>
      <w:rPr>
        <w:rFonts w:hint="eastAsia"/>
      </w:rPr>
      <w:t>型证券投资基金转型）2018年年度报告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0E49"/>
    <w:rsid w:val="00050E49"/>
    <w:rsid w:val="00081CD0"/>
    <w:rsid w:val="00181994"/>
    <w:rsid w:val="003461B5"/>
    <w:rsid w:val="00973622"/>
    <w:rsid w:val="009905B1"/>
    <w:rsid w:val="00C659AC"/>
    <w:rsid w:val="00E61721"/>
    <w:rsid w:val="00F522D6"/>
    <w:rsid w:val="00F67C53"/>
    <w:rsid w:val="00F707EE"/>
    <w:rsid w:val="00F73F86"/>
    <w:rsid w:val="1DC35E0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15">
    <w:name w:val="Default Paragraph Font"/>
    <w:semiHidden/>
    <w:unhideWhenUsed/>
    <w:uiPriority w:val="1"/>
  </w:style>
  <w:style w:type="table" w:default="1" w:styleId="14">
    <w:name w:val="Normal Table"/>
    <w:semiHidden/>
    <w:unhideWhenUsed/>
    <w:uiPriority w:val="99"/>
    <w:tblPr>
      <w:tblStyle w:val="14"/>
      <w:tblCellMar>
        <w:top w:w="0" w:type="dxa"/>
        <w:left w:w="108" w:type="dxa"/>
        <w:bottom w:w="0" w:type="dxa"/>
        <w:right w:w="108" w:type="dxa"/>
      </w:tblCellMar>
    </w:tblPr>
    <w:trPr>
      <w:wBefore w:w="0" w:type="dxa"/>
    </w:trPr>
  </w:style>
  <w:style w:type="paragraph" w:styleId="2">
    <w:name w:val="toc 7"/>
    <w:basedOn w:val="1"/>
    <w:next w:val="1"/>
    <w:unhideWhenUsed/>
    <w:uiPriority w:val="39"/>
    <w:pPr>
      <w:ind w:left="2520" w:leftChars="1200"/>
    </w:pPr>
    <w:rPr>
      <w:rFonts w:cs="Times New Roman"/>
    </w:rPr>
  </w:style>
  <w:style w:type="paragraph" w:styleId="3">
    <w:name w:val="toc 5"/>
    <w:basedOn w:val="1"/>
    <w:next w:val="1"/>
    <w:unhideWhenUsed/>
    <w:uiPriority w:val="39"/>
    <w:pPr>
      <w:ind w:left="1680" w:leftChars="800"/>
    </w:pPr>
    <w:rPr>
      <w:rFonts w:cs="Times New Roman"/>
    </w:rPr>
  </w:style>
  <w:style w:type="paragraph" w:styleId="4">
    <w:name w:val="toc 3"/>
    <w:basedOn w:val="1"/>
    <w:next w:val="1"/>
    <w:unhideWhenUsed/>
    <w:uiPriority w:val="39"/>
    <w:pPr>
      <w:ind w:left="840" w:leftChars="400"/>
    </w:pPr>
    <w:rPr>
      <w:rFonts w:cs="Times New Roman"/>
    </w:rPr>
  </w:style>
  <w:style w:type="paragraph" w:styleId="5">
    <w:name w:val="toc 8"/>
    <w:basedOn w:val="1"/>
    <w:next w:val="1"/>
    <w:unhideWhenUsed/>
    <w:uiPriority w:val="39"/>
    <w:pPr>
      <w:ind w:left="2940" w:leftChars="1400"/>
    </w:pPr>
    <w:rPr>
      <w:rFonts w:cs="Times New Roman"/>
    </w:rPr>
  </w:style>
  <w:style w:type="paragraph" w:styleId="6">
    <w:name w:val="footer"/>
    <w:basedOn w:val="1"/>
    <w:link w:val="33"/>
    <w:unhideWhenUsed/>
    <w:uiPriority w:val="99"/>
    <w:pPr>
      <w:tabs>
        <w:tab w:val="center" w:pos="4153"/>
        <w:tab w:val="right" w:pos="8306"/>
      </w:tabs>
      <w:snapToGrid w:val="0"/>
      <w:jc w:val="left"/>
    </w:pPr>
    <w:rPr>
      <w:sz w:val="18"/>
      <w:szCs w:val="18"/>
    </w:rPr>
  </w:style>
  <w:style w:type="paragraph" w:styleId="7">
    <w:name w:val="header"/>
    <w:basedOn w:val="1"/>
    <w:link w:val="32"/>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4"/>
    <w:basedOn w:val="1"/>
    <w:next w:val="1"/>
    <w:unhideWhenUsed/>
    <w:uiPriority w:val="39"/>
    <w:pPr>
      <w:ind w:left="1260" w:leftChars="600"/>
    </w:pPr>
    <w:rPr>
      <w:rFonts w:cs="Times New Roman"/>
    </w:rPr>
  </w:style>
  <w:style w:type="paragraph" w:styleId="10">
    <w:name w:val="toc 6"/>
    <w:basedOn w:val="1"/>
    <w:next w:val="1"/>
    <w:unhideWhenUsed/>
    <w:uiPriority w:val="39"/>
    <w:pPr>
      <w:ind w:left="2100" w:leftChars="1000"/>
    </w:pPr>
    <w:rPr>
      <w:rFonts w:cs="Times New Roman"/>
    </w:rPr>
  </w:style>
  <w:style w:type="paragraph" w:styleId="11">
    <w:name w:val="toc 2"/>
    <w:basedOn w:val="1"/>
    <w:next w:val="1"/>
    <w:unhideWhenUsed/>
    <w:uiPriority w:val="39"/>
    <w:pPr>
      <w:ind w:left="420" w:leftChars="200"/>
    </w:pPr>
  </w:style>
  <w:style w:type="paragraph" w:styleId="12">
    <w:name w:val="toc 9"/>
    <w:basedOn w:val="1"/>
    <w:next w:val="1"/>
    <w:unhideWhenUsed/>
    <w:uiPriority w:val="39"/>
    <w:pPr>
      <w:ind w:left="3360" w:leftChars="1600"/>
    </w:pPr>
    <w:rPr>
      <w:rFonts w:cs="Times New Roman"/>
    </w:rPr>
  </w:style>
  <w:style w:type="paragraph" w:styleId="13">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6">
    <w:name w:val="Strong"/>
    <w:qFormat/>
    <w:uiPriority w:val="22"/>
    <w:rPr>
      <w:b/>
      <w:bCs/>
    </w:rPr>
  </w:style>
  <w:style w:type="character" w:styleId="17">
    <w:name w:val="page number"/>
    <w:semiHidden/>
    <w:unhideWhenUsed/>
    <w:uiPriority w:val="99"/>
  </w:style>
  <w:style w:type="character" w:styleId="18">
    <w:name w:val="Hyperlink"/>
    <w:unhideWhenUsed/>
    <w:uiPriority w:val="99"/>
    <w:rPr>
      <w:color w:val="0563C1"/>
      <w:u w:val="single"/>
    </w:rPr>
  </w:style>
  <w:style w:type="paragraph" w:customStyle="1" w:styleId="19">
    <w:name w:val="msonormal1"/>
    <w:qFormat/>
    <w:uiPriority w:val="0"/>
    <w:pPr>
      <w:widowControl w:val="0"/>
      <w:jc w:val="both"/>
    </w:pPr>
    <w:rPr>
      <w:kern w:val="2"/>
      <w:sz w:val="21"/>
      <w:szCs w:val="22"/>
      <w:lang w:val="en-US" w:eastAsia="zh-CN" w:bidi="ar-SA"/>
    </w:rPr>
  </w:style>
  <w:style w:type="paragraph" w:customStyle="1" w:styleId="20">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21">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22">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3">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24">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5">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6">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7">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8">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9">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0">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31">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2">
    <w:name w:val="页眉 Char"/>
    <w:link w:val="7"/>
    <w:locked/>
    <w:uiPriority w:val="99"/>
    <w:rPr>
      <w:rFonts w:hint="default" w:ascii="Times New Roman" w:hAnsi="Times New Roman" w:cs="Times New Roman"/>
      <w:sz w:val="18"/>
      <w:szCs w:val="18"/>
    </w:rPr>
  </w:style>
  <w:style w:type="character" w:customStyle="1" w:styleId="33">
    <w:name w:val="页脚 Char"/>
    <w:link w:val="6"/>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115</Pages>
  <Words>12651</Words>
  <Characters>72111</Characters>
  <Lines>600</Lines>
  <Paragraphs>169</Paragraphs>
  <TotalTime>0</TotalTime>
  <ScaleCrop>false</ScaleCrop>
  <LinksUpToDate>false</LinksUpToDate>
  <CharactersWithSpaces>84593</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2019-03-27T12:58:00Z</dcterms:created>
  <dc:creator>石怡翔</dc:creator>
  <cp:lastModifiedBy>Administrator</cp:lastModifiedBy>
  <dcterms:modified xsi:type="dcterms:W3CDTF">2019-12-26T14:07:13Z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