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line="288" w:lineRule="auto"/>
        <w:jc w:val="center"/>
        <w:rPr>
          <w:rFonts w:ascii="Times New Roman" w:hAnsi="Times New Roman"/>
          <w:color w:val="000000"/>
          <w:kern w:val="0"/>
          <w:sz w:val="24"/>
          <w:szCs w:val="24"/>
        </w:rPr>
      </w:pPr>
      <w:bookmarkStart w:id="61" w:name="_GoBack"/>
      <w:bookmarkEnd w:id="61"/>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before="30" w:line="288" w:lineRule="auto"/>
        <w:ind w:left="15"/>
        <w:jc w:val="center"/>
        <w:rPr>
          <w:rFonts w:ascii="Times New Roman" w:hAnsi="Times New Roman"/>
          <w:b/>
          <w:color w:val="000000"/>
          <w:kern w:val="0"/>
          <w:sz w:val="24"/>
          <w:szCs w:val="24"/>
        </w:rPr>
      </w:pPr>
      <w:r>
        <w:rPr>
          <w:rFonts w:hint="eastAsia" w:ascii="Times New Roman" w:hAnsi="Times New Roman"/>
          <w:b/>
          <w:color w:val="000000"/>
          <w:kern w:val="0"/>
          <w:sz w:val="24"/>
          <w:szCs w:val="24"/>
        </w:rPr>
        <w:t>创金合信鑫动力灵活配置混合型证券投资基金</w:t>
      </w:r>
      <w:r>
        <w:rPr>
          <w:rFonts w:ascii="Times New Roman" w:hAnsi="Times New Roman"/>
          <w:b/>
          <w:color w:val="000000"/>
          <w:kern w:val="0"/>
          <w:sz w:val="24"/>
          <w:szCs w:val="24"/>
        </w:rPr>
        <w:t>2016</w:t>
      </w:r>
      <w:r>
        <w:rPr>
          <w:rFonts w:hint="eastAsia" w:ascii="Times New Roman" w:hAnsi="Times New Roman"/>
          <w:b/>
          <w:color w:val="000000"/>
          <w:kern w:val="0"/>
          <w:sz w:val="24"/>
          <w:szCs w:val="24"/>
        </w:rPr>
        <w:t>年年度报告</w:t>
      </w:r>
    </w:p>
    <w:p>
      <w:pPr>
        <w:autoSpaceDE w:val="0"/>
        <w:autoSpaceDN w:val="0"/>
        <w:adjustRightInd w:val="0"/>
        <w:spacing w:line="288" w:lineRule="auto"/>
        <w:jc w:val="center"/>
        <w:rPr>
          <w:rFonts w:ascii="Times New Roman" w:hAnsi="Times New Roman"/>
          <w:b/>
          <w:color w:val="000000"/>
          <w:kern w:val="0"/>
          <w:sz w:val="24"/>
          <w:szCs w:val="24"/>
        </w:rPr>
      </w:pPr>
    </w:p>
    <w:p>
      <w:pPr>
        <w:autoSpaceDE w:val="0"/>
        <w:autoSpaceDN w:val="0"/>
        <w:adjustRightInd w:val="0"/>
        <w:spacing w:before="30" w:line="288" w:lineRule="auto"/>
        <w:ind w:left="15"/>
        <w:jc w:val="center"/>
        <w:rPr>
          <w:rFonts w:ascii="Times New Roman" w:hAnsi="Times New Roman"/>
          <w:b/>
          <w:color w:val="000000"/>
          <w:kern w:val="0"/>
          <w:sz w:val="24"/>
          <w:szCs w:val="24"/>
        </w:rPr>
      </w:pPr>
      <w:r>
        <w:rPr>
          <w:rFonts w:ascii="Times New Roman" w:hAnsi="Times New Roman"/>
          <w:b/>
          <w:color w:val="000000"/>
          <w:kern w:val="0"/>
          <w:sz w:val="24"/>
          <w:szCs w:val="24"/>
        </w:rPr>
        <w:t>2016</w:t>
      </w:r>
      <w:r>
        <w:rPr>
          <w:rFonts w:hint="eastAsia" w:ascii="Times New Roman" w:hAnsi="Times New Roman"/>
          <w:b/>
          <w:color w:val="000000"/>
          <w:kern w:val="0"/>
          <w:sz w:val="24"/>
          <w:szCs w:val="24"/>
        </w:rPr>
        <w:t>年</w:t>
      </w:r>
      <w:r>
        <w:rPr>
          <w:rFonts w:ascii="Times New Roman" w:hAnsi="Times New Roman"/>
          <w:b/>
          <w:color w:val="000000"/>
          <w:kern w:val="0"/>
          <w:sz w:val="24"/>
          <w:szCs w:val="24"/>
        </w:rPr>
        <w:t>12</w:t>
      </w:r>
      <w:r>
        <w:rPr>
          <w:rFonts w:hint="eastAsia" w:ascii="Times New Roman" w:hAnsi="Times New Roman"/>
          <w:b/>
          <w:color w:val="000000"/>
          <w:kern w:val="0"/>
          <w:sz w:val="24"/>
          <w:szCs w:val="24"/>
        </w:rPr>
        <w:t>月</w:t>
      </w:r>
      <w:r>
        <w:rPr>
          <w:rFonts w:ascii="Times New Roman" w:hAnsi="Times New Roman"/>
          <w:b/>
          <w:color w:val="000000"/>
          <w:kern w:val="0"/>
          <w:sz w:val="24"/>
          <w:szCs w:val="24"/>
        </w:rPr>
        <w:t>31</w:t>
      </w:r>
      <w:r>
        <w:rPr>
          <w:rFonts w:hint="eastAsia" w:ascii="Times New Roman" w:hAnsi="Times New Roman"/>
          <w:b/>
          <w:color w:val="000000"/>
          <w:kern w:val="0"/>
          <w:sz w:val="24"/>
          <w:szCs w:val="24"/>
        </w:rPr>
        <w:t>日</w:t>
      </w:r>
    </w:p>
    <w:p>
      <w:pPr>
        <w:autoSpaceDE w:val="0"/>
        <w:autoSpaceDN w:val="0"/>
        <w:adjustRightInd w:val="0"/>
        <w:spacing w:line="288" w:lineRule="auto"/>
        <w:jc w:val="center"/>
        <w:rPr>
          <w:rFonts w:ascii="Times New Roman" w:hAnsi="Times New Roman"/>
          <w:b/>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before="30" w:line="288" w:lineRule="auto"/>
        <w:ind w:left="15" w:firstLine="482"/>
        <w:jc w:val="center"/>
        <w:rPr>
          <w:rFonts w:ascii="Times New Roman" w:hAnsi="Times New Roman"/>
          <w:b/>
          <w:color w:val="000000"/>
          <w:kern w:val="0"/>
          <w:sz w:val="24"/>
          <w:szCs w:val="24"/>
        </w:rPr>
      </w:pPr>
      <w:r>
        <w:rPr>
          <w:rFonts w:hint="eastAsia" w:ascii="Times New Roman" w:hAnsi="Times New Roman"/>
          <w:b/>
          <w:color w:val="000000"/>
          <w:kern w:val="0"/>
          <w:sz w:val="24"/>
          <w:szCs w:val="24"/>
        </w:rPr>
        <w:t>基金管理人：创金合信基金管理有限公司</w:t>
      </w: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before="30" w:line="288" w:lineRule="auto"/>
        <w:ind w:left="15" w:firstLine="482"/>
        <w:jc w:val="center"/>
        <w:rPr>
          <w:rFonts w:ascii="Times New Roman" w:hAnsi="Times New Roman"/>
          <w:b/>
          <w:color w:val="000000"/>
          <w:kern w:val="0"/>
          <w:sz w:val="24"/>
          <w:szCs w:val="24"/>
        </w:rPr>
      </w:pPr>
      <w:r>
        <w:rPr>
          <w:rFonts w:hint="eastAsia" w:ascii="Times New Roman" w:hAnsi="Times New Roman"/>
          <w:b/>
          <w:color w:val="000000"/>
          <w:kern w:val="0"/>
          <w:sz w:val="24"/>
          <w:szCs w:val="24"/>
        </w:rPr>
        <w:t>基金托管人：中国邮政储蓄银行股份有限公司</w:t>
      </w: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before="30" w:line="288" w:lineRule="auto"/>
        <w:ind w:left="15" w:firstLine="482"/>
        <w:jc w:val="center"/>
        <w:rPr>
          <w:rFonts w:ascii="Times New Roman" w:hAnsi="Times New Roman"/>
          <w:b/>
          <w:color w:val="000000"/>
          <w:kern w:val="0"/>
          <w:sz w:val="24"/>
          <w:szCs w:val="24"/>
        </w:rPr>
      </w:pPr>
      <w:r>
        <w:rPr>
          <w:rFonts w:hint="eastAsia" w:ascii="Times New Roman" w:hAnsi="Times New Roman"/>
          <w:b/>
          <w:color w:val="000000"/>
          <w:kern w:val="0"/>
          <w:sz w:val="24"/>
          <w:szCs w:val="24"/>
        </w:rPr>
        <w:t>送出日期：</w:t>
      </w:r>
      <w:r>
        <w:rPr>
          <w:rFonts w:ascii="Times New Roman" w:hAnsi="Times New Roman"/>
          <w:b/>
          <w:color w:val="000000"/>
          <w:kern w:val="0"/>
          <w:sz w:val="24"/>
          <w:szCs w:val="24"/>
        </w:rPr>
        <w:t>2017</w:t>
      </w:r>
      <w:r>
        <w:rPr>
          <w:rFonts w:hint="eastAsia" w:ascii="Times New Roman" w:hAnsi="Times New Roman"/>
          <w:b/>
          <w:color w:val="000000"/>
          <w:kern w:val="0"/>
          <w:sz w:val="24"/>
          <w:szCs w:val="24"/>
        </w:rPr>
        <w:t>年</w:t>
      </w:r>
      <w:r>
        <w:rPr>
          <w:rFonts w:ascii="Times New Roman" w:hAnsi="Times New Roman"/>
          <w:b/>
          <w:color w:val="000000"/>
          <w:kern w:val="0"/>
          <w:sz w:val="24"/>
          <w:szCs w:val="24"/>
        </w:rPr>
        <w:t>03</w:t>
      </w:r>
      <w:r>
        <w:rPr>
          <w:rFonts w:hint="eastAsia" w:ascii="Times New Roman" w:hAnsi="Times New Roman"/>
          <w:b/>
          <w:color w:val="000000"/>
          <w:kern w:val="0"/>
          <w:sz w:val="24"/>
          <w:szCs w:val="24"/>
        </w:rPr>
        <w:t>月</w:t>
      </w:r>
      <w:r>
        <w:rPr>
          <w:rFonts w:ascii="Times New Roman" w:hAnsi="Times New Roman"/>
          <w:b/>
          <w:color w:val="000000"/>
          <w:kern w:val="0"/>
          <w:sz w:val="24"/>
          <w:szCs w:val="24"/>
        </w:rPr>
        <w:t>27</w:t>
      </w:r>
      <w:r>
        <w:rPr>
          <w:rFonts w:hint="eastAsia" w:ascii="Times New Roman" w:hAnsi="Times New Roman"/>
          <w:b/>
          <w:color w:val="000000"/>
          <w:kern w:val="0"/>
          <w:sz w:val="24"/>
          <w:szCs w:val="24"/>
        </w:rPr>
        <w:t>日</w:t>
      </w:r>
    </w:p>
    <w:p>
      <w:pPr>
        <w:autoSpaceDE w:val="0"/>
        <w:autoSpaceDN w:val="0"/>
        <w:adjustRightInd w:val="0"/>
        <w:spacing w:line="288" w:lineRule="auto"/>
        <w:jc w:val="left"/>
        <w:rPr>
          <w:rFonts w:ascii="Times New Roman" w:hAnsi="Times New Roman"/>
          <w:kern w:val="0"/>
          <w:sz w:val="24"/>
          <w:szCs w:val="24"/>
        </w:rPr>
        <w:sectPr>
          <w:headerReference r:id="rId3" w:type="default"/>
          <w:footerReference r:id="rId4" w:type="default"/>
          <w:pgSz w:w="11926" w:h="16867"/>
          <w:pgMar w:top="1420" w:right="1420" w:bottom="852" w:left="1420" w:header="851" w:footer="992" w:gutter="0"/>
          <w:cols w:space="720" w:num="1"/>
        </w:sectPr>
      </w:pPr>
    </w:p>
    <w:p>
      <w:pPr>
        <w:autoSpaceDE w:val="0"/>
        <w:autoSpaceDN w:val="0"/>
        <w:adjustRightInd w:val="0"/>
        <w:spacing w:before="30" w:line="288" w:lineRule="auto"/>
        <w:ind w:left="15"/>
        <w:jc w:val="center"/>
        <w:outlineLvl w:val="0"/>
        <w:rPr>
          <w:rFonts w:ascii="Times New Roman" w:hAnsi="Times New Roman"/>
          <w:b/>
          <w:color w:val="000000"/>
          <w:kern w:val="0"/>
          <w:sz w:val="24"/>
          <w:szCs w:val="24"/>
        </w:rPr>
      </w:pPr>
      <w:bookmarkStart w:id="0" w:name="_Toc477955708"/>
      <w:r>
        <w:rPr>
          <w:rFonts w:hint="eastAsia" w:ascii="Times New Roman" w:hAnsi="Times New Roman"/>
          <w:b/>
          <w:color w:val="000000"/>
          <w:kern w:val="0"/>
          <w:sz w:val="24"/>
          <w:szCs w:val="24"/>
        </w:rPr>
        <w:t>§</w:t>
      </w:r>
      <w:r>
        <w:rPr>
          <w:rFonts w:ascii="Times New Roman" w:hAnsi="Times New Roman"/>
          <w:b/>
          <w:color w:val="000000"/>
          <w:kern w:val="0"/>
          <w:sz w:val="24"/>
          <w:szCs w:val="24"/>
        </w:rPr>
        <w:t xml:space="preserve">1  </w:t>
      </w:r>
      <w:r>
        <w:rPr>
          <w:rFonts w:hint="eastAsia" w:ascii="Times New Roman" w:hAnsi="Times New Roman"/>
          <w:b/>
          <w:color w:val="000000"/>
          <w:kern w:val="0"/>
          <w:sz w:val="24"/>
          <w:szCs w:val="24"/>
        </w:rPr>
        <w:t>重要提示及目录</w:t>
      </w:r>
      <w:bookmarkEnd w:id="0"/>
    </w:p>
    <w:p>
      <w:pPr>
        <w:autoSpaceDE w:val="0"/>
        <w:autoSpaceDN w:val="0"/>
        <w:adjustRightInd w:val="0"/>
        <w:spacing w:line="288" w:lineRule="auto"/>
        <w:jc w:val="left"/>
        <w:rPr>
          <w:rFonts w:ascii="Times New Roman" w:hAnsi="Times New Roman"/>
          <w:color w:val="000000"/>
          <w:kern w:val="0"/>
          <w:sz w:val="24"/>
          <w:szCs w:val="24"/>
        </w:rPr>
      </w:pPr>
    </w:p>
    <w:p>
      <w:pPr>
        <w:autoSpaceDE w:val="0"/>
        <w:autoSpaceDN w:val="0"/>
        <w:adjustRightInd w:val="0"/>
        <w:spacing w:before="30" w:line="288" w:lineRule="auto"/>
        <w:ind w:left="15"/>
        <w:jc w:val="left"/>
        <w:outlineLvl w:val="1"/>
        <w:rPr>
          <w:rFonts w:ascii="Times New Roman" w:hAnsi="Times New Roman"/>
          <w:b/>
          <w:color w:val="000000"/>
          <w:kern w:val="0"/>
          <w:sz w:val="24"/>
          <w:szCs w:val="24"/>
        </w:rPr>
      </w:pPr>
      <w:bookmarkStart w:id="1" w:name="_Toc477955709"/>
      <w:r>
        <w:rPr>
          <w:rFonts w:ascii="Times New Roman" w:hAnsi="Times New Roman"/>
          <w:b/>
          <w:color w:val="000000"/>
          <w:kern w:val="0"/>
          <w:sz w:val="24"/>
          <w:szCs w:val="24"/>
        </w:rPr>
        <w:t xml:space="preserve">1.1 </w:t>
      </w:r>
      <w:r>
        <w:rPr>
          <w:rFonts w:hint="eastAsia" w:ascii="Times New Roman" w:hAnsi="Times New Roman"/>
          <w:b/>
          <w:color w:val="000000"/>
          <w:kern w:val="0"/>
          <w:sz w:val="24"/>
          <w:szCs w:val="24"/>
        </w:rPr>
        <w:t>重要提示</w:t>
      </w:r>
      <w:bookmarkEnd w:id="1"/>
    </w:p>
    <w:tbl>
      <w:tblPr>
        <w:tblStyle w:val="10"/>
        <w:tblW w:w="0" w:type="auto"/>
        <w:tblInd w:w="108" w:type="dxa"/>
        <w:tblLayout w:type="fixed"/>
        <w:tblCellMar>
          <w:top w:w="0" w:type="dxa"/>
          <w:left w:w="108" w:type="dxa"/>
          <w:bottom w:w="0" w:type="dxa"/>
          <w:right w:w="108" w:type="dxa"/>
        </w:tblCellMar>
      </w:tblPr>
      <w:tblGrid>
        <w:gridCol w:w="8970"/>
      </w:tblGrid>
      <w:tr>
        <w:tblPrEx>
          <w:tblCellMar>
            <w:top w:w="0" w:type="dxa"/>
            <w:left w:w="108" w:type="dxa"/>
            <w:bottom w:w="0" w:type="dxa"/>
            <w:right w:w="108" w:type="dxa"/>
          </w:tblCellMar>
        </w:tblPrEx>
        <w:trPr>
          <w:wBefore w:w="0" w:type="auto"/>
        </w:trPr>
        <w:tc>
          <w:tcPr>
            <w:tcW w:w="897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30"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基金管理人的董事会、董事保证本报告所载资料不存在虚假记载、误导性陈述或重大遗漏，并对其内容的真实性、准确性和完整性承担个别及连带的法律责任。本年度报告已经三分之二以上独立董事签字同意，并由董事长签发。</w:t>
            </w:r>
          </w:p>
          <w:p>
            <w:pPr>
              <w:autoSpaceDE w:val="0"/>
              <w:autoSpaceDN w:val="0"/>
              <w:adjustRightInd w:val="0"/>
              <w:spacing w:before="30"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基金托管人中国邮政储蓄银行股份有限公司根据本基金合同规定，于</w:t>
            </w:r>
            <w:r>
              <w:rPr>
                <w:rFonts w:ascii="Times New Roman" w:hAnsi="Times New Roman"/>
                <w:color w:val="000000"/>
                <w:kern w:val="0"/>
                <w:sz w:val="24"/>
                <w:szCs w:val="24"/>
              </w:rPr>
              <w:t>2017</w:t>
            </w:r>
            <w:r>
              <w:rPr>
                <w:rFonts w:hint="eastAsia" w:ascii="Times New Roman" w:hAnsi="Times New Roman"/>
                <w:color w:val="000000"/>
                <w:kern w:val="0"/>
                <w:sz w:val="24"/>
                <w:szCs w:val="24"/>
              </w:rPr>
              <w:t>年</w:t>
            </w:r>
            <w:r>
              <w:rPr>
                <w:rFonts w:ascii="Times New Roman" w:hAnsi="Times New Roman"/>
                <w:color w:val="000000"/>
                <w:kern w:val="0"/>
                <w:sz w:val="24"/>
                <w:szCs w:val="24"/>
              </w:rPr>
              <w:t>3</w:t>
            </w:r>
            <w:r>
              <w:rPr>
                <w:rFonts w:hint="eastAsia" w:ascii="Times New Roman" w:hAnsi="Times New Roman"/>
                <w:color w:val="000000"/>
                <w:kern w:val="0"/>
                <w:sz w:val="24"/>
                <w:szCs w:val="24"/>
              </w:rPr>
              <w:t>月</w:t>
            </w:r>
            <w:r>
              <w:rPr>
                <w:rFonts w:ascii="Times New Roman" w:hAnsi="Times New Roman"/>
                <w:color w:val="000000"/>
                <w:kern w:val="0"/>
                <w:sz w:val="24"/>
                <w:szCs w:val="24"/>
              </w:rPr>
              <w:t>22</w:t>
            </w:r>
            <w:r>
              <w:rPr>
                <w:rFonts w:hint="eastAsia" w:ascii="Times New Roman" w:hAnsi="Times New Roman"/>
                <w:color w:val="000000"/>
                <w:kern w:val="0"/>
                <w:sz w:val="24"/>
                <w:szCs w:val="24"/>
              </w:rPr>
              <w:t>日复核了本报告中的财务指标、净值表现、利润分配情况、财务会计报告、投资组合报告等内容，保证复核内容不存在虚假记载、误导性陈述或者重大遗漏。　　</w:t>
            </w:r>
          </w:p>
          <w:p>
            <w:pPr>
              <w:autoSpaceDE w:val="0"/>
              <w:autoSpaceDN w:val="0"/>
              <w:adjustRightInd w:val="0"/>
              <w:spacing w:before="30"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基金管理人承诺以诚实信用、勤勉尽责的原则管理和运用基金资产，但不保证基金一定盈利。</w:t>
            </w:r>
          </w:p>
          <w:p>
            <w:pPr>
              <w:autoSpaceDE w:val="0"/>
              <w:autoSpaceDN w:val="0"/>
              <w:adjustRightInd w:val="0"/>
              <w:spacing w:before="30"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基金的过往业绩并不代表其未来表现。投资有风险，投资者在作出投资决策前应仔细阅读本基金的招募说明书及其更新。</w:t>
            </w:r>
          </w:p>
          <w:p>
            <w:pPr>
              <w:autoSpaceDE w:val="0"/>
              <w:autoSpaceDN w:val="0"/>
              <w:adjustRightInd w:val="0"/>
              <w:spacing w:before="30"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本报告期自</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30</w:t>
            </w:r>
            <w:r>
              <w:rPr>
                <w:rFonts w:hint="eastAsia" w:ascii="Times New Roman" w:hAnsi="Times New Roman"/>
                <w:color w:val="000000"/>
                <w:kern w:val="0"/>
                <w:sz w:val="24"/>
                <w:szCs w:val="24"/>
              </w:rPr>
              <w:t>日起至</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日止。</w:t>
            </w:r>
          </w:p>
        </w:tc>
      </w:tr>
    </w:tbl>
    <w:p>
      <w:pPr>
        <w:autoSpaceDE w:val="0"/>
        <w:autoSpaceDN w:val="0"/>
        <w:adjustRightInd w:val="0"/>
        <w:spacing w:line="288" w:lineRule="auto"/>
        <w:jc w:val="left"/>
        <w:rPr>
          <w:rFonts w:ascii="Times New Roman" w:hAnsi="Times New Roman"/>
          <w:kern w:val="0"/>
          <w:sz w:val="24"/>
          <w:szCs w:val="24"/>
        </w:rPr>
        <w:sectPr>
          <w:pgSz w:w="11926" w:h="16867"/>
          <w:pgMar w:top="1420" w:right="1420" w:bottom="852" w:left="1420" w:header="851" w:footer="992" w:gutter="0"/>
          <w:cols w:space="720" w:num="1"/>
        </w:sectPr>
      </w:pPr>
    </w:p>
    <w:p>
      <w:pPr>
        <w:autoSpaceDE w:val="0"/>
        <w:autoSpaceDN w:val="0"/>
        <w:adjustRightInd w:val="0"/>
        <w:spacing w:before="30" w:line="288" w:lineRule="auto"/>
        <w:ind w:left="15"/>
        <w:jc w:val="left"/>
        <w:outlineLvl w:val="1"/>
        <w:rPr>
          <w:rFonts w:ascii="Times New Roman" w:hAnsi="Times New Roman"/>
          <w:b/>
          <w:color w:val="000000"/>
          <w:kern w:val="0"/>
          <w:sz w:val="24"/>
          <w:szCs w:val="24"/>
        </w:rPr>
      </w:pPr>
      <w:bookmarkStart w:id="2" w:name="_Toc477955710"/>
      <w:r>
        <w:rPr>
          <w:rFonts w:ascii="Times New Roman" w:hAnsi="Times New Roman"/>
          <w:b/>
          <w:color w:val="000000"/>
          <w:kern w:val="0"/>
          <w:sz w:val="24"/>
          <w:szCs w:val="24"/>
        </w:rPr>
        <w:t xml:space="preserve">1.2  </w:t>
      </w:r>
      <w:r>
        <w:rPr>
          <w:rFonts w:hint="eastAsia" w:ascii="Times New Roman" w:hAnsi="Times New Roman"/>
          <w:b/>
          <w:color w:val="000000"/>
          <w:kern w:val="0"/>
          <w:sz w:val="24"/>
          <w:szCs w:val="24"/>
        </w:rPr>
        <w:t>目录</w:t>
      </w:r>
      <w:bookmarkEnd w:id="2"/>
    </w:p>
    <w:p>
      <w:pPr>
        <w:pStyle w:val="7"/>
        <w:tabs>
          <w:tab w:val="right" w:leader="dot" w:pos="9076"/>
        </w:tabs>
        <w:rPr>
          <w:lang/>
        </w:rPr>
      </w:pPr>
      <w:r>
        <w:rPr>
          <w:rFonts w:ascii="Times New Roman" w:hAnsi="Times New Roman"/>
          <w:b/>
          <w:color w:val="000000"/>
          <w:kern w:val="0"/>
          <w:sz w:val="24"/>
          <w:szCs w:val="24"/>
        </w:rPr>
        <w:fldChar w:fldCharType="begin"/>
      </w:r>
      <w:r>
        <w:rPr>
          <w:rFonts w:ascii="Times New Roman" w:hAnsi="Times New Roman"/>
          <w:b/>
          <w:color w:val="000000"/>
          <w:kern w:val="0"/>
          <w:sz w:val="24"/>
          <w:szCs w:val="24"/>
        </w:rPr>
        <w:instrText xml:space="preserve"> TOC \o "1-2" \h \z \u </w:instrText>
      </w:r>
      <w:r>
        <w:rPr>
          <w:rFonts w:ascii="Times New Roman" w:hAnsi="Times New Roman"/>
          <w:b/>
          <w:color w:val="000000"/>
          <w:kern w:val="0"/>
          <w:sz w:val="24"/>
          <w:szCs w:val="24"/>
        </w:rPr>
        <w:fldChar w:fldCharType="separate"/>
      </w:r>
      <w:r>
        <w:rPr>
          <w:rStyle w:val="12"/>
          <w:lang/>
        </w:rPr>
        <w:fldChar w:fldCharType="begin"/>
      </w:r>
      <w:r>
        <w:rPr>
          <w:rStyle w:val="12"/>
          <w:lang/>
        </w:rPr>
        <w:instrText xml:space="preserve"> </w:instrText>
      </w:r>
      <w:r>
        <w:rPr>
          <w:lang/>
        </w:rPr>
        <w:instrText xml:space="preserve">HYPERLINK \l "_Toc477955708"</w:instrText>
      </w:r>
      <w:r>
        <w:rPr>
          <w:rStyle w:val="12"/>
          <w:lang/>
        </w:rPr>
        <w:instrText xml:space="preserve"> </w:instrText>
      </w:r>
      <w:r>
        <w:rPr>
          <w:rStyle w:val="12"/>
          <w:lang/>
        </w:rPr>
        <w:fldChar w:fldCharType="separate"/>
      </w:r>
      <w:r>
        <w:rPr>
          <w:rStyle w:val="12"/>
          <w:rFonts w:ascii="Times New Roman" w:hAnsi="Times New Roman"/>
          <w:b/>
          <w:kern w:val="0"/>
          <w:lang/>
        </w:rPr>
        <w:t xml:space="preserve">§1  </w:t>
      </w:r>
      <w:r>
        <w:rPr>
          <w:rStyle w:val="12"/>
          <w:rFonts w:hint="eastAsia" w:ascii="Times New Roman" w:hAnsi="Times New Roman"/>
          <w:b/>
          <w:kern w:val="0"/>
          <w:lang/>
        </w:rPr>
        <w:t>重要提示及目录</w:t>
      </w:r>
      <w:r>
        <w:rPr>
          <w:lang/>
        </w:rPr>
        <w:tab/>
      </w:r>
      <w:r>
        <w:rPr>
          <w:lang/>
        </w:rPr>
        <w:fldChar w:fldCharType="begin"/>
      </w:r>
      <w:r>
        <w:rPr>
          <w:lang/>
        </w:rPr>
        <w:instrText xml:space="preserve"> PAGEREF _Toc477955708 \h </w:instrText>
      </w:r>
      <w:r>
        <w:rPr>
          <w:lang/>
        </w:rPr>
        <w:fldChar w:fldCharType="separate"/>
      </w:r>
      <w:r>
        <w:rPr>
          <w:lang/>
        </w:rPr>
        <w:t>2</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"_Toc477955709"</w:instrText>
      </w:r>
      <w:r>
        <w:rPr>
          <w:rStyle w:val="12"/>
          <w:lang/>
        </w:rPr>
        <w:instrText xml:space="preserve"> </w:instrText>
      </w:r>
      <w:r>
        <w:rPr>
          <w:rStyle w:val="12"/>
          <w:lang/>
        </w:rPr>
        <w:fldChar w:fldCharType="separate"/>
      </w:r>
      <w:r>
        <w:rPr>
          <w:rStyle w:val="12"/>
          <w:rFonts w:ascii="Times New Roman" w:hAnsi="Times New Roman"/>
          <w:b/>
          <w:kern w:val="0"/>
          <w:lang/>
        </w:rPr>
        <w:t xml:space="preserve">1.1 </w:t>
      </w:r>
      <w:r>
        <w:rPr>
          <w:rStyle w:val="12"/>
          <w:rFonts w:hint="eastAsia" w:ascii="Times New Roman" w:hAnsi="Times New Roman"/>
          <w:b/>
          <w:kern w:val="0"/>
          <w:lang/>
        </w:rPr>
        <w:t>重要提示</w:t>
      </w:r>
      <w:r>
        <w:rPr>
          <w:lang/>
        </w:rPr>
        <w:tab/>
      </w:r>
      <w:r>
        <w:rPr>
          <w:lang/>
        </w:rPr>
        <w:fldChar w:fldCharType="begin"/>
      </w:r>
      <w:r>
        <w:rPr>
          <w:lang/>
        </w:rPr>
        <w:instrText xml:space="preserve"> PAGEREF _Toc477955709 \h </w:instrText>
      </w:r>
      <w:r>
        <w:rPr>
          <w:lang/>
        </w:rPr>
        <w:fldChar w:fldCharType="separate"/>
      </w:r>
      <w:r>
        <w:rPr>
          <w:lang/>
        </w:rPr>
        <w:t>2</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"_Toc477955710"</w:instrText>
      </w:r>
      <w:r>
        <w:rPr>
          <w:rStyle w:val="12"/>
          <w:lang/>
        </w:rPr>
        <w:instrText xml:space="preserve"> </w:instrText>
      </w:r>
      <w:r>
        <w:rPr>
          <w:rStyle w:val="12"/>
          <w:lang/>
        </w:rPr>
        <w:fldChar w:fldCharType="separate"/>
      </w:r>
      <w:r>
        <w:rPr>
          <w:rStyle w:val="12"/>
          <w:rFonts w:ascii="Times New Roman" w:hAnsi="Times New Roman"/>
          <w:b/>
          <w:kern w:val="0"/>
          <w:lang/>
        </w:rPr>
        <w:t xml:space="preserve">1.2  </w:t>
      </w:r>
      <w:r>
        <w:rPr>
          <w:rStyle w:val="12"/>
          <w:rFonts w:hint="eastAsia" w:ascii="Times New Roman" w:hAnsi="Times New Roman"/>
          <w:b/>
          <w:kern w:val="0"/>
          <w:lang/>
        </w:rPr>
        <w:t>目录</w:t>
      </w:r>
      <w:r>
        <w:rPr>
          <w:lang/>
        </w:rPr>
        <w:tab/>
      </w:r>
      <w:r>
        <w:rPr>
          <w:lang/>
        </w:rPr>
        <w:fldChar w:fldCharType="begin"/>
      </w:r>
      <w:r>
        <w:rPr>
          <w:lang/>
        </w:rPr>
        <w:instrText xml:space="preserve"> PAGEREF _Toc477955710 \h </w:instrText>
      </w:r>
      <w:r>
        <w:rPr>
          <w:lang/>
        </w:rPr>
        <w:fldChar w:fldCharType="separate"/>
      </w:r>
      <w:r>
        <w:rPr>
          <w:lang/>
        </w:rPr>
        <w:t>3</w:t>
      </w:r>
      <w:r>
        <w:rPr>
          <w:lang/>
        </w:rPr>
        <w:fldChar w:fldCharType="end"/>
      </w:r>
      <w:r>
        <w:rPr>
          <w:rStyle w:val="12"/>
          <w:lang/>
        </w:rPr>
        <w:fldChar w:fldCharType="end"/>
      </w:r>
    </w:p>
    <w:p>
      <w:pPr>
        <w:pStyle w:val="7"/>
        <w:tabs>
          <w:tab w:val="right" w:leader="dot" w:pos="9076"/>
        </w:tabs>
        <w:rPr>
          <w:lang/>
        </w:rPr>
      </w:pPr>
      <w:r>
        <w:rPr>
          <w:rStyle w:val="12"/>
          <w:lang/>
        </w:rPr>
        <w:fldChar w:fldCharType="begin"/>
      </w:r>
      <w:r>
        <w:rPr>
          <w:rStyle w:val="12"/>
          <w:lang/>
        </w:rPr>
        <w:instrText xml:space="preserve"> </w:instrText>
      </w:r>
      <w:r>
        <w:rPr>
          <w:lang/>
        </w:rPr>
        <w:instrText xml:space="preserve">HYPERLINK \l "_Toc477955711"</w:instrText>
      </w:r>
      <w:r>
        <w:rPr>
          <w:rStyle w:val="12"/>
          <w:lang/>
        </w:rPr>
        <w:instrText xml:space="preserve"> </w:instrText>
      </w:r>
      <w:r>
        <w:rPr>
          <w:rStyle w:val="12"/>
          <w:lang/>
        </w:rPr>
        <w:fldChar w:fldCharType="separate"/>
      </w:r>
      <w:r>
        <w:rPr>
          <w:rStyle w:val="12"/>
          <w:rFonts w:ascii="Times New Roman" w:hAnsi="Times New Roman"/>
          <w:b/>
          <w:kern w:val="0"/>
          <w:lang/>
        </w:rPr>
        <w:t xml:space="preserve">§2  </w:t>
      </w:r>
      <w:r>
        <w:rPr>
          <w:rStyle w:val="12"/>
          <w:rFonts w:hint="eastAsia" w:ascii="Times New Roman" w:hAnsi="Times New Roman"/>
          <w:b/>
          <w:kern w:val="0"/>
          <w:lang/>
        </w:rPr>
        <w:t>基金简介</w:t>
      </w:r>
      <w:r>
        <w:rPr>
          <w:lang/>
        </w:rPr>
        <w:tab/>
      </w:r>
      <w:r>
        <w:rPr>
          <w:lang/>
        </w:rPr>
        <w:fldChar w:fldCharType="begin"/>
      </w:r>
      <w:r>
        <w:rPr>
          <w:lang/>
        </w:rPr>
        <w:instrText xml:space="preserve"> PAGEREF _Toc477955711 \h </w:instrText>
      </w:r>
      <w:r>
        <w:rPr>
          <w:lang/>
        </w:rPr>
        <w:fldChar w:fldCharType="separate"/>
      </w:r>
      <w:r>
        <w:rPr>
          <w:lang/>
        </w:rPr>
        <w:t>5</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"_Toc477955712"</w:instrText>
      </w:r>
      <w:r>
        <w:rPr>
          <w:rStyle w:val="12"/>
          <w:lang/>
        </w:rPr>
        <w:instrText xml:space="preserve"> </w:instrText>
      </w:r>
      <w:r>
        <w:rPr>
          <w:rStyle w:val="12"/>
          <w:lang/>
        </w:rPr>
        <w:fldChar w:fldCharType="separate"/>
      </w:r>
      <w:r>
        <w:rPr>
          <w:rStyle w:val="12"/>
          <w:rFonts w:ascii="Times New Roman" w:hAnsi="Times New Roman"/>
          <w:b/>
          <w:kern w:val="0"/>
          <w:lang/>
        </w:rPr>
        <w:t xml:space="preserve">2.1 </w:t>
      </w:r>
      <w:r>
        <w:rPr>
          <w:rStyle w:val="12"/>
          <w:rFonts w:hint="eastAsia" w:ascii="Times New Roman" w:hAnsi="Times New Roman"/>
          <w:b/>
          <w:kern w:val="0"/>
          <w:lang/>
        </w:rPr>
        <w:t>基金基本情况</w:t>
      </w:r>
      <w:r>
        <w:rPr>
          <w:lang/>
        </w:rPr>
        <w:tab/>
      </w:r>
      <w:r>
        <w:rPr>
          <w:lang/>
        </w:rPr>
        <w:fldChar w:fldCharType="begin"/>
      </w:r>
      <w:r>
        <w:rPr>
          <w:lang/>
        </w:rPr>
        <w:instrText xml:space="preserve"> PAGEREF _Toc477955712 \h </w:instrText>
      </w:r>
      <w:r>
        <w:rPr>
          <w:lang/>
        </w:rPr>
        <w:fldChar w:fldCharType="separate"/>
      </w:r>
      <w:r>
        <w:rPr>
          <w:lang/>
        </w:rPr>
        <w:t>5</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"_Toc477955713"</w:instrText>
      </w:r>
      <w:r>
        <w:rPr>
          <w:rStyle w:val="12"/>
          <w:lang/>
        </w:rPr>
        <w:instrText xml:space="preserve"> </w:instrText>
      </w:r>
      <w:r>
        <w:rPr>
          <w:rStyle w:val="12"/>
          <w:lang/>
        </w:rPr>
        <w:fldChar w:fldCharType="separate"/>
      </w:r>
      <w:r>
        <w:rPr>
          <w:rStyle w:val="12"/>
          <w:rFonts w:ascii="Times New Roman" w:hAnsi="Times New Roman"/>
          <w:b/>
          <w:kern w:val="0"/>
          <w:lang/>
        </w:rPr>
        <w:t xml:space="preserve">2.2 </w:t>
      </w:r>
      <w:r>
        <w:rPr>
          <w:rStyle w:val="12"/>
          <w:rFonts w:hint="eastAsia" w:ascii="Times New Roman" w:hAnsi="Times New Roman"/>
          <w:b/>
          <w:kern w:val="0"/>
          <w:lang/>
        </w:rPr>
        <w:t>基金产品说明</w:t>
      </w:r>
      <w:r>
        <w:rPr>
          <w:lang/>
        </w:rPr>
        <w:tab/>
      </w:r>
      <w:r>
        <w:rPr>
          <w:lang/>
        </w:rPr>
        <w:fldChar w:fldCharType="begin"/>
      </w:r>
      <w:r>
        <w:rPr>
          <w:lang/>
        </w:rPr>
        <w:instrText xml:space="preserve"> PAGEREF _Toc477955713 \h </w:instrText>
      </w:r>
      <w:r>
        <w:rPr>
          <w:lang/>
        </w:rPr>
        <w:fldChar w:fldCharType="separate"/>
      </w:r>
      <w:r>
        <w:rPr>
          <w:lang/>
        </w:rPr>
        <w:t>5</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"_Toc477955714"</w:instrText>
      </w:r>
      <w:r>
        <w:rPr>
          <w:rStyle w:val="12"/>
          <w:lang/>
        </w:rPr>
        <w:instrText xml:space="preserve"> </w:instrText>
      </w:r>
      <w:r>
        <w:rPr>
          <w:rStyle w:val="12"/>
          <w:lang/>
        </w:rPr>
        <w:fldChar w:fldCharType="separate"/>
      </w:r>
      <w:r>
        <w:rPr>
          <w:rStyle w:val="12"/>
          <w:rFonts w:ascii="Times New Roman" w:hAnsi="Times New Roman"/>
          <w:b/>
          <w:kern w:val="0"/>
          <w:lang/>
        </w:rPr>
        <w:t xml:space="preserve">2.3 </w:t>
      </w:r>
      <w:r>
        <w:rPr>
          <w:rStyle w:val="12"/>
          <w:rFonts w:hint="eastAsia" w:ascii="Times New Roman" w:hAnsi="Times New Roman"/>
          <w:b/>
          <w:kern w:val="0"/>
          <w:lang/>
        </w:rPr>
        <w:t>基金管理人和基金托管人</w:t>
      </w:r>
      <w:r>
        <w:rPr>
          <w:lang/>
        </w:rPr>
        <w:tab/>
      </w:r>
      <w:r>
        <w:rPr>
          <w:lang/>
        </w:rPr>
        <w:fldChar w:fldCharType="begin"/>
      </w:r>
      <w:r>
        <w:rPr>
          <w:lang/>
        </w:rPr>
        <w:instrText xml:space="preserve"> PAGEREF _Toc477955714 \h </w:instrText>
      </w:r>
      <w:r>
        <w:rPr>
          <w:lang/>
        </w:rPr>
        <w:fldChar w:fldCharType="separate"/>
      </w:r>
      <w:r>
        <w:rPr>
          <w:lang/>
        </w:rPr>
        <w:t>6</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"_Toc477955715"</w:instrText>
      </w:r>
      <w:r>
        <w:rPr>
          <w:rStyle w:val="12"/>
          <w:lang/>
        </w:rPr>
        <w:instrText xml:space="preserve"> </w:instrText>
      </w:r>
      <w:r>
        <w:rPr>
          <w:rStyle w:val="12"/>
          <w:lang/>
        </w:rPr>
        <w:fldChar w:fldCharType="separate"/>
      </w:r>
      <w:r>
        <w:rPr>
          <w:rStyle w:val="12"/>
          <w:rFonts w:ascii="Times New Roman" w:hAnsi="Times New Roman"/>
          <w:b/>
          <w:kern w:val="0"/>
          <w:lang/>
        </w:rPr>
        <w:t xml:space="preserve">2.4 </w:t>
      </w:r>
      <w:r>
        <w:rPr>
          <w:rStyle w:val="12"/>
          <w:rFonts w:hint="eastAsia" w:ascii="Times New Roman" w:hAnsi="Times New Roman"/>
          <w:b/>
          <w:kern w:val="0"/>
          <w:lang/>
        </w:rPr>
        <w:t>信息披露方式</w:t>
      </w:r>
      <w:r>
        <w:rPr>
          <w:lang/>
        </w:rPr>
        <w:tab/>
      </w:r>
      <w:r>
        <w:rPr>
          <w:lang/>
        </w:rPr>
        <w:fldChar w:fldCharType="begin"/>
      </w:r>
      <w:r>
        <w:rPr>
          <w:lang/>
        </w:rPr>
        <w:instrText xml:space="preserve"> PAGEREF _Toc477955715 \h </w:instrText>
      </w:r>
      <w:r>
        <w:rPr>
          <w:lang/>
        </w:rPr>
        <w:fldChar w:fldCharType="separate"/>
      </w:r>
      <w:r>
        <w:rPr>
          <w:lang/>
        </w:rPr>
        <w:t>6</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"_Toc477955716"</w:instrText>
      </w:r>
      <w:r>
        <w:rPr>
          <w:rStyle w:val="12"/>
          <w:lang/>
        </w:rPr>
        <w:instrText xml:space="preserve"> </w:instrText>
      </w:r>
      <w:r>
        <w:rPr>
          <w:rStyle w:val="12"/>
          <w:lang/>
        </w:rPr>
        <w:fldChar w:fldCharType="separate"/>
      </w:r>
      <w:r>
        <w:rPr>
          <w:rStyle w:val="12"/>
          <w:rFonts w:ascii="Times New Roman" w:hAnsi="Times New Roman"/>
          <w:b/>
          <w:kern w:val="0"/>
          <w:lang/>
        </w:rPr>
        <w:t xml:space="preserve">2.5 </w:t>
      </w:r>
      <w:r>
        <w:rPr>
          <w:rStyle w:val="12"/>
          <w:rFonts w:hint="eastAsia" w:ascii="Times New Roman" w:hAnsi="Times New Roman"/>
          <w:b/>
          <w:kern w:val="0"/>
          <w:lang/>
        </w:rPr>
        <w:t>其他相关资料</w:t>
      </w:r>
      <w:r>
        <w:rPr>
          <w:lang/>
        </w:rPr>
        <w:tab/>
      </w:r>
      <w:r>
        <w:rPr>
          <w:lang/>
        </w:rPr>
        <w:fldChar w:fldCharType="begin"/>
      </w:r>
      <w:r>
        <w:rPr>
          <w:lang/>
        </w:rPr>
        <w:instrText xml:space="preserve"> PAGEREF _Toc477955716 \h </w:instrText>
      </w:r>
      <w:r>
        <w:rPr>
          <w:lang/>
        </w:rPr>
        <w:fldChar w:fldCharType="separate"/>
      </w:r>
      <w:r>
        <w:rPr>
          <w:lang/>
        </w:rPr>
        <w:t>6</w:t>
      </w:r>
      <w:r>
        <w:rPr>
          <w:lang/>
        </w:rPr>
        <w:fldChar w:fldCharType="end"/>
      </w:r>
      <w:r>
        <w:rPr>
          <w:rStyle w:val="12"/>
          <w:lang/>
        </w:rPr>
        <w:fldChar w:fldCharType="end"/>
      </w:r>
    </w:p>
    <w:p>
      <w:pPr>
        <w:pStyle w:val="7"/>
        <w:tabs>
          <w:tab w:val="right" w:leader="dot" w:pos="9076"/>
        </w:tabs>
        <w:rPr>
          <w:lang/>
        </w:rPr>
      </w:pPr>
      <w:r>
        <w:rPr>
          <w:rStyle w:val="12"/>
          <w:lang/>
        </w:rPr>
        <w:fldChar w:fldCharType="begin"/>
      </w:r>
      <w:r>
        <w:rPr>
          <w:rStyle w:val="12"/>
          <w:lang/>
        </w:rPr>
        <w:instrText xml:space="preserve"> </w:instrText>
      </w:r>
      <w:r>
        <w:rPr>
          <w:lang/>
        </w:rPr>
        <w:instrText xml:space="preserve">HYPERLINK \l "_Toc477955717"</w:instrText>
      </w:r>
      <w:r>
        <w:rPr>
          <w:rStyle w:val="12"/>
          <w:lang/>
        </w:rPr>
        <w:instrText xml:space="preserve"> </w:instrText>
      </w:r>
      <w:r>
        <w:rPr>
          <w:rStyle w:val="12"/>
          <w:lang/>
        </w:rPr>
        <w:fldChar w:fldCharType="separate"/>
      </w:r>
      <w:r>
        <w:rPr>
          <w:rStyle w:val="12"/>
          <w:rFonts w:ascii="Times New Roman" w:hAnsi="Times New Roman"/>
          <w:b/>
          <w:kern w:val="0"/>
          <w:lang/>
        </w:rPr>
        <w:t xml:space="preserve">§3  </w:t>
      </w:r>
      <w:r>
        <w:rPr>
          <w:rStyle w:val="12"/>
          <w:rFonts w:hint="eastAsia" w:ascii="Times New Roman" w:hAnsi="Times New Roman"/>
          <w:b/>
          <w:kern w:val="0"/>
          <w:lang/>
        </w:rPr>
        <w:t>主要财务指标、基金净值表现及利润分配情况</w:t>
      </w:r>
      <w:r>
        <w:rPr>
          <w:lang/>
        </w:rPr>
        <w:tab/>
      </w:r>
      <w:r>
        <w:rPr>
          <w:lang/>
        </w:rPr>
        <w:fldChar w:fldCharType="begin"/>
      </w:r>
      <w:r>
        <w:rPr>
          <w:lang/>
        </w:rPr>
        <w:instrText xml:space="preserve"> PAGEREF _Toc477955717 \h </w:instrText>
      </w:r>
      <w:r>
        <w:rPr>
          <w:lang/>
        </w:rPr>
        <w:fldChar w:fldCharType="separate"/>
      </w:r>
      <w:r>
        <w:rPr>
          <w:lang/>
        </w:rPr>
        <w:t>7</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"_Toc477955718"</w:instrText>
      </w:r>
      <w:r>
        <w:rPr>
          <w:rStyle w:val="12"/>
          <w:lang/>
        </w:rPr>
        <w:instrText xml:space="preserve"> </w:instrText>
      </w:r>
      <w:r>
        <w:rPr>
          <w:rStyle w:val="12"/>
          <w:lang/>
        </w:rPr>
        <w:fldChar w:fldCharType="separate"/>
      </w:r>
      <w:r>
        <w:rPr>
          <w:rStyle w:val="12"/>
          <w:rFonts w:ascii="Times New Roman" w:hAnsi="Times New Roman"/>
          <w:b/>
          <w:kern w:val="0"/>
          <w:lang/>
        </w:rPr>
        <w:t xml:space="preserve">3.1 </w:t>
      </w:r>
      <w:r>
        <w:rPr>
          <w:rStyle w:val="12"/>
          <w:rFonts w:hint="eastAsia" w:ascii="Times New Roman" w:hAnsi="Times New Roman"/>
          <w:b/>
          <w:kern w:val="0"/>
          <w:lang/>
        </w:rPr>
        <w:t>主要会计数据和财务指标</w:t>
      </w:r>
      <w:r>
        <w:rPr>
          <w:lang/>
        </w:rPr>
        <w:tab/>
      </w:r>
      <w:r>
        <w:rPr>
          <w:lang/>
        </w:rPr>
        <w:fldChar w:fldCharType="begin"/>
      </w:r>
      <w:r>
        <w:rPr>
          <w:lang/>
        </w:rPr>
        <w:instrText xml:space="preserve"> PAGEREF _Toc477955718 \h </w:instrText>
      </w:r>
      <w:r>
        <w:rPr>
          <w:lang/>
        </w:rPr>
        <w:fldChar w:fldCharType="separate"/>
      </w:r>
      <w:r>
        <w:rPr>
          <w:lang/>
        </w:rPr>
        <w:t>7</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"_Toc477955719"</w:instrText>
      </w:r>
      <w:r>
        <w:rPr>
          <w:rStyle w:val="12"/>
          <w:lang/>
        </w:rPr>
        <w:instrText xml:space="preserve"> </w:instrText>
      </w:r>
      <w:r>
        <w:rPr>
          <w:rStyle w:val="12"/>
          <w:lang/>
        </w:rPr>
        <w:fldChar w:fldCharType="separate"/>
      </w:r>
      <w:r>
        <w:rPr>
          <w:rStyle w:val="12"/>
          <w:rFonts w:ascii="Times New Roman" w:hAnsi="Times New Roman"/>
          <w:b/>
          <w:kern w:val="0"/>
          <w:lang/>
        </w:rPr>
        <w:t xml:space="preserve">3.2 </w:t>
      </w:r>
      <w:r>
        <w:rPr>
          <w:rStyle w:val="12"/>
          <w:rFonts w:hint="eastAsia" w:ascii="Times New Roman" w:hAnsi="Times New Roman"/>
          <w:b/>
          <w:kern w:val="0"/>
          <w:lang/>
        </w:rPr>
        <w:t>基金净值表现</w:t>
      </w:r>
      <w:r>
        <w:rPr>
          <w:lang/>
        </w:rPr>
        <w:tab/>
      </w:r>
      <w:r>
        <w:rPr>
          <w:lang/>
        </w:rPr>
        <w:fldChar w:fldCharType="begin"/>
      </w:r>
      <w:r>
        <w:rPr>
          <w:lang/>
        </w:rPr>
        <w:instrText xml:space="preserve"> PAGEREF _Toc477955719 \h </w:instrText>
      </w:r>
      <w:r>
        <w:rPr>
          <w:lang/>
        </w:rPr>
        <w:fldChar w:fldCharType="separate"/>
      </w:r>
      <w:r>
        <w:rPr>
          <w:lang/>
        </w:rPr>
        <w:t>7</w:t>
      </w:r>
      <w:r>
        <w:rPr>
          <w:lang/>
        </w:rPr>
        <w:fldChar w:fldCharType="end"/>
      </w:r>
      <w:r>
        <w:rPr>
          <w:rStyle w:val="12"/>
          <w:lang/>
        </w:rPr>
        <w:fldChar w:fldCharType="end"/>
      </w:r>
    </w:p>
    <w:p>
      <w:pPr>
        <w:pStyle w:val="7"/>
        <w:tabs>
          <w:tab w:val="right" w:leader="dot" w:pos="9076"/>
        </w:tabs>
        <w:rPr>
          <w:lang/>
        </w:rPr>
      </w:pPr>
      <w:r>
        <w:rPr>
          <w:rStyle w:val="12"/>
          <w:lang/>
        </w:rPr>
        <w:fldChar w:fldCharType="begin"/>
      </w:r>
      <w:r>
        <w:rPr>
          <w:rStyle w:val="12"/>
          <w:lang/>
        </w:rPr>
        <w:instrText xml:space="preserve"> </w:instrText>
      </w:r>
      <w:r>
        <w:rPr>
          <w:lang/>
        </w:rPr>
        <w:instrText xml:space="preserve">HYPERLINK \l "_Toc477955720"</w:instrText>
      </w:r>
      <w:r>
        <w:rPr>
          <w:rStyle w:val="12"/>
          <w:lang/>
        </w:rPr>
        <w:instrText xml:space="preserve"> </w:instrText>
      </w:r>
      <w:r>
        <w:rPr>
          <w:rStyle w:val="12"/>
          <w:lang/>
        </w:rPr>
        <w:fldChar w:fldCharType="separate"/>
      </w:r>
      <w:r>
        <w:rPr>
          <w:rStyle w:val="12"/>
          <w:rFonts w:ascii="Times New Roman" w:hAnsi="Times New Roman"/>
          <w:b/>
          <w:kern w:val="0"/>
          <w:lang/>
        </w:rPr>
        <w:t xml:space="preserve">§4  </w:t>
      </w:r>
      <w:r>
        <w:rPr>
          <w:rStyle w:val="12"/>
          <w:rFonts w:hint="eastAsia" w:ascii="Times New Roman" w:hAnsi="Times New Roman"/>
          <w:b/>
          <w:kern w:val="0"/>
          <w:lang/>
        </w:rPr>
        <w:t>管理人报告</w:t>
      </w:r>
      <w:r>
        <w:rPr>
          <w:lang/>
        </w:rPr>
        <w:tab/>
      </w:r>
      <w:r>
        <w:rPr>
          <w:lang/>
        </w:rPr>
        <w:fldChar w:fldCharType="begin"/>
      </w:r>
      <w:r>
        <w:rPr>
          <w:lang/>
        </w:rPr>
        <w:instrText xml:space="preserve"> PAGEREF _Toc477955720 \h </w:instrText>
      </w:r>
      <w:r>
        <w:rPr>
          <w:lang/>
        </w:rPr>
        <w:fldChar w:fldCharType="separate"/>
      </w:r>
      <w:r>
        <w:rPr>
          <w:lang/>
        </w:rPr>
        <w:t>10</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"_Toc477955721"</w:instrText>
      </w:r>
      <w:r>
        <w:rPr>
          <w:rStyle w:val="12"/>
          <w:lang/>
        </w:rPr>
        <w:instrText xml:space="preserve"> </w:instrText>
      </w:r>
      <w:r>
        <w:rPr>
          <w:rStyle w:val="12"/>
          <w:lang/>
        </w:rPr>
        <w:fldChar w:fldCharType="separate"/>
      </w:r>
      <w:r>
        <w:rPr>
          <w:rStyle w:val="12"/>
          <w:rFonts w:ascii="Times New Roman" w:hAnsi="Times New Roman"/>
          <w:b/>
          <w:kern w:val="0"/>
          <w:lang/>
        </w:rPr>
        <w:t xml:space="preserve">4.1 </w:t>
      </w:r>
      <w:r>
        <w:rPr>
          <w:rStyle w:val="12"/>
          <w:rFonts w:hint="eastAsia" w:ascii="Times New Roman" w:hAnsi="Times New Roman"/>
          <w:b/>
          <w:kern w:val="0"/>
          <w:lang/>
        </w:rPr>
        <w:t>基金管理人及基金经理情况</w:t>
      </w:r>
      <w:r>
        <w:rPr>
          <w:lang/>
        </w:rPr>
        <w:tab/>
      </w:r>
      <w:r>
        <w:rPr>
          <w:lang/>
        </w:rPr>
        <w:fldChar w:fldCharType="begin"/>
      </w:r>
      <w:r>
        <w:rPr>
          <w:lang/>
        </w:rPr>
        <w:instrText xml:space="preserve"> PAGEREF _Toc477955721 \h </w:instrText>
      </w:r>
      <w:r>
        <w:rPr>
          <w:lang/>
        </w:rPr>
        <w:fldChar w:fldCharType="separate"/>
      </w:r>
      <w:r>
        <w:rPr>
          <w:lang/>
        </w:rPr>
        <w:t>10</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"_Toc477955722"</w:instrText>
      </w:r>
      <w:r>
        <w:rPr>
          <w:rStyle w:val="12"/>
          <w:lang/>
        </w:rPr>
        <w:instrText xml:space="preserve"> </w:instrText>
      </w:r>
      <w:r>
        <w:rPr>
          <w:rStyle w:val="12"/>
          <w:lang/>
        </w:rPr>
        <w:fldChar w:fldCharType="separate"/>
      </w:r>
      <w:r>
        <w:rPr>
          <w:rStyle w:val="12"/>
          <w:rFonts w:ascii="Times New Roman" w:hAnsi="Times New Roman"/>
          <w:b/>
          <w:kern w:val="0"/>
          <w:lang/>
        </w:rPr>
        <w:t xml:space="preserve">4.2 </w:t>
      </w:r>
      <w:r>
        <w:rPr>
          <w:rStyle w:val="12"/>
          <w:rFonts w:hint="eastAsia" w:ascii="Times New Roman" w:hAnsi="Times New Roman"/>
          <w:b/>
          <w:kern w:val="0"/>
          <w:lang/>
        </w:rPr>
        <w:t>管理人对报告期内本基金运作遵规守信情况的说明</w:t>
      </w:r>
      <w:r>
        <w:rPr>
          <w:lang/>
        </w:rPr>
        <w:tab/>
      </w:r>
      <w:r>
        <w:rPr>
          <w:lang/>
        </w:rPr>
        <w:fldChar w:fldCharType="begin"/>
      </w:r>
      <w:r>
        <w:rPr>
          <w:lang/>
        </w:rPr>
        <w:instrText xml:space="preserve"> PAGEREF _Toc477955722 \h </w:instrText>
      </w:r>
      <w:r>
        <w:rPr>
          <w:lang/>
        </w:rPr>
        <w:fldChar w:fldCharType="separate"/>
      </w:r>
      <w:r>
        <w:rPr>
          <w:lang/>
        </w:rPr>
        <w:t>12</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"_Toc477955723"</w:instrText>
      </w:r>
      <w:r>
        <w:rPr>
          <w:rStyle w:val="12"/>
          <w:lang/>
        </w:rPr>
        <w:instrText xml:space="preserve"> </w:instrText>
      </w:r>
      <w:r>
        <w:rPr>
          <w:rStyle w:val="12"/>
          <w:lang/>
        </w:rPr>
        <w:fldChar w:fldCharType="separate"/>
      </w:r>
      <w:r>
        <w:rPr>
          <w:rStyle w:val="12"/>
          <w:rFonts w:ascii="Times New Roman" w:hAnsi="Times New Roman"/>
          <w:b/>
          <w:kern w:val="0"/>
          <w:lang/>
        </w:rPr>
        <w:t xml:space="preserve">4.3 </w:t>
      </w:r>
      <w:r>
        <w:rPr>
          <w:rStyle w:val="12"/>
          <w:rFonts w:hint="eastAsia" w:ascii="Times New Roman" w:hAnsi="Times New Roman"/>
          <w:b/>
          <w:kern w:val="0"/>
          <w:lang/>
        </w:rPr>
        <w:t>管理人对报告期内公平交易情况的专项说明</w:t>
      </w:r>
      <w:r>
        <w:rPr>
          <w:lang/>
        </w:rPr>
        <w:tab/>
      </w:r>
      <w:r>
        <w:rPr>
          <w:lang/>
        </w:rPr>
        <w:fldChar w:fldCharType="begin"/>
      </w:r>
      <w:r>
        <w:rPr>
          <w:lang/>
        </w:rPr>
        <w:instrText xml:space="preserve"> PAGEREF _Toc477955723 \h </w:instrText>
      </w:r>
      <w:r>
        <w:rPr>
          <w:lang/>
        </w:rPr>
        <w:fldChar w:fldCharType="separate"/>
      </w:r>
      <w:r>
        <w:rPr>
          <w:lang/>
        </w:rPr>
        <w:t>12</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"_Toc477955724"</w:instrText>
      </w:r>
      <w:r>
        <w:rPr>
          <w:rStyle w:val="12"/>
          <w:lang/>
        </w:rPr>
        <w:instrText xml:space="preserve"> </w:instrText>
      </w:r>
      <w:r>
        <w:rPr>
          <w:rStyle w:val="12"/>
          <w:lang/>
        </w:rPr>
        <w:fldChar w:fldCharType="separate"/>
      </w:r>
      <w:r>
        <w:rPr>
          <w:rStyle w:val="12"/>
          <w:rFonts w:ascii="Times New Roman" w:hAnsi="Times New Roman"/>
          <w:b/>
          <w:kern w:val="0"/>
          <w:lang/>
        </w:rPr>
        <w:t xml:space="preserve">4.4 </w:t>
      </w:r>
      <w:r>
        <w:rPr>
          <w:rStyle w:val="12"/>
          <w:rFonts w:hint="eastAsia" w:ascii="Times New Roman" w:hAnsi="Times New Roman"/>
          <w:b/>
          <w:kern w:val="0"/>
          <w:lang/>
        </w:rPr>
        <w:t>管理人对报告期内基金的投资策略和业绩表现说明</w:t>
      </w:r>
      <w:r>
        <w:rPr>
          <w:lang/>
        </w:rPr>
        <w:tab/>
      </w:r>
      <w:r>
        <w:rPr>
          <w:lang/>
        </w:rPr>
        <w:fldChar w:fldCharType="begin"/>
      </w:r>
      <w:r>
        <w:rPr>
          <w:lang/>
        </w:rPr>
        <w:instrText xml:space="preserve"> PAGEREF _Toc477955724 \h </w:instrText>
      </w:r>
      <w:r>
        <w:rPr>
          <w:lang/>
        </w:rPr>
        <w:fldChar w:fldCharType="separate"/>
      </w:r>
      <w:r>
        <w:rPr>
          <w:lang/>
        </w:rPr>
        <w:t>14</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"_Toc477955725"</w:instrText>
      </w:r>
      <w:r>
        <w:rPr>
          <w:rStyle w:val="12"/>
          <w:lang/>
        </w:rPr>
        <w:instrText xml:space="preserve"> </w:instrText>
      </w:r>
      <w:r>
        <w:rPr>
          <w:rStyle w:val="12"/>
          <w:lang/>
        </w:rPr>
        <w:fldChar w:fldCharType="separate"/>
      </w:r>
      <w:r>
        <w:rPr>
          <w:rStyle w:val="12"/>
          <w:rFonts w:ascii="Times New Roman" w:hAnsi="Times New Roman"/>
          <w:b/>
          <w:kern w:val="0"/>
          <w:lang/>
        </w:rPr>
        <w:t xml:space="preserve">4.5 </w:t>
      </w:r>
      <w:r>
        <w:rPr>
          <w:rStyle w:val="12"/>
          <w:rFonts w:hint="eastAsia" w:ascii="Times New Roman" w:hAnsi="Times New Roman"/>
          <w:b/>
          <w:kern w:val="0"/>
          <w:lang/>
        </w:rPr>
        <w:t>管理人对宏观经济、证券市场及行业走势的简要展望</w:t>
      </w:r>
      <w:r>
        <w:rPr>
          <w:lang/>
        </w:rPr>
        <w:tab/>
      </w:r>
      <w:r>
        <w:rPr>
          <w:lang/>
        </w:rPr>
        <w:fldChar w:fldCharType="begin"/>
      </w:r>
      <w:r>
        <w:rPr>
          <w:lang/>
        </w:rPr>
        <w:instrText xml:space="preserve"> PAGEREF _Toc477955725 \h </w:instrText>
      </w:r>
      <w:r>
        <w:rPr>
          <w:lang/>
        </w:rPr>
        <w:fldChar w:fldCharType="separate"/>
      </w:r>
      <w:r>
        <w:rPr>
          <w:lang/>
        </w:rPr>
        <w:t>14</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"_Toc477955726"</w:instrText>
      </w:r>
      <w:r>
        <w:rPr>
          <w:rStyle w:val="12"/>
          <w:lang/>
        </w:rPr>
        <w:instrText xml:space="preserve"> </w:instrText>
      </w:r>
      <w:r>
        <w:rPr>
          <w:rStyle w:val="12"/>
          <w:lang/>
        </w:rPr>
        <w:fldChar w:fldCharType="separate"/>
      </w:r>
      <w:r>
        <w:rPr>
          <w:rStyle w:val="12"/>
          <w:rFonts w:ascii="Times New Roman" w:hAnsi="Times New Roman"/>
          <w:b/>
          <w:kern w:val="0"/>
          <w:lang/>
        </w:rPr>
        <w:t xml:space="preserve">4.6 </w:t>
      </w:r>
      <w:r>
        <w:rPr>
          <w:rStyle w:val="12"/>
          <w:rFonts w:hint="eastAsia" w:ascii="Times New Roman" w:hAnsi="Times New Roman"/>
          <w:b/>
          <w:kern w:val="0"/>
          <w:lang/>
        </w:rPr>
        <w:t>管理人内部有关本基金的监察稽核工作情况</w:t>
      </w:r>
      <w:r>
        <w:rPr>
          <w:lang/>
        </w:rPr>
        <w:tab/>
      </w:r>
      <w:r>
        <w:rPr>
          <w:lang/>
        </w:rPr>
        <w:fldChar w:fldCharType="begin"/>
      </w:r>
      <w:r>
        <w:rPr>
          <w:lang/>
        </w:rPr>
        <w:instrText xml:space="preserve"> PAGEREF _Toc477955726 \h </w:instrText>
      </w:r>
      <w:r>
        <w:rPr>
          <w:lang/>
        </w:rPr>
        <w:fldChar w:fldCharType="separate"/>
      </w:r>
      <w:r>
        <w:rPr>
          <w:lang/>
        </w:rPr>
        <w:t>15</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"_Toc477955727"</w:instrText>
      </w:r>
      <w:r>
        <w:rPr>
          <w:rStyle w:val="12"/>
          <w:lang/>
        </w:rPr>
        <w:instrText xml:space="preserve"> </w:instrText>
      </w:r>
      <w:r>
        <w:rPr>
          <w:rStyle w:val="12"/>
          <w:lang/>
        </w:rPr>
        <w:fldChar w:fldCharType="separate"/>
      </w:r>
      <w:r>
        <w:rPr>
          <w:rStyle w:val="12"/>
          <w:rFonts w:ascii="Times New Roman" w:hAnsi="Times New Roman"/>
          <w:b/>
          <w:kern w:val="0"/>
          <w:lang/>
        </w:rPr>
        <w:t xml:space="preserve">4.7 </w:t>
      </w:r>
      <w:r>
        <w:rPr>
          <w:rStyle w:val="12"/>
          <w:rFonts w:hint="eastAsia" w:ascii="Times New Roman" w:hAnsi="Times New Roman"/>
          <w:b/>
          <w:kern w:val="0"/>
          <w:lang/>
        </w:rPr>
        <w:t>管理人对报告期内基金估值程序等事项的说明</w:t>
      </w:r>
      <w:r>
        <w:rPr>
          <w:lang/>
        </w:rPr>
        <w:tab/>
      </w:r>
      <w:r>
        <w:rPr>
          <w:lang/>
        </w:rPr>
        <w:fldChar w:fldCharType="begin"/>
      </w:r>
      <w:r>
        <w:rPr>
          <w:lang/>
        </w:rPr>
        <w:instrText xml:space="preserve"> PAGEREF _Toc477955727 \h </w:instrText>
      </w:r>
      <w:r>
        <w:rPr>
          <w:lang/>
        </w:rPr>
        <w:fldChar w:fldCharType="separate"/>
      </w:r>
      <w:r>
        <w:rPr>
          <w:lang/>
        </w:rPr>
        <w:t>15</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"_Toc477955728"</w:instrText>
      </w:r>
      <w:r>
        <w:rPr>
          <w:rStyle w:val="12"/>
          <w:lang/>
        </w:rPr>
        <w:instrText xml:space="preserve"> </w:instrText>
      </w:r>
      <w:r>
        <w:rPr>
          <w:rStyle w:val="12"/>
          <w:lang/>
        </w:rPr>
        <w:fldChar w:fldCharType="separate"/>
      </w:r>
      <w:r>
        <w:rPr>
          <w:rStyle w:val="12"/>
          <w:rFonts w:ascii="Times New Roman" w:hAnsi="Times New Roman"/>
          <w:b/>
          <w:kern w:val="0"/>
          <w:lang/>
        </w:rPr>
        <w:t xml:space="preserve">4.8 </w:t>
      </w:r>
      <w:r>
        <w:rPr>
          <w:rStyle w:val="12"/>
          <w:rFonts w:hint="eastAsia" w:ascii="Times New Roman" w:hAnsi="Times New Roman"/>
          <w:b/>
          <w:kern w:val="0"/>
          <w:lang/>
        </w:rPr>
        <w:t>管理人对报告期内基金利润分配情况的说明</w:t>
      </w:r>
      <w:r>
        <w:rPr>
          <w:lang/>
        </w:rPr>
        <w:tab/>
      </w:r>
      <w:r>
        <w:rPr>
          <w:lang/>
        </w:rPr>
        <w:fldChar w:fldCharType="begin"/>
      </w:r>
      <w:r>
        <w:rPr>
          <w:lang/>
        </w:rPr>
        <w:instrText xml:space="preserve"> PAGEREF _Toc477955728 \h </w:instrText>
      </w:r>
      <w:r>
        <w:rPr>
          <w:lang/>
        </w:rPr>
        <w:fldChar w:fldCharType="separate"/>
      </w:r>
      <w:r>
        <w:rPr>
          <w:lang/>
        </w:rPr>
        <w:t>16</w:t>
      </w:r>
      <w:r>
        <w:rPr>
          <w:lang/>
        </w:rPr>
        <w:fldChar w:fldCharType="end"/>
      </w:r>
      <w:r>
        <w:rPr>
          <w:rStyle w:val="12"/>
          <w:lang/>
        </w:rPr>
        <w:fldChar w:fldCharType="end"/>
      </w:r>
    </w:p>
    <w:p>
      <w:pPr>
        <w:pStyle w:val="7"/>
        <w:tabs>
          <w:tab w:val="right" w:leader="dot" w:pos="9076"/>
        </w:tabs>
        <w:rPr>
          <w:lang/>
        </w:rPr>
      </w:pPr>
      <w:r>
        <w:rPr>
          <w:rStyle w:val="12"/>
          <w:lang/>
        </w:rPr>
        <w:fldChar w:fldCharType="begin"/>
      </w:r>
      <w:r>
        <w:rPr>
          <w:rStyle w:val="12"/>
          <w:lang/>
        </w:rPr>
        <w:instrText xml:space="preserve"> </w:instrText>
      </w:r>
      <w:r>
        <w:rPr>
          <w:lang/>
        </w:rPr>
        <w:instrText xml:space="preserve">HYPERLINK \l "_Toc477955729"</w:instrText>
      </w:r>
      <w:r>
        <w:rPr>
          <w:rStyle w:val="12"/>
          <w:lang/>
        </w:rPr>
        <w:instrText xml:space="preserve"> </w:instrText>
      </w:r>
      <w:r>
        <w:rPr>
          <w:rStyle w:val="12"/>
          <w:lang/>
        </w:rPr>
        <w:fldChar w:fldCharType="separate"/>
      </w:r>
      <w:r>
        <w:rPr>
          <w:rStyle w:val="12"/>
          <w:rFonts w:ascii="Times New Roman" w:hAnsi="Times New Roman"/>
          <w:b/>
          <w:kern w:val="0"/>
          <w:lang/>
        </w:rPr>
        <w:t xml:space="preserve">§5  </w:t>
      </w:r>
      <w:r>
        <w:rPr>
          <w:rStyle w:val="12"/>
          <w:rFonts w:hint="eastAsia" w:ascii="Times New Roman" w:hAnsi="Times New Roman"/>
          <w:b/>
          <w:kern w:val="0"/>
          <w:lang/>
        </w:rPr>
        <w:t>托管人报告</w:t>
      </w:r>
      <w:r>
        <w:rPr>
          <w:lang/>
        </w:rPr>
        <w:tab/>
      </w:r>
      <w:r>
        <w:rPr>
          <w:lang/>
        </w:rPr>
        <w:fldChar w:fldCharType="begin"/>
      </w:r>
      <w:r>
        <w:rPr>
          <w:lang/>
        </w:rPr>
        <w:instrText xml:space="preserve"> PAGEREF _Toc477955729 \h </w:instrText>
      </w:r>
      <w:r>
        <w:rPr>
          <w:lang/>
        </w:rPr>
        <w:fldChar w:fldCharType="separate"/>
      </w:r>
      <w:r>
        <w:rPr>
          <w:lang/>
        </w:rPr>
        <w:t>16</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"_Toc477955730"</w:instrText>
      </w:r>
      <w:r>
        <w:rPr>
          <w:rStyle w:val="12"/>
          <w:lang/>
        </w:rPr>
        <w:instrText xml:space="preserve"> </w:instrText>
      </w:r>
      <w:r>
        <w:rPr>
          <w:rStyle w:val="12"/>
          <w:lang/>
        </w:rPr>
        <w:fldChar w:fldCharType="separate"/>
      </w:r>
      <w:r>
        <w:rPr>
          <w:rStyle w:val="12"/>
          <w:rFonts w:ascii="Times New Roman" w:hAnsi="Times New Roman"/>
          <w:b/>
          <w:kern w:val="0"/>
          <w:lang/>
        </w:rPr>
        <w:t xml:space="preserve">5.1 </w:t>
      </w:r>
      <w:r>
        <w:rPr>
          <w:rStyle w:val="12"/>
          <w:rFonts w:hint="eastAsia" w:ascii="Times New Roman" w:hAnsi="Times New Roman"/>
          <w:b/>
          <w:kern w:val="0"/>
          <w:lang/>
        </w:rPr>
        <w:t>报告期内本基金托管人遵规守信情况声明</w:t>
      </w:r>
      <w:r>
        <w:rPr>
          <w:lang/>
        </w:rPr>
        <w:tab/>
      </w:r>
      <w:r>
        <w:rPr>
          <w:lang/>
        </w:rPr>
        <w:fldChar w:fldCharType="begin"/>
      </w:r>
      <w:r>
        <w:rPr>
          <w:lang/>
        </w:rPr>
        <w:instrText xml:space="preserve"> PAGEREF _Toc477955730 \h </w:instrText>
      </w:r>
      <w:r>
        <w:rPr>
          <w:lang/>
        </w:rPr>
        <w:fldChar w:fldCharType="separate"/>
      </w:r>
      <w:r>
        <w:rPr>
          <w:lang/>
        </w:rPr>
        <w:t>16</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"_Toc477955731"</w:instrText>
      </w:r>
      <w:r>
        <w:rPr>
          <w:rStyle w:val="12"/>
          <w:lang/>
        </w:rPr>
        <w:instrText xml:space="preserve"> </w:instrText>
      </w:r>
      <w:r>
        <w:rPr>
          <w:rStyle w:val="12"/>
          <w:lang/>
        </w:rPr>
        <w:fldChar w:fldCharType="separate"/>
      </w:r>
      <w:r>
        <w:rPr>
          <w:rStyle w:val="12"/>
          <w:rFonts w:ascii="Times New Roman" w:hAnsi="Times New Roman"/>
          <w:b/>
          <w:kern w:val="0"/>
          <w:lang/>
        </w:rPr>
        <w:t xml:space="preserve">5.2 </w:t>
      </w:r>
      <w:r>
        <w:rPr>
          <w:rStyle w:val="12"/>
          <w:rFonts w:hint="eastAsia" w:ascii="Times New Roman" w:hAnsi="Times New Roman"/>
          <w:b/>
          <w:kern w:val="0"/>
          <w:lang/>
        </w:rPr>
        <w:t>托管人对报告期内本基金投资运作遵规守信、净值计算、利润分配等情况的说明</w:t>
      </w:r>
      <w:r>
        <w:rPr>
          <w:lang/>
        </w:rPr>
        <w:tab/>
      </w:r>
      <w:r>
        <w:rPr>
          <w:lang/>
        </w:rPr>
        <w:fldChar w:fldCharType="begin"/>
      </w:r>
      <w:r>
        <w:rPr>
          <w:lang/>
        </w:rPr>
        <w:instrText xml:space="preserve"> PAGEREF _Toc477955731 \h </w:instrText>
      </w:r>
      <w:r>
        <w:rPr>
          <w:lang/>
        </w:rPr>
        <w:fldChar w:fldCharType="separate"/>
      </w:r>
      <w:r>
        <w:rPr>
          <w:lang/>
        </w:rPr>
        <w:t>16</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"_Toc477955732"</w:instrText>
      </w:r>
      <w:r>
        <w:rPr>
          <w:rStyle w:val="12"/>
          <w:lang/>
        </w:rPr>
        <w:instrText xml:space="preserve"> </w:instrText>
      </w:r>
      <w:r>
        <w:rPr>
          <w:rStyle w:val="12"/>
          <w:lang/>
        </w:rPr>
        <w:fldChar w:fldCharType="separate"/>
      </w:r>
      <w:r>
        <w:rPr>
          <w:rStyle w:val="12"/>
          <w:rFonts w:ascii="Times New Roman" w:hAnsi="Times New Roman"/>
          <w:b/>
          <w:kern w:val="0"/>
          <w:lang/>
        </w:rPr>
        <w:t xml:space="preserve">5.3 </w:t>
      </w:r>
      <w:r>
        <w:rPr>
          <w:rStyle w:val="12"/>
          <w:rFonts w:hint="eastAsia" w:ascii="Times New Roman" w:hAnsi="Times New Roman"/>
          <w:b/>
          <w:kern w:val="0"/>
          <w:lang/>
        </w:rPr>
        <w:t>托管人对本年度报告中财务信息等内容的真实、准确和完整发表意见</w:t>
      </w:r>
      <w:r>
        <w:rPr>
          <w:lang/>
        </w:rPr>
        <w:tab/>
      </w:r>
      <w:r>
        <w:rPr>
          <w:lang/>
        </w:rPr>
        <w:fldChar w:fldCharType="begin"/>
      </w:r>
      <w:r>
        <w:rPr>
          <w:lang/>
        </w:rPr>
        <w:instrText xml:space="preserve"> PAGEREF _Toc477955732 \h </w:instrText>
      </w:r>
      <w:r>
        <w:rPr>
          <w:lang/>
        </w:rPr>
        <w:fldChar w:fldCharType="separate"/>
      </w:r>
      <w:r>
        <w:rPr>
          <w:lang/>
        </w:rPr>
        <w:t>16</w:t>
      </w:r>
      <w:r>
        <w:rPr>
          <w:lang/>
        </w:rPr>
        <w:fldChar w:fldCharType="end"/>
      </w:r>
      <w:r>
        <w:rPr>
          <w:rStyle w:val="12"/>
          <w:lang/>
        </w:rPr>
        <w:fldChar w:fldCharType="end"/>
      </w:r>
    </w:p>
    <w:p>
      <w:pPr>
        <w:pStyle w:val="7"/>
        <w:tabs>
          <w:tab w:val="right" w:leader="dot" w:pos="9076"/>
        </w:tabs>
        <w:rPr>
          <w:lang/>
        </w:rPr>
      </w:pPr>
      <w:r>
        <w:rPr>
          <w:rStyle w:val="12"/>
          <w:lang/>
        </w:rPr>
        <w:fldChar w:fldCharType="begin"/>
      </w:r>
      <w:r>
        <w:rPr>
          <w:rStyle w:val="12"/>
          <w:lang/>
        </w:rPr>
        <w:instrText xml:space="preserve"> </w:instrText>
      </w:r>
      <w:r>
        <w:rPr>
          <w:lang/>
        </w:rPr>
        <w:instrText xml:space="preserve">HYPERLINK \l "_Toc477955733"</w:instrText>
      </w:r>
      <w:r>
        <w:rPr>
          <w:rStyle w:val="12"/>
          <w:lang/>
        </w:rPr>
        <w:instrText xml:space="preserve"> </w:instrText>
      </w:r>
      <w:r>
        <w:rPr>
          <w:rStyle w:val="12"/>
          <w:lang/>
        </w:rPr>
        <w:fldChar w:fldCharType="separate"/>
      </w:r>
      <w:r>
        <w:rPr>
          <w:rStyle w:val="12"/>
          <w:rFonts w:ascii="Times New Roman" w:hAnsi="Times New Roman"/>
          <w:b/>
          <w:kern w:val="0"/>
          <w:lang/>
        </w:rPr>
        <w:t xml:space="preserve">§6 </w:t>
      </w:r>
      <w:r>
        <w:rPr>
          <w:rStyle w:val="12"/>
          <w:rFonts w:hint="eastAsia" w:ascii="Times New Roman" w:hAnsi="Times New Roman"/>
          <w:b/>
          <w:kern w:val="0"/>
          <w:lang/>
        </w:rPr>
        <w:t>审计报告</w:t>
      </w:r>
      <w:r>
        <w:rPr>
          <w:lang/>
        </w:rPr>
        <w:tab/>
      </w:r>
      <w:r>
        <w:rPr>
          <w:lang/>
        </w:rPr>
        <w:fldChar w:fldCharType="begin"/>
      </w:r>
      <w:r>
        <w:rPr>
          <w:lang/>
        </w:rPr>
        <w:instrText xml:space="preserve"> PAGEREF _Toc477955733 \h </w:instrText>
      </w:r>
      <w:r>
        <w:rPr>
          <w:lang/>
        </w:rPr>
        <w:fldChar w:fldCharType="separate"/>
      </w:r>
      <w:r>
        <w:rPr>
          <w:lang/>
        </w:rPr>
        <w:t>16</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"_Toc477955734"</w:instrText>
      </w:r>
      <w:r>
        <w:rPr>
          <w:rStyle w:val="12"/>
          <w:lang/>
        </w:rPr>
        <w:instrText xml:space="preserve"> </w:instrText>
      </w:r>
      <w:r>
        <w:rPr>
          <w:rStyle w:val="12"/>
          <w:lang/>
        </w:rPr>
        <w:fldChar w:fldCharType="separate"/>
      </w:r>
      <w:r>
        <w:rPr>
          <w:rStyle w:val="12"/>
          <w:rFonts w:ascii="Times New Roman" w:hAnsi="Times New Roman"/>
          <w:b/>
          <w:kern w:val="0"/>
          <w:lang/>
        </w:rPr>
        <w:t xml:space="preserve">6.1 </w:t>
      </w:r>
      <w:r>
        <w:rPr>
          <w:rStyle w:val="12"/>
          <w:rFonts w:hint="eastAsia" w:ascii="Times New Roman" w:hAnsi="Times New Roman"/>
          <w:b/>
          <w:kern w:val="0"/>
          <w:lang/>
        </w:rPr>
        <w:t>审计报告基本信息</w:t>
      </w:r>
      <w:r>
        <w:rPr>
          <w:lang/>
        </w:rPr>
        <w:tab/>
      </w:r>
      <w:r>
        <w:rPr>
          <w:lang/>
        </w:rPr>
        <w:fldChar w:fldCharType="begin"/>
      </w:r>
      <w:r>
        <w:rPr>
          <w:lang/>
        </w:rPr>
        <w:instrText xml:space="preserve"> PAGEREF _Toc477955734 \h </w:instrText>
      </w:r>
      <w:r>
        <w:rPr>
          <w:lang/>
        </w:rPr>
        <w:fldChar w:fldCharType="separate"/>
      </w:r>
      <w:r>
        <w:rPr>
          <w:lang/>
        </w:rPr>
        <w:t>17</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"_Toc477955735"</w:instrText>
      </w:r>
      <w:r>
        <w:rPr>
          <w:rStyle w:val="12"/>
          <w:lang/>
        </w:rPr>
        <w:instrText xml:space="preserve"> </w:instrText>
      </w:r>
      <w:r>
        <w:rPr>
          <w:rStyle w:val="12"/>
          <w:lang/>
        </w:rPr>
        <w:fldChar w:fldCharType="separate"/>
      </w:r>
      <w:r>
        <w:rPr>
          <w:rStyle w:val="12"/>
          <w:rFonts w:ascii="Times New Roman" w:hAnsi="Times New Roman"/>
          <w:b/>
          <w:kern w:val="0"/>
          <w:lang/>
        </w:rPr>
        <w:t xml:space="preserve">6.2 </w:t>
      </w:r>
      <w:r>
        <w:rPr>
          <w:rStyle w:val="12"/>
          <w:rFonts w:hint="eastAsia" w:ascii="Times New Roman" w:hAnsi="Times New Roman"/>
          <w:b/>
          <w:kern w:val="0"/>
          <w:lang/>
        </w:rPr>
        <w:t>审计报告的基本内容</w:t>
      </w:r>
      <w:r>
        <w:rPr>
          <w:lang/>
        </w:rPr>
        <w:tab/>
      </w:r>
      <w:r>
        <w:rPr>
          <w:lang/>
        </w:rPr>
        <w:fldChar w:fldCharType="begin"/>
      </w:r>
      <w:r>
        <w:rPr>
          <w:lang/>
        </w:rPr>
        <w:instrText xml:space="preserve"> PAGEREF _Toc477955735 \h </w:instrText>
      </w:r>
      <w:r>
        <w:rPr>
          <w:lang/>
        </w:rPr>
        <w:fldChar w:fldCharType="separate"/>
      </w:r>
      <w:r>
        <w:rPr>
          <w:lang/>
        </w:rPr>
        <w:t>17</w:t>
      </w:r>
      <w:r>
        <w:rPr>
          <w:lang/>
        </w:rPr>
        <w:fldChar w:fldCharType="end"/>
      </w:r>
      <w:r>
        <w:rPr>
          <w:rStyle w:val="12"/>
          <w:lang/>
        </w:rPr>
        <w:fldChar w:fldCharType="end"/>
      </w:r>
    </w:p>
    <w:p>
      <w:pPr>
        <w:pStyle w:val="7"/>
        <w:tabs>
          <w:tab w:val="right" w:leader="dot" w:pos="9076"/>
        </w:tabs>
        <w:rPr>
          <w:lang/>
        </w:rPr>
      </w:pPr>
      <w:r>
        <w:rPr>
          <w:rStyle w:val="12"/>
          <w:lang/>
        </w:rPr>
        <w:fldChar w:fldCharType="begin"/>
      </w:r>
      <w:r>
        <w:rPr>
          <w:rStyle w:val="12"/>
          <w:lang/>
        </w:rPr>
        <w:instrText xml:space="preserve"> </w:instrText>
      </w:r>
      <w:r>
        <w:rPr>
          <w:lang/>
        </w:rPr>
        <w:instrText xml:space="preserve">HYPERLINK \l "_Toc477955736"</w:instrText>
      </w:r>
      <w:r>
        <w:rPr>
          <w:rStyle w:val="12"/>
          <w:lang/>
        </w:rPr>
        <w:instrText xml:space="preserve"> </w:instrText>
      </w:r>
      <w:r>
        <w:rPr>
          <w:rStyle w:val="12"/>
          <w:lang/>
        </w:rPr>
        <w:fldChar w:fldCharType="separate"/>
      </w:r>
      <w:r>
        <w:rPr>
          <w:rStyle w:val="12"/>
          <w:rFonts w:ascii="Times New Roman" w:hAnsi="Times New Roman"/>
          <w:b/>
          <w:kern w:val="0"/>
          <w:lang/>
        </w:rPr>
        <w:t xml:space="preserve">§7 </w:t>
      </w:r>
      <w:r>
        <w:rPr>
          <w:rStyle w:val="12"/>
          <w:rFonts w:hint="eastAsia" w:ascii="Times New Roman" w:hAnsi="Times New Roman"/>
          <w:b/>
          <w:kern w:val="0"/>
          <w:lang/>
        </w:rPr>
        <w:t>年度财务报表</w:t>
      </w:r>
      <w:r>
        <w:rPr>
          <w:lang/>
        </w:rPr>
        <w:tab/>
      </w:r>
      <w:r>
        <w:rPr>
          <w:lang/>
        </w:rPr>
        <w:fldChar w:fldCharType="begin"/>
      </w:r>
      <w:r>
        <w:rPr>
          <w:lang/>
        </w:rPr>
        <w:instrText xml:space="preserve"> PAGEREF _Toc477955736 \h </w:instrText>
      </w:r>
      <w:r>
        <w:rPr>
          <w:lang/>
        </w:rPr>
        <w:fldChar w:fldCharType="separate"/>
      </w:r>
      <w:r>
        <w:rPr>
          <w:lang/>
        </w:rPr>
        <w:t>18</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"_Toc477955737"</w:instrText>
      </w:r>
      <w:r>
        <w:rPr>
          <w:rStyle w:val="12"/>
          <w:lang/>
        </w:rPr>
        <w:instrText xml:space="preserve"> </w:instrText>
      </w:r>
      <w:r>
        <w:rPr>
          <w:rStyle w:val="12"/>
          <w:lang/>
        </w:rPr>
        <w:fldChar w:fldCharType="separate"/>
      </w:r>
      <w:r>
        <w:rPr>
          <w:rStyle w:val="12"/>
          <w:rFonts w:ascii="Times New Roman" w:hAnsi="Times New Roman"/>
          <w:b/>
          <w:kern w:val="0"/>
          <w:lang/>
        </w:rPr>
        <w:t xml:space="preserve">7.1 </w:t>
      </w:r>
      <w:r>
        <w:rPr>
          <w:rStyle w:val="12"/>
          <w:rFonts w:hint="eastAsia" w:ascii="Times New Roman" w:hAnsi="Times New Roman"/>
          <w:b/>
          <w:kern w:val="0"/>
          <w:lang/>
        </w:rPr>
        <w:t>资产负债表</w:t>
      </w:r>
      <w:r>
        <w:rPr>
          <w:lang/>
        </w:rPr>
        <w:tab/>
      </w:r>
      <w:r>
        <w:rPr>
          <w:lang/>
        </w:rPr>
        <w:fldChar w:fldCharType="begin"/>
      </w:r>
      <w:r>
        <w:rPr>
          <w:lang/>
        </w:rPr>
        <w:instrText xml:space="preserve"> PAGEREF _Toc477955737 \h </w:instrText>
      </w:r>
      <w:r>
        <w:rPr>
          <w:lang/>
        </w:rPr>
        <w:fldChar w:fldCharType="separate"/>
      </w:r>
      <w:r>
        <w:rPr>
          <w:lang/>
        </w:rPr>
        <w:t>18</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"_Toc477955738"</w:instrText>
      </w:r>
      <w:r>
        <w:rPr>
          <w:rStyle w:val="12"/>
          <w:lang/>
        </w:rPr>
        <w:instrText xml:space="preserve"> </w:instrText>
      </w:r>
      <w:r>
        <w:rPr>
          <w:rStyle w:val="12"/>
          <w:lang/>
        </w:rPr>
        <w:fldChar w:fldCharType="separate"/>
      </w:r>
      <w:r>
        <w:rPr>
          <w:rStyle w:val="12"/>
          <w:rFonts w:ascii="Times New Roman" w:hAnsi="Times New Roman"/>
          <w:b/>
          <w:kern w:val="0"/>
          <w:lang/>
        </w:rPr>
        <w:t xml:space="preserve">7.2 </w:t>
      </w:r>
      <w:r>
        <w:rPr>
          <w:rStyle w:val="12"/>
          <w:rFonts w:hint="eastAsia" w:ascii="Times New Roman" w:hAnsi="Times New Roman"/>
          <w:b/>
          <w:kern w:val="0"/>
          <w:lang/>
        </w:rPr>
        <w:t>利润表</w:t>
      </w:r>
      <w:r>
        <w:rPr>
          <w:lang/>
        </w:rPr>
        <w:tab/>
      </w:r>
      <w:r>
        <w:rPr>
          <w:lang/>
        </w:rPr>
        <w:fldChar w:fldCharType="begin"/>
      </w:r>
      <w:r>
        <w:rPr>
          <w:lang/>
        </w:rPr>
        <w:instrText xml:space="preserve"> PAGEREF _Toc477955738 \h </w:instrText>
      </w:r>
      <w:r>
        <w:rPr>
          <w:lang/>
        </w:rPr>
        <w:fldChar w:fldCharType="separate"/>
      </w:r>
      <w:r>
        <w:rPr>
          <w:lang/>
        </w:rPr>
        <w:t>20</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"_Toc477955739"</w:instrText>
      </w:r>
      <w:r>
        <w:rPr>
          <w:rStyle w:val="12"/>
          <w:lang/>
        </w:rPr>
        <w:instrText xml:space="preserve"> </w:instrText>
      </w:r>
      <w:r>
        <w:rPr>
          <w:rStyle w:val="12"/>
          <w:lang/>
        </w:rPr>
        <w:fldChar w:fldCharType="separate"/>
      </w:r>
      <w:r>
        <w:rPr>
          <w:rStyle w:val="12"/>
          <w:rFonts w:ascii="Times New Roman" w:hAnsi="Times New Roman"/>
          <w:b/>
          <w:kern w:val="0"/>
          <w:lang/>
        </w:rPr>
        <w:t xml:space="preserve">7.3 </w:t>
      </w:r>
      <w:r>
        <w:rPr>
          <w:rStyle w:val="12"/>
          <w:rFonts w:hint="eastAsia" w:ascii="Times New Roman" w:hAnsi="Times New Roman"/>
          <w:b/>
          <w:kern w:val="0"/>
          <w:lang/>
        </w:rPr>
        <w:t>所有者权益（基金净值）变动表</w:t>
      </w:r>
      <w:r>
        <w:rPr>
          <w:lang/>
        </w:rPr>
        <w:tab/>
      </w:r>
      <w:r>
        <w:rPr>
          <w:lang/>
        </w:rPr>
        <w:fldChar w:fldCharType="begin"/>
      </w:r>
      <w:r>
        <w:rPr>
          <w:lang/>
        </w:rPr>
        <w:instrText xml:space="preserve"> PAGEREF _Toc477955739 \h </w:instrText>
      </w:r>
      <w:r>
        <w:rPr>
          <w:lang/>
        </w:rPr>
        <w:fldChar w:fldCharType="separate"/>
      </w:r>
      <w:r>
        <w:rPr>
          <w:lang/>
        </w:rPr>
        <w:t>21</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"_Toc477955740"</w:instrText>
      </w:r>
      <w:r>
        <w:rPr>
          <w:rStyle w:val="12"/>
          <w:lang/>
        </w:rPr>
        <w:instrText xml:space="preserve"> </w:instrText>
      </w:r>
      <w:r>
        <w:rPr>
          <w:rStyle w:val="12"/>
          <w:lang/>
        </w:rPr>
        <w:fldChar w:fldCharType="separate"/>
      </w:r>
      <w:r>
        <w:rPr>
          <w:rStyle w:val="12"/>
          <w:rFonts w:ascii="Times New Roman" w:hAnsi="Times New Roman"/>
          <w:b/>
          <w:kern w:val="0"/>
          <w:lang/>
        </w:rPr>
        <w:t xml:space="preserve">7.4 </w:t>
      </w:r>
      <w:r>
        <w:rPr>
          <w:rStyle w:val="12"/>
          <w:rFonts w:hint="eastAsia" w:ascii="Times New Roman" w:hAnsi="Times New Roman"/>
          <w:b/>
          <w:kern w:val="0"/>
          <w:lang/>
        </w:rPr>
        <w:t>报表附注</w:t>
      </w:r>
      <w:r>
        <w:rPr>
          <w:lang/>
        </w:rPr>
        <w:tab/>
      </w:r>
      <w:r>
        <w:rPr>
          <w:lang/>
        </w:rPr>
        <w:fldChar w:fldCharType="begin"/>
      </w:r>
      <w:r>
        <w:rPr>
          <w:lang/>
        </w:rPr>
        <w:instrText xml:space="preserve"> PAGEREF _Toc477955740 \h </w:instrText>
      </w:r>
      <w:r>
        <w:rPr>
          <w:lang/>
        </w:rPr>
        <w:fldChar w:fldCharType="separate"/>
      </w:r>
      <w:r>
        <w:rPr>
          <w:lang/>
        </w:rPr>
        <w:t>22</w:t>
      </w:r>
      <w:r>
        <w:rPr>
          <w:lang/>
        </w:rPr>
        <w:fldChar w:fldCharType="end"/>
      </w:r>
      <w:r>
        <w:rPr>
          <w:rStyle w:val="12"/>
          <w:lang/>
        </w:rPr>
        <w:fldChar w:fldCharType="end"/>
      </w:r>
    </w:p>
    <w:p>
      <w:pPr>
        <w:pStyle w:val="7"/>
        <w:tabs>
          <w:tab w:val="right" w:leader="dot" w:pos="9076"/>
        </w:tabs>
        <w:rPr>
          <w:lang/>
        </w:rPr>
      </w:pPr>
      <w:r>
        <w:rPr>
          <w:rStyle w:val="12"/>
          <w:lang/>
        </w:rPr>
        <w:fldChar w:fldCharType="begin"/>
      </w:r>
      <w:r>
        <w:rPr>
          <w:rStyle w:val="12"/>
          <w:lang/>
        </w:rPr>
        <w:instrText xml:space="preserve"> </w:instrText>
      </w:r>
      <w:r>
        <w:rPr>
          <w:lang/>
        </w:rPr>
        <w:instrText xml:space="preserve">HYPERLINK \l "_Toc477955741"</w:instrText>
      </w:r>
      <w:r>
        <w:rPr>
          <w:rStyle w:val="12"/>
          <w:lang/>
        </w:rPr>
        <w:instrText xml:space="preserve"> </w:instrText>
      </w:r>
      <w:r>
        <w:rPr>
          <w:rStyle w:val="12"/>
          <w:lang/>
        </w:rPr>
        <w:fldChar w:fldCharType="separate"/>
      </w:r>
      <w:r>
        <w:rPr>
          <w:rStyle w:val="12"/>
          <w:rFonts w:ascii="Times New Roman" w:hAnsi="Times New Roman"/>
          <w:b/>
          <w:kern w:val="0"/>
          <w:lang/>
        </w:rPr>
        <w:t xml:space="preserve">§8  </w:t>
      </w:r>
      <w:r>
        <w:rPr>
          <w:rStyle w:val="12"/>
          <w:rFonts w:hint="eastAsia" w:ascii="Times New Roman" w:hAnsi="Times New Roman"/>
          <w:b/>
          <w:kern w:val="0"/>
          <w:lang/>
        </w:rPr>
        <w:t>投资组合报告</w:t>
      </w:r>
      <w:r>
        <w:rPr>
          <w:lang/>
        </w:rPr>
        <w:tab/>
      </w:r>
      <w:r>
        <w:rPr>
          <w:lang/>
        </w:rPr>
        <w:fldChar w:fldCharType="begin"/>
      </w:r>
      <w:r>
        <w:rPr>
          <w:lang/>
        </w:rPr>
        <w:instrText xml:space="preserve"> PAGEREF _Toc477955741 \h </w:instrText>
      </w:r>
      <w:r>
        <w:rPr>
          <w:lang/>
        </w:rPr>
        <w:fldChar w:fldCharType="separate"/>
      </w:r>
      <w:r>
        <w:rPr>
          <w:lang/>
        </w:rPr>
        <w:t>47</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"_Toc477955742"</w:instrText>
      </w:r>
      <w:r>
        <w:rPr>
          <w:rStyle w:val="12"/>
          <w:lang/>
        </w:rPr>
        <w:instrText xml:space="preserve"> </w:instrText>
      </w:r>
      <w:r>
        <w:rPr>
          <w:rStyle w:val="12"/>
          <w:lang/>
        </w:rPr>
        <w:fldChar w:fldCharType="separate"/>
      </w:r>
      <w:r>
        <w:rPr>
          <w:rStyle w:val="12"/>
          <w:rFonts w:ascii="Times New Roman" w:hAnsi="Times New Roman"/>
          <w:b/>
          <w:kern w:val="0"/>
          <w:lang/>
        </w:rPr>
        <w:t xml:space="preserve">8.1 </w:t>
      </w:r>
      <w:r>
        <w:rPr>
          <w:rStyle w:val="12"/>
          <w:rFonts w:hint="eastAsia" w:ascii="Times New Roman" w:hAnsi="Times New Roman"/>
          <w:b/>
          <w:kern w:val="0"/>
          <w:lang/>
        </w:rPr>
        <w:t>期末基金资产组合情况</w:t>
      </w:r>
      <w:r>
        <w:rPr>
          <w:lang/>
        </w:rPr>
        <w:tab/>
      </w:r>
      <w:r>
        <w:rPr>
          <w:lang/>
        </w:rPr>
        <w:fldChar w:fldCharType="begin"/>
      </w:r>
      <w:r>
        <w:rPr>
          <w:lang/>
        </w:rPr>
        <w:instrText xml:space="preserve"> PAGEREF _Toc477955742 \h </w:instrText>
      </w:r>
      <w:r>
        <w:rPr>
          <w:lang/>
        </w:rPr>
        <w:fldChar w:fldCharType="separate"/>
      </w:r>
      <w:r>
        <w:rPr>
          <w:lang/>
        </w:rPr>
        <w:t>47</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"_Toc477955743"</w:instrText>
      </w:r>
      <w:r>
        <w:rPr>
          <w:rStyle w:val="12"/>
          <w:lang/>
        </w:rPr>
        <w:instrText xml:space="preserve"> </w:instrText>
      </w:r>
      <w:r>
        <w:rPr>
          <w:rStyle w:val="12"/>
          <w:lang/>
        </w:rPr>
        <w:fldChar w:fldCharType="separate"/>
      </w:r>
      <w:r>
        <w:rPr>
          <w:rStyle w:val="12"/>
          <w:rFonts w:ascii="Times New Roman" w:hAnsi="Times New Roman"/>
          <w:b/>
          <w:kern w:val="0"/>
          <w:lang/>
        </w:rPr>
        <w:t xml:space="preserve">8.3 </w:t>
      </w:r>
      <w:r>
        <w:rPr>
          <w:rStyle w:val="12"/>
          <w:rFonts w:hint="eastAsia" w:ascii="Times New Roman" w:hAnsi="Times New Roman"/>
          <w:b/>
          <w:kern w:val="0"/>
          <w:lang/>
        </w:rPr>
        <w:t>期末按公允价值占基金资产净值比例大小排序的所有股票投资明细</w:t>
      </w:r>
      <w:r>
        <w:rPr>
          <w:lang/>
        </w:rPr>
        <w:tab/>
      </w:r>
      <w:r>
        <w:rPr>
          <w:lang/>
        </w:rPr>
        <w:fldChar w:fldCharType="begin"/>
      </w:r>
      <w:r>
        <w:rPr>
          <w:lang/>
        </w:rPr>
        <w:instrText xml:space="preserve"> PAGEREF _Toc477955743 \h </w:instrText>
      </w:r>
      <w:r>
        <w:rPr>
          <w:lang/>
        </w:rPr>
        <w:fldChar w:fldCharType="separate"/>
      </w:r>
      <w:r>
        <w:rPr>
          <w:lang/>
        </w:rPr>
        <w:t>48</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"_Toc477955744"</w:instrText>
      </w:r>
      <w:r>
        <w:rPr>
          <w:rStyle w:val="12"/>
          <w:lang/>
        </w:rPr>
        <w:instrText xml:space="preserve"> </w:instrText>
      </w:r>
      <w:r>
        <w:rPr>
          <w:rStyle w:val="12"/>
          <w:lang/>
        </w:rPr>
        <w:fldChar w:fldCharType="separate"/>
      </w:r>
      <w:r>
        <w:rPr>
          <w:rStyle w:val="12"/>
          <w:rFonts w:ascii="Times New Roman" w:hAnsi="Times New Roman"/>
          <w:b/>
          <w:kern w:val="0"/>
          <w:lang/>
        </w:rPr>
        <w:t xml:space="preserve">8.4 </w:t>
      </w:r>
      <w:r>
        <w:rPr>
          <w:rStyle w:val="12"/>
          <w:rFonts w:hint="eastAsia" w:ascii="Times New Roman" w:hAnsi="Times New Roman"/>
          <w:b/>
          <w:kern w:val="0"/>
          <w:lang/>
        </w:rPr>
        <w:t>报告期内股票投资组合的重大变动</w:t>
      </w:r>
      <w:r>
        <w:rPr>
          <w:lang/>
        </w:rPr>
        <w:tab/>
      </w:r>
      <w:r>
        <w:rPr>
          <w:lang/>
        </w:rPr>
        <w:fldChar w:fldCharType="begin"/>
      </w:r>
      <w:r>
        <w:rPr>
          <w:lang/>
        </w:rPr>
        <w:instrText xml:space="preserve"> PAGEREF _Toc477955744 \h </w:instrText>
      </w:r>
      <w:r>
        <w:rPr>
          <w:lang/>
        </w:rPr>
        <w:fldChar w:fldCharType="separate"/>
      </w:r>
      <w:r>
        <w:rPr>
          <w:lang/>
        </w:rPr>
        <w:t>50</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"_Toc477955745"</w:instrText>
      </w:r>
      <w:r>
        <w:rPr>
          <w:rStyle w:val="12"/>
          <w:lang/>
        </w:rPr>
        <w:instrText xml:space="preserve"> </w:instrText>
      </w:r>
      <w:r>
        <w:rPr>
          <w:rStyle w:val="12"/>
          <w:lang/>
        </w:rPr>
        <w:fldChar w:fldCharType="separate"/>
      </w:r>
      <w:r>
        <w:rPr>
          <w:rStyle w:val="12"/>
          <w:rFonts w:ascii="Times New Roman" w:hAnsi="Times New Roman"/>
          <w:b/>
          <w:kern w:val="0"/>
          <w:lang/>
        </w:rPr>
        <w:t xml:space="preserve">8.5 </w:t>
      </w:r>
      <w:r>
        <w:rPr>
          <w:rStyle w:val="12"/>
          <w:rFonts w:hint="eastAsia" w:ascii="Times New Roman" w:hAnsi="Times New Roman"/>
          <w:b/>
          <w:kern w:val="0"/>
          <w:lang/>
        </w:rPr>
        <w:t>期末按债券品种分类的债券投资组合</w:t>
      </w:r>
      <w:r>
        <w:rPr>
          <w:lang/>
        </w:rPr>
        <w:tab/>
      </w:r>
      <w:r>
        <w:rPr>
          <w:lang/>
        </w:rPr>
        <w:fldChar w:fldCharType="begin"/>
      </w:r>
      <w:r>
        <w:rPr>
          <w:lang/>
        </w:rPr>
        <w:instrText xml:space="preserve"> PAGEREF _Toc477955745 \h </w:instrText>
      </w:r>
      <w:r>
        <w:rPr>
          <w:lang/>
        </w:rPr>
        <w:fldChar w:fldCharType="separate"/>
      </w:r>
      <w:r>
        <w:rPr>
          <w:lang/>
        </w:rPr>
        <w:t>52</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"_Toc477955746"</w:instrText>
      </w:r>
      <w:r>
        <w:rPr>
          <w:rStyle w:val="12"/>
          <w:lang/>
        </w:rPr>
        <w:instrText xml:space="preserve"> </w:instrText>
      </w:r>
      <w:r>
        <w:rPr>
          <w:rStyle w:val="12"/>
          <w:lang/>
        </w:rPr>
        <w:fldChar w:fldCharType="separate"/>
      </w:r>
      <w:r>
        <w:rPr>
          <w:rStyle w:val="12"/>
          <w:rFonts w:ascii="Times New Roman" w:hAnsi="Times New Roman"/>
          <w:b/>
          <w:kern w:val="0"/>
          <w:lang/>
        </w:rPr>
        <w:t xml:space="preserve">8.6 </w:t>
      </w:r>
      <w:r>
        <w:rPr>
          <w:rStyle w:val="12"/>
          <w:rFonts w:hint="eastAsia" w:ascii="Times New Roman" w:hAnsi="Times New Roman"/>
          <w:b/>
          <w:kern w:val="0"/>
          <w:lang/>
        </w:rPr>
        <w:t>期末按公允价值占基金资产净值比例大小排序的前五名债券投资明细</w:t>
      </w:r>
      <w:r>
        <w:rPr>
          <w:lang/>
        </w:rPr>
        <w:tab/>
      </w:r>
      <w:r>
        <w:rPr>
          <w:lang/>
        </w:rPr>
        <w:fldChar w:fldCharType="begin"/>
      </w:r>
      <w:r>
        <w:rPr>
          <w:lang/>
        </w:rPr>
        <w:instrText xml:space="preserve"> PAGEREF _Toc477955746 \h </w:instrText>
      </w:r>
      <w:r>
        <w:rPr>
          <w:lang/>
        </w:rPr>
        <w:fldChar w:fldCharType="separate"/>
      </w:r>
      <w:r>
        <w:rPr>
          <w:lang/>
        </w:rPr>
        <w:t>52</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"_Toc477955747"</w:instrText>
      </w:r>
      <w:r>
        <w:rPr>
          <w:rStyle w:val="12"/>
          <w:lang/>
        </w:rPr>
        <w:instrText xml:space="preserve"> </w:instrText>
      </w:r>
      <w:r>
        <w:rPr>
          <w:rStyle w:val="12"/>
          <w:lang/>
        </w:rPr>
        <w:fldChar w:fldCharType="separate"/>
      </w:r>
      <w:r>
        <w:rPr>
          <w:rStyle w:val="12"/>
          <w:rFonts w:ascii="Times New Roman" w:hAnsi="Times New Roman"/>
          <w:b/>
          <w:kern w:val="0"/>
          <w:lang/>
        </w:rPr>
        <w:t xml:space="preserve">8.7 </w:t>
      </w:r>
      <w:r>
        <w:rPr>
          <w:rStyle w:val="12"/>
          <w:rFonts w:hint="eastAsia" w:ascii="Times New Roman" w:hAnsi="Times New Roman"/>
          <w:b/>
          <w:kern w:val="0"/>
          <w:lang/>
        </w:rPr>
        <w:t>期末按公允价值占基金资产净值比例大小排序的所有资产支持证券投资明细</w:t>
      </w:r>
      <w:r>
        <w:rPr>
          <w:lang/>
        </w:rPr>
        <w:tab/>
      </w:r>
      <w:r>
        <w:rPr>
          <w:lang/>
        </w:rPr>
        <w:fldChar w:fldCharType="begin"/>
      </w:r>
      <w:r>
        <w:rPr>
          <w:lang/>
        </w:rPr>
        <w:instrText xml:space="preserve"> PAGEREF _Toc477955747 \h </w:instrText>
      </w:r>
      <w:r>
        <w:rPr>
          <w:lang/>
        </w:rPr>
        <w:fldChar w:fldCharType="separate"/>
      </w:r>
      <w:r>
        <w:rPr>
          <w:lang/>
        </w:rPr>
        <w:t>53</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"_Toc477955748"</w:instrText>
      </w:r>
      <w:r>
        <w:rPr>
          <w:rStyle w:val="12"/>
          <w:lang/>
        </w:rPr>
        <w:instrText xml:space="preserve"> </w:instrText>
      </w:r>
      <w:r>
        <w:rPr>
          <w:rStyle w:val="12"/>
          <w:lang/>
        </w:rPr>
        <w:fldChar w:fldCharType="separate"/>
      </w:r>
      <w:r>
        <w:rPr>
          <w:rStyle w:val="12"/>
          <w:rFonts w:ascii="Times New Roman" w:hAnsi="Times New Roman"/>
          <w:b/>
          <w:kern w:val="0"/>
          <w:lang/>
        </w:rPr>
        <w:t xml:space="preserve">8.8 </w:t>
      </w:r>
      <w:r>
        <w:rPr>
          <w:rStyle w:val="12"/>
          <w:rFonts w:hint="eastAsia" w:ascii="Times New Roman" w:hAnsi="Times New Roman"/>
          <w:b/>
          <w:kern w:val="0"/>
          <w:lang/>
        </w:rPr>
        <w:t>报告期末按公允价值占基金资产净值比例大小排序的前五名贵金属投资明细</w:t>
      </w:r>
      <w:r>
        <w:rPr>
          <w:lang/>
        </w:rPr>
        <w:tab/>
      </w:r>
      <w:r>
        <w:rPr>
          <w:lang/>
        </w:rPr>
        <w:fldChar w:fldCharType="begin"/>
      </w:r>
      <w:r>
        <w:rPr>
          <w:lang/>
        </w:rPr>
        <w:instrText xml:space="preserve"> PAGEREF _Toc477955748 \h </w:instrText>
      </w:r>
      <w:r>
        <w:rPr>
          <w:lang/>
        </w:rPr>
        <w:fldChar w:fldCharType="separate"/>
      </w:r>
      <w:r>
        <w:rPr>
          <w:lang/>
        </w:rPr>
        <w:t>53</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"_Toc477955749"</w:instrText>
      </w:r>
      <w:r>
        <w:rPr>
          <w:rStyle w:val="12"/>
          <w:lang/>
        </w:rPr>
        <w:instrText xml:space="preserve"> </w:instrText>
      </w:r>
      <w:r>
        <w:rPr>
          <w:rStyle w:val="12"/>
          <w:lang/>
        </w:rPr>
        <w:fldChar w:fldCharType="separate"/>
      </w:r>
      <w:r>
        <w:rPr>
          <w:rStyle w:val="12"/>
          <w:rFonts w:ascii="Times New Roman" w:hAnsi="Times New Roman"/>
          <w:b/>
          <w:kern w:val="0"/>
          <w:lang/>
        </w:rPr>
        <w:t xml:space="preserve">8.9 </w:t>
      </w:r>
      <w:r>
        <w:rPr>
          <w:rStyle w:val="12"/>
          <w:rFonts w:hint="eastAsia" w:ascii="Times New Roman" w:hAnsi="Times New Roman"/>
          <w:b/>
          <w:kern w:val="0"/>
          <w:lang/>
        </w:rPr>
        <w:t>期末按公允价值占基金资产净值比例大小排序的前五名权证投资明细</w:t>
      </w:r>
      <w:r>
        <w:rPr>
          <w:lang/>
        </w:rPr>
        <w:tab/>
      </w:r>
      <w:r>
        <w:rPr>
          <w:lang/>
        </w:rPr>
        <w:fldChar w:fldCharType="begin"/>
      </w:r>
      <w:r>
        <w:rPr>
          <w:lang/>
        </w:rPr>
        <w:instrText xml:space="preserve"> PAGEREF _Toc477955749 \h </w:instrText>
      </w:r>
      <w:r>
        <w:rPr>
          <w:lang/>
        </w:rPr>
        <w:fldChar w:fldCharType="separate"/>
      </w:r>
      <w:r>
        <w:rPr>
          <w:lang/>
        </w:rPr>
        <w:t>53</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"_Toc477955750"</w:instrText>
      </w:r>
      <w:r>
        <w:rPr>
          <w:rStyle w:val="12"/>
          <w:lang/>
        </w:rPr>
        <w:instrText xml:space="preserve"> </w:instrText>
      </w:r>
      <w:r>
        <w:rPr>
          <w:rStyle w:val="12"/>
          <w:lang/>
        </w:rPr>
        <w:fldChar w:fldCharType="separate"/>
      </w:r>
      <w:r>
        <w:rPr>
          <w:rStyle w:val="12"/>
          <w:rFonts w:ascii="Times New Roman" w:hAnsi="Times New Roman"/>
          <w:b/>
          <w:kern w:val="0"/>
          <w:lang/>
        </w:rPr>
        <w:t xml:space="preserve">8.10 </w:t>
      </w:r>
      <w:r>
        <w:rPr>
          <w:rStyle w:val="12"/>
          <w:rFonts w:hint="eastAsia" w:ascii="Times New Roman" w:hAnsi="Times New Roman"/>
          <w:b/>
          <w:kern w:val="0"/>
          <w:lang/>
        </w:rPr>
        <w:t>报告期末本基金投资的股指期货交易情况说明</w:t>
      </w:r>
      <w:r>
        <w:rPr>
          <w:lang/>
        </w:rPr>
        <w:tab/>
      </w:r>
      <w:r>
        <w:rPr>
          <w:lang/>
        </w:rPr>
        <w:fldChar w:fldCharType="begin"/>
      </w:r>
      <w:r>
        <w:rPr>
          <w:lang/>
        </w:rPr>
        <w:instrText xml:space="preserve"> PAGEREF _Toc477955750 \h </w:instrText>
      </w:r>
      <w:r>
        <w:rPr>
          <w:lang/>
        </w:rPr>
        <w:fldChar w:fldCharType="separate"/>
      </w:r>
      <w:r>
        <w:rPr>
          <w:lang/>
        </w:rPr>
        <w:t>53</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"_Toc477955751"</w:instrText>
      </w:r>
      <w:r>
        <w:rPr>
          <w:rStyle w:val="12"/>
          <w:lang/>
        </w:rPr>
        <w:instrText xml:space="preserve"> </w:instrText>
      </w:r>
      <w:r>
        <w:rPr>
          <w:rStyle w:val="12"/>
          <w:lang/>
        </w:rPr>
        <w:fldChar w:fldCharType="separate"/>
      </w:r>
      <w:r>
        <w:rPr>
          <w:rStyle w:val="12"/>
          <w:rFonts w:ascii="Times New Roman" w:hAnsi="Times New Roman"/>
          <w:b/>
          <w:kern w:val="0"/>
          <w:lang/>
        </w:rPr>
        <w:t xml:space="preserve">8.11 </w:t>
      </w:r>
      <w:r>
        <w:rPr>
          <w:rStyle w:val="12"/>
          <w:rFonts w:hint="eastAsia" w:ascii="Times New Roman" w:hAnsi="Times New Roman"/>
          <w:b/>
          <w:kern w:val="0"/>
          <w:lang/>
        </w:rPr>
        <w:t>报告期末本基金投资的国债期货交易情况说明</w:t>
      </w:r>
      <w:r>
        <w:rPr>
          <w:lang/>
        </w:rPr>
        <w:tab/>
      </w:r>
      <w:r>
        <w:rPr>
          <w:lang/>
        </w:rPr>
        <w:fldChar w:fldCharType="begin"/>
      </w:r>
      <w:r>
        <w:rPr>
          <w:lang/>
        </w:rPr>
        <w:instrText xml:space="preserve"> PAGEREF _Toc477955751 \h </w:instrText>
      </w:r>
      <w:r>
        <w:rPr>
          <w:lang/>
        </w:rPr>
        <w:fldChar w:fldCharType="separate"/>
      </w:r>
      <w:r>
        <w:rPr>
          <w:lang/>
        </w:rPr>
        <w:t>53</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"_Toc477955752"</w:instrText>
      </w:r>
      <w:r>
        <w:rPr>
          <w:rStyle w:val="12"/>
          <w:lang/>
        </w:rPr>
        <w:instrText xml:space="preserve"> </w:instrText>
      </w:r>
      <w:r>
        <w:rPr>
          <w:rStyle w:val="12"/>
          <w:lang/>
        </w:rPr>
        <w:fldChar w:fldCharType="separate"/>
      </w:r>
      <w:r>
        <w:rPr>
          <w:rStyle w:val="12"/>
          <w:rFonts w:ascii="Times New Roman" w:hAnsi="Times New Roman"/>
          <w:b/>
          <w:kern w:val="0"/>
          <w:lang/>
        </w:rPr>
        <w:t xml:space="preserve">8.12 </w:t>
      </w:r>
      <w:r>
        <w:rPr>
          <w:rStyle w:val="12"/>
          <w:rFonts w:hint="eastAsia" w:ascii="Times New Roman" w:hAnsi="Times New Roman"/>
          <w:b/>
          <w:kern w:val="0"/>
          <w:lang/>
        </w:rPr>
        <w:t>投资组合报告附注</w:t>
      </w:r>
      <w:r>
        <w:rPr>
          <w:lang/>
        </w:rPr>
        <w:tab/>
      </w:r>
      <w:r>
        <w:rPr>
          <w:lang/>
        </w:rPr>
        <w:fldChar w:fldCharType="begin"/>
      </w:r>
      <w:r>
        <w:rPr>
          <w:lang/>
        </w:rPr>
        <w:instrText xml:space="preserve"> PAGEREF _Toc477955752 \h </w:instrText>
      </w:r>
      <w:r>
        <w:rPr>
          <w:lang/>
        </w:rPr>
        <w:fldChar w:fldCharType="separate"/>
      </w:r>
      <w:r>
        <w:rPr>
          <w:lang/>
        </w:rPr>
        <w:t>53</w:t>
      </w:r>
      <w:r>
        <w:rPr>
          <w:lang/>
        </w:rPr>
        <w:fldChar w:fldCharType="end"/>
      </w:r>
      <w:r>
        <w:rPr>
          <w:rStyle w:val="12"/>
          <w:lang/>
        </w:rPr>
        <w:fldChar w:fldCharType="end"/>
      </w:r>
    </w:p>
    <w:p>
      <w:pPr>
        <w:pStyle w:val="7"/>
        <w:tabs>
          <w:tab w:val="right" w:leader="dot" w:pos="9076"/>
        </w:tabs>
        <w:rPr>
          <w:lang/>
        </w:rPr>
      </w:pPr>
      <w:r>
        <w:rPr>
          <w:rStyle w:val="12"/>
          <w:lang/>
        </w:rPr>
        <w:fldChar w:fldCharType="begin"/>
      </w:r>
      <w:r>
        <w:rPr>
          <w:rStyle w:val="12"/>
          <w:lang/>
        </w:rPr>
        <w:instrText xml:space="preserve"> </w:instrText>
      </w:r>
      <w:r>
        <w:rPr>
          <w:lang/>
        </w:rPr>
        <w:instrText xml:space="preserve">HYPERLINK \l "_Toc477955753"</w:instrText>
      </w:r>
      <w:r>
        <w:rPr>
          <w:rStyle w:val="12"/>
          <w:lang/>
        </w:rPr>
        <w:instrText xml:space="preserve"> </w:instrText>
      </w:r>
      <w:r>
        <w:rPr>
          <w:rStyle w:val="12"/>
          <w:lang/>
        </w:rPr>
        <w:fldChar w:fldCharType="separate"/>
      </w:r>
      <w:r>
        <w:rPr>
          <w:rStyle w:val="12"/>
          <w:rFonts w:ascii="Times New Roman" w:hAnsi="Times New Roman"/>
          <w:b/>
          <w:kern w:val="0"/>
          <w:lang/>
        </w:rPr>
        <w:t xml:space="preserve">§9 </w:t>
      </w:r>
      <w:r>
        <w:rPr>
          <w:rStyle w:val="12"/>
          <w:rFonts w:hint="eastAsia" w:ascii="Times New Roman" w:hAnsi="Times New Roman"/>
          <w:b/>
          <w:kern w:val="0"/>
          <w:lang/>
        </w:rPr>
        <w:t>基金份额持有人信息</w:t>
      </w:r>
      <w:r>
        <w:rPr>
          <w:lang/>
        </w:rPr>
        <w:tab/>
      </w:r>
      <w:r>
        <w:rPr>
          <w:lang/>
        </w:rPr>
        <w:fldChar w:fldCharType="begin"/>
      </w:r>
      <w:r>
        <w:rPr>
          <w:lang/>
        </w:rPr>
        <w:instrText xml:space="preserve"> PAGEREF _Toc477955753 \h </w:instrText>
      </w:r>
      <w:r>
        <w:rPr>
          <w:lang/>
        </w:rPr>
        <w:fldChar w:fldCharType="separate"/>
      </w:r>
      <w:r>
        <w:rPr>
          <w:lang/>
        </w:rPr>
        <w:t>54</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"_Toc477955754"</w:instrText>
      </w:r>
      <w:r>
        <w:rPr>
          <w:rStyle w:val="12"/>
          <w:lang/>
        </w:rPr>
        <w:instrText xml:space="preserve"> </w:instrText>
      </w:r>
      <w:r>
        <w:rPr>
          <w:rStyle w:val="12"/>
          <w:lang/>
        </w:rPr>
        <w:fldChar w:fldCharType="separate"/>
      </w:r>
      <w:r>
        <w:rPr>
          <w:rStyle w:val="12"/>
          <w:rFonts w:ascii="Times New Roman" w:hAnsi="Times New Roman"/>
          <w:b/>
          <w:kern w:val="0"/>
          <w:lang/>
        </w:rPr>
        <w:t xml:space="preserve">9.1 </w:t>
      </w:r>
      <w:r>
        <w:rPr>
          <w:rStyle w:val="12"/>
          <w:rFonts w:hint="eastAsia" w:ascii="Times New Roman" w:hAnsi="Times New Roman"/>
          <w:b/>
          <w:kern w:val="0"/>
          <w:lang/>
        </w:rPr>
        <w:t>期末基金份额持有人户数及持有人结构</w:t>
      </w:r>
      <w:r>
        <w:rPr>
          <w:lang/>
        </w:rPr>
        <w:tab/>
      </w:r>
      <w:r>
        <w:rPr>
          <w:lang/>
        </w:rPr>
        <w:fldChar w:fldCharType="begin"/>
      </w:r>
      <w:r>
        <w:rPr>
          <w:lang/>
        </w:rPr>
        <w:instrText xml:space="preserve"> PAGEREF _Toc477955754 \h </w:instrText>
      </w:r>
      <w:r>
        <w:rPr>
          <w:lang/>
        </w:rPr>
        <w:fldChar w:fldCharType="separate"/>
      </w:r>
      <w:r>
        <w:rPr>
          <w:lang/>
        </w:rPr>
        <w:t>54</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"_Toc477955755"</w:instrText>
      </w:r>
      <w:r>
        <w:rPr>
          <w:rStyle w:val="12"/>
          <w:lang/>
        </w:rPr>
        <w:instrText xml:space="preserve"> </w:instrText>
      </w:r>
      <w:r>
        <w:rPr>
          <w:rStyle w:val="12"/>
          <w:lang/>
        </w:rPr>
        <w:fldChar w:fldCharType="separate"/>
      </w:r>
      <w:r>
        <w:rPr>
          <w:rStyle w:val="12"/>
          <w:rFonts w:ascii="Times New Roman" w:hAnsi="Times New Roman"/>
          <w:b/>
          <w:kern w:val="0"/>
          <w:lang/>
        </w:rPr>
        <w:t xml:space="preserve">9.2 </w:t>
      </w:r>
      <w:r>
        <w:rPr>
          <w:rStyle w:val="12"/>
          <w:rFonts w:hint="eastAsia" w:ascii="Times New Roman" w:hAnsi="Times New Roman"/>
          <w:b/>
          <w:kern w:val="0"/>
          <w:lang/>
        </w:rPr>
        <w:t>期末基金管理人的从业人员持有本基金的情况</w:t>
      </w:r>
      <w:r>
        <w:rPr>
          <w:lang/>
        </w:rPr>
        <w:tab/>
      </w:r>
      <w:r>
        <w:rPr>
          <w:lang/>
        </w:rPr>
        <w:fldChar w:fldCharType="begin"/>
      </w:r>
      <w:r>
        <w:rPr>
          <w:lang/>
        </w:rPr>
        <w:instrText xml:space="preserve"> PAGEREF _Toc477955755 \h </w:instrText>
      </w:r>
      <w:r>
        <w:rPr>
          <w:lang/>
        </w:rPr>
        <w:fldChar w:fldCharType="separate"/>
      </w:r>
      <w:r>
        <w:rPr>
          <w:lang/>
        </w:rPr>
        <w:t>55</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"_Toc477955756"</w:instrText>
      </w:r>
      <w:r>
        <w:rPr>
          <w:rStyle w:val="12"/>
          <w:lang/>
        </w:rPr>
        <w:instrText xml:space="preserve"> </w:instrText>
      </w:r>
      <w:r>
        <w:rPr>
          <w:rStyle w:val="12"/>
          <w:lang/>
        </w:rPr>
        <w:fldChar w:fldCharType="separate"/>
      </w:r>
      <w:r>
        <w:rPr>
          <w:rStyle w:val="12"/>
          <w:rFonts w:ascii="Times New Roman" w:hAnsi="Times New Roman"/>
          <w:b/>
          <w:kern w:val="0"/>
          <w:lang/>
        </w:rPr>
        <w:t xml:space="preserve">9.3 </w:t>
      </w:r>
      <w:r>
        <w:rPr>
          <w:rStyle w:val="12"/>
          <w:rFonts w:hint="eastAsia" w:ascii="Times New Roman" w:hAnsi="Times New Roman"/>
          <w:b/>
          <w:kern w:val="0"/>
          <w:lang/>
        </w:rPr>
        <w:t>期末基金管理人的从业人员持有本开放式基金份额总量区间情况</w:t>
      </w:r>
      <w:r>
        <w:rPr>
          <w:lang/>
        </w:rPr>
        <w:tab/>
      </w:r>
      <w:r>
        <w:rPr>
          <w:lang/>
        </w:rPr>
        <w:fldChar w:fldCharType="begin"/>
      </w:r>
      <w:r>
        <w:rPr>
          <w:lang/>
        </w:rPr>
        <w:instrText xml:space="preserve"> PAGEREF _Toc477955756 \h </w:instrText>
      </w:r>
      <w:r>
        <w:rPr>
          <w:lang/>
        </w:rPr>
        <w:fldChar w:fldCharType="separate"/>
      </w:r>
      <w:r>
        <w:rPr>
          <w:lang/>
        </w:rPr>
        <w:t>55</w:t>
      </w:r>
      <w:r>
        <w:rPr>
          <w:lang/>
        </w:rPr>
        <w:fldChar w:fldCharType="end"/>
      </w:r>
      <w:r>
        <w:rPr>
          <w:rStyle w:val="12"/>
          <w:lang/>
        </w:rPr>
        <w:fldChar w:fldCharType="end"/>
      </w:r>
    </w:p>
    <w:p>
      <w:pPr>
        <w:pStyle w:val="7"/>
        <w:tabs>
          <w:tab w:val="right" w:leader="dot" w:pos="9076"/>
        </w:tabs>
        <w:rPr>
          <w:lang/>
        </w:rPr>
      </w:pPr>
      <w:r>
        <w:rPr>
          <w:rStyle w:val="12"/>
          <w:lang/>
        </w:rPr>
        <w:fldChar w:fldCharType="begin"/>
      </w:r>
      <w:r>
        <w:rPr>
          <w:rStyle w:val="12"/>
          <w:lang/>
        </w:rPr>
        <w:instrText xml:space="preserve"> </w:instrText>
      </w:r>
      <w:r>
        <w:rPr>
          <w:lang/>
        </w:rPr>
        <w:instrText xml:space="preserve">HYPERLINK \l "_Toc477955757"</w:instrText>
      </w:r>
      <w:r>
        <w:rPr>
          <w:rStyle w:val="12"/>
          <w:lang/>
        </w:rPr>
        <w:instrText xml:space="preserve"> </w:instrText>
      </w:r>
      <w:r>
        <w:rPr>
          <w:rStyle w:val="12"/>
          <w:lang/>
        </w:rPr>
        <w:fldChar w:fldCharType="separate"/>
      </w:r>
      <w:r>
        <w:rPr>
          <w:rStyle w:val="12"/>
          <w:rFonts w:ascii="Times New Roman" w:hAnsi="Times New Roman"/>
          <w:b/>
          <w:kern w:val="0"/>
          <w:lang/>
        </w:rPr>
        <w:t xml:space="preserve">§10 </w:t>
      </w:r>
      <w:r>
        <w:rPr>
          <w:rStyle w:val="12"/>
          <w:rFonts w:hint="eastAsia" w:ascii="Times New Roman" w:hAnsi="Times New Roman"/>
          <w:b/>
          <w:kern w:val="0"/>
          <w:lang/>
        </w:rPr>
        <w:t>开放式基金份额变动</w:t>
      </w:r>
      <w:r>
        <w:rPr>
          <w:lang/>
        </w:rPr>
        <w:tab/>
      </w:r>
      <w:r>
        <w:rPr>
          <w:lang/>
        </w:rPr>
        <w:fldChar w:fldCharType="begin"/>
      </w:r>
      <w:r>
        <w:rPr>
          <w:lang/>
        </w:rPr>
        <w:instrText xml:space="preserve"> PAGEREF _Toc477955757 \h </w:instrText>
      </w:r>
      <w:r>
        <w:rPr>
          <w:lang/>
        </w:rPr>
        <w:fldChar w:fldCharType="separate"/>
      </w:r>
      <w:r>
        <w:rPr>
          <w:lang/>
        </w:rPr>
        <w:t>55</w:t>
      </w:r>
      <w:r>
        <w:rPr>
          <w:lang/>
        </w:rPr>
        <w:fldChar w:fldCharType="end"/>
      </w:r>
      <w:r>
        <w:rPr>
          <w:rStyle w:val="12"/>
          <w:lang/>
        </w:rPr>
        <w:fldChar w:fldCharType="end"/>
      </w:r>
    </w:p>
    <w:p>
      <w:pPr>
        <w:pStyle w:val="7"/>
        <w:tabs>
          <w:tab w:val="right" w:leader="dot" w:pos="9076"/>
        </w:tabs>
        <w:rPr>
          <w:lang/>
        </w:rPr>
      </w:pPr>
      <w:r>
        <w:rPr>
          <w:rStyle w:val="12"/>
          <w:lang/>
        </w:rPr>
        <w:fldChar w:fldCharType="begin"/>
      </w:r>
      <w:r>
        <w:rPr>
          <w:rStyle w:val="12"/>
          <w:lang/>
        </w:rPr>
        <w:instrText xml:space="preserve"> </w:instrText>
      </w:r>
      <w:r>
        <w:rPr>
          <w:lang/>
        </w:rPr>
        <w:instrText xml:space="preserve">HYPERLINK \l "_Toc477955758"</w:instrText>
      </w:r>
      <w:r>
        <w:rPr>
          <w:rStyle w:val="12"/>
          <w:lang/>
        </w:rPr>
        <w:instrText xml:space="preserve"> </w:instrText>
      </w:r>
      <w:r>
        <w:rPr>
          <w:rStyle w:val="12"/>
          <w:lang/>
        </w:rPr>
        <w:fldChar w:fldCharType="separate"/>
      </w:r>
      <w:r>
        <w:rPr>
          <w:rStyle w:val="12"/>
          <w:rFonts w:ascii="Times New Roman" w:hAnsi="Times New Roman"/>
          <w:b/>
          <w:kern w:val="0"/>
          <w:lang/>
        </w:rPr>
        <w:t xml:space="preserve">§11 </w:t>
      </w:r>
      <w:r>
        <w:rPr>
          <w:rStyle w:val="12"/>
          <w:rFonts w:hint="eastAsia" w:ascii="Times New Roman" w:hAnsi="Times New Roman"/>
          <w:b/>
          <w:kern w:val="0"/>
          <w:lang/>
        </w:rPr>
        <w:t>重大事件揭示</w:t>
      </w:r>
      <w:r>
        <w:rPr>
          <w:lang/>
        </w:rPr>
        <w:tab/>
      </w:r>
      <w:r>
        <w:rPr>
          <w:lang/>
        </w:rPr>
        <w:fldChar w:fldCharType="begin"/>
      </w:r>
      <w:r>
        <w:rPr>
          <w:lang/>
        </w:rPr>
        <w:instrText xml:space="preserve"> PAGEREF _Toc477955758 \h </w:instrText>
      </w:r>
      <w:r>
        <w:rPr>
          <w:lang/>
        </w:rPr>
        <w:fldChar w:fldCharType="separate"/>
      </w:r>
      <w:r>
        <w:rPr>
          <w:lang/>
        </w:rPr>
        <w:t>56</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"_Toc477955759"</w:instrText>
      </w:r>
      <w:r>
        <w:rPr>
          <w:rStyle w:val="12"/>
          <w:lang/>
        </w:rPr>
        <w:instrText xml:space="preserve"> </w:instrText>
      </w:r>
      <w:r>
        <w:rPr>
          <w:rStyle w:val="12"/>
          <w:lang/>
        </w:rPr>
        <w:fldChar w:fldCharType="separate"/>
      </w:r>
      <w:r>
        <w:rPr>
          <w:rStyle w:val="12"/>
          <w:rFonts w:ascii="Times New Roman" w:hAnsi="Times New Roman"/>
          <w:b/>
          <w:kern w:val="0"/>
          <w:lang/>
        </w:rPr>
        <w:t xml:space="preserve">11.1 </w:t>
      </w:r>
      <w:r>
        <w:rPr>
          <w:rStyle w:val="12"/>
          <w:rFonts w:hint="eastAsia" w:ascii="Times New Roman" w:hAnsi="Times New Roman"/>
          <w:b/>
          <w:kern w:val="0"/>
          <w:lang/>
        </w:rPr>
        <w:t>基金份额持有人大会决议</w:t>
      </w:r>
      <w:r>
        <w:rPr>
          <w:lang/>
        </w:rPr>
        <w:tab/>
      </w:r>
      <w:r>
        <w:rPr>
          <w:lang/>
        </w:rPr>
        <w:fldChar w:fldCharType="begin"/>
      </w:r>
      <w:r>
        <w:rPr>
          <w:lang/>
        </w:rPr>
        <w:instrText xml:space="preserve"> PAGEREF _Toc477955759 \h </w:instrText>
      </w:r>
      <w:r>
        <w:rPr>
          <w:lang/>
        </w:rPr>
        <w:fldChar w:fldCharType="separate"/>
      </w:r>
      <w:r>
        <w:rPr>
          <w:lang/>
        </w:rPr>
        <w:t>56</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"_Toc477955760"</w:instrText>
      </w:r>
      <w:r>
        <w:rPr>
          <w:rStyle w:val="12"/>
          <w:lang/>
        </w:rPr>
        <w:instrText xml:space="preserve"> </w:instrText>
      </w:r>
      <w:r>
        <w:rPr>
          <w:rStyle w:val="12"/>
          <w:lang/>
        </w:rPr>
        <w:fldChar w:fldCharType="separate"/>
      </w:r>
      <w:r>
        <w:rPr>
          <w:rStyle w:val="12"/>
          <w:rFonts w:ascii="Times New Roman" w:hAnsi="Times New Roman"/>
          <w:b/>
          <w:kern w:val="0"/>
          <w:lang/>
        </w:rPr>
        <w:t xml:space="preserve">11.2 </w:t>
      </w:r>
      <w:r>
        <w:rPr>
          <w:rStyle w:val="12"/>
          <w:rFonts w:hint="eastAsia" w:ascii="Times New Roman" w:hAnsi="Times New Roman"/>
          <w:b/>
          <w:kern w:val="0"/>
          <w:lang/>
        </w:rPr>
        <w:t>基金管理人、基金托管人的专门基金托管部门的重大人事变动</w:t>
      </w:r>
      <w:r>
        <w:rPr>
          <w:lang/>
        </w:rPr>
        <w:tab/>
      </w:r>
      <w:r>
        <w:rPr>
          <w:lang/>
        </w:rPr>
        <w:fldChar w:fldCharType="begin"/>
      </w:r>
      <w:r>
        <w:rPr>
          <w:lang/>
        </w:rPr>
        <w:instrText xml:space="preserve"> PAGEREF _Toc477955760 \h </w:instrText>
      </w:r>
      <w:r>
        <w:rPr>
          <w:lang/>
        </w:rPr>
        <w:fldChar w:fldCharType="separate"/>
      </w:r>
      <w:r>
        <w:rPr>
          <w:lang/>
        </w:rPr>
        <w:t>56</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"_Toc477955761"</w:instrText>
      </w:r>
      <w:r>
        <w:rPr>
          <w:rStyle w:val="12"/>
          <w:lang/>
        </w:rPr>
        <w:instrText xml:space="preserve"> </w:instrText>
      </w:r>
      <w:r>
        <w:rPr>
          <w:rStyle w:val="12"/>
          <w:lang/>
        </w:rPr>
        <w:fldChar w:fldCharType="separate"/>
      </w:r>
      <w:r>
        <w:rPr>
          <w:rStyle w:val="12"/>
          <w:rFonts w:ascii="Times New Roman" w:hAnsi="Times New Roman"/>
          <w:b/>
          <w:kern w:val="0"/>
          <w:lang/>
        </w:rPr>
        <w:t xml:space="preserve">11.3 </w:t>
      </w:r>
      <w:r>
        <w:rPr>
          <w:rStyle w:val="12"/>
          <w:rFonts w:hint="eastAsia" w:ascii="Times New Roman" w:hAnsi="Times New Roman"/>
          <w:b/>
          <w:kern w:val="0"/>
          <w:lang/>
        </w:rPr>
        <w:t>涉及基金管理人、基金财产、基金托管业务的诉讼</w:t>
      </w:r>
      <w:r>
        <w:rPr>
          <w:lang/>
        </w:rPr>
        <w:tab/>
      </w:r>
      <w:r>
        <w:rPr>
          <w:lang/>
        </w:rPr>
        <w:fldChar w:fldCharType="begin"/>
      </w:r>
      <w:r>
        <w:rPr>
          <w:lang/>
        </w:rPr>
        <w:instrText xml:space="preserve"> PAGEREF _Toc477955761 \h </w:instrText>
      </w:r>
      <w:r>
        <w:rPr>
          <w:lang/>
        </w:rPr>
        <w:fldChar w:fldCharType="separate"/>
      </w:r>
      <w:r>
        <w:rPr>
          <w:lang/>
        </w:rPr>
        <w:t>56</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"_Toc477955762"</w:instrText>
      </w:r>
      <w:r>
        <w:rPr>
          <w:rStyle w:val="12"/>
          <w:lang/>
        </w:rPr>
        <w:instrText xml:space="preserve"> </w:instrText>
      </w:r>
      <w:r>
        <w:rPr>
          <w:rStyle w:val="12"/>
          <w:lang/>
        </w:rPr>
        <w:fldChar w:fldCharType="separate"/>
      </w:r>
      <w:r>
        <w:rPr>
          <w:rStyle w:val="12"/>
          <w:rFonts w:ascii="Times New Roman" w:hAnsi="Times New Roman"/>
          <w:b/>
          <w:kern w:val="0"/>
          <w:lang/>
        </w:rPr>
        <w:t xml:space="preserve">11.4 </w:t>
      </w:r>
      <w:r>
        <w:rPr>
          <w:rStyle w:val="12"/>
          <w:rFonts w:hint="eastAsia" w:ascii="Times New Roman" w:hAnsi="Times New Roman"/>
          <w:b/>
          <w:kern w:val="0"/>
          <w:lang/>
        </w:rPr>
        <w:t>基金投资策略的改变</w:t>
      </w:r>
      <w:r>
        <w:rPr>
          <w:lang/>
        </w:rPr>
        <w:tab/>
      </w:r>
      <w:r>
        <w:rPr>
          <w:lang/>
        </w:rPr>
        <w:fldChar w:fldCharType="begin"/>
      </w:r>
      <w:r>
        <w:rPr>
          <w:lang/>
        </w:rPr>
        <w:instrText xml:space="preserve"> PAGEREF _Toc477955762 \h </w:instrText>
      </w:r>
      <w:r>
        <w:rPr>
          <w:lang/>
        </w:rPr>
        <w:fldChar w:fldCharType="separate"/>
      </w:r>
      <w:r>
        <w:rPr>
          <w:lang/>
        </w:rPr>
        <w:t>56</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"_Toc477955763"</w:instrText>
      </w:r>
      <w:r>
        <w:rPr>
          <w:rStyle w:val="12"/>
          <w:lang/>
        </w:rPr>
        <w:instrText xml:space="preserve"> </w:instrText>
      </w:r>
      <w:r>
        <w:rPr>
          <w:rStyle w:val="12"/>
          <w:lang/>
        </w:rPr>
        <w:fldChar w:fldCharType="separate"/>
      </w:r>
      <w:r>
        <w:rPr>
          <w:rStyle w:val="12"/>
          <w:rFonts w:ascii="Times New Roman" w:hAnsi="Times New Roman"/>
          <w:b/>
          <w:kern w:val="0"/>
          <w:lang/>
        </w:rPr>
        <w:t xml:space="preserve">11.5 </w:t>
      </w:r>
      <w:r>
        <w:rPr>
          <w:rStyle w:val="12"/>
          <w:rFonts w:hint="eastAsia" w:ascii="Times New Roman" w:hAnsi="Times New Roman"/>
          <w:b/>
          <w:kern w:val="0"/>
          <w:lang/>
        </w:rPr>
        <w:t>为基金进行审计的会计师事务所情况</w:t>
      </w:r>
      <w:r>
        <w:rPr>
          <w:lang/>
        </w:rPr>
        <w:tab/>
      </w:r>
      <w:r>
        <w:rPr>
          <w:lang/>
        </w:rPr>
        <w:fldChar w:fldCharType="begin"/>
      </w:r>
      <w:r>
        <w:rPr>
          <w:lang/>
        </w:rPr>
        <w:instrText xml:space="preserve"> PAGEREF _Toc477955763 \h </w:instrText>
      </w:r>
      <w:r>
        <w:rPr>
          <w:lang/>
        </w:rPr>
        <w:fldChar w:fldCharType="separate"/>
      </w:r>
      <w:r>
        <w:rPr>
          <w:lang/>
        </w:rPr>
        <w:t>56</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"_Toc477955764"</w:instrText>
      </w:r>
      <w:r>
        <w:rPr>
          <w:rStyle w:val="12"/>
          <w:lang/>
        </w:rPr>
        <w:instrText xml:space="preserve"> </w:instrText>
      </w:r>
      <w:r>
        <w:rPr>
          <w:rStyle w:val="12"/>
          <w:lang/>
        </w:rPr>
        <w:fldChar w:fldCharType="separate"/>
      </w:r>
      <w:r>
        <w:rPr>
          <w:rStyle w:val="12"/>
          <w:rFonts w:ascii="Times New Roman" w:hAnsi="Times New Roman"/>
          <w:b/>
          <w:kern w:val="0"/>
          <w:lang/>
        </w:rPr>
        <w:t xml:space="preserve">11.6 </w:t>
      </w:r>
      <w:r>
        <w:rPr>
          <w:rStyle w:val="12"/>
          <w:rFonts w:hint="eastAsia" w:ascii="Times New Roman" w:hAnsi="Times New Roman"/>
          <w:b/>
          <w:kern w:val="0"/>
          <w:lang/>
        </w:rPr>
        <w:t>管理人、托管人及其高级管理人员受稽查或处罚等情况</w:t>
      </w:r>
      <w:r>
        <w:rPr>
          <w:lang/>
        </w:rPr>
        <w:tab/>
      </w:r>
      <w:r>
        <w:rPr>
          <w:lang/>
        </w:rPr>
        <w:fldChar w:fldCharType="begin"/>
      </w:r>
      <w:r>
        <w:rPr>
          <w:lang/>
        </w:rPr>
        <w:instrText xml:space="preserve"> PAGEREF _Toc477955764 \h </w:instrText>
      </w:r>
      <w:r>
        <w:rPr>
          <w:lang/>
        </w:rPr>
        <w:fldChar w:fldCharType="separate"/>
      </w:r>
      <w:r>
        <w:rPr>
          <w:lang/>
        </w:rPr>
        <w:t>56</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"_Toc477955765"</w:instrText>
      </w:r>
      <w:r>
        <w:rPr>
          <w:rStyle w:val="12"/>
          <w:lang/>
        </w:rPr>
        <w:instrText xml:space="preserve"> </w:instrText>
      </w:r>
      <w:r>
        <w:rPr>
          <w:rStyle w:val="12"/>
          <w:lang/>
        </w:rPr>
        <w:fldChar w:fldCharType="separate"/>
      </w:r>
      <w:r>
        <w:rPr>
          <w:rStyle w:val="12"/>
          <w:rFonts w:ascii="Times New Roman" w:hAnsi="Times New Roman"/>
          <w:b/>
          <w:kern w:val="0"/>
          <w:lang/>
        </w:rPr>
        <w:t xml:space="preserve">11.7 </w:t>
      </w:r>
      <w:r>
        <w:rPr>
          <w:rStyle w:val="12"/>
          <w:rFonts w:hint="eastAsia" w:ascii="Times New Roman" w:hAnsi="Times New Roman"/>
          <w:b/>
          <w:kern w:val="0"/>
          <w:lang/>
        </w:rPr>
        <w:t>基金租用证券公司交易单元的有关情况</w:t>
      </w:r>
      <w:r>
        <w:rPr>
          <w:lang/>
        </w:rPr>
        <w:tab/>
      </w:r>
      <w:r>
        <w:rPr>
          <w:lang/>
        </w:rPr>
        <w:fldChar w:fldCharType="begin"/>
      </w:r>
      <w:r>
        <w:rPr>
          <w:lang/>
        </w:rPr>
        <w:instrText xml:space="preserve"> PAGEREF _Toc477955765 \h </w:instrText>
      </w:r>
      <w:r>
        <w:rPr>
          <w:lang/>
        </w:rPr>
        <w:fldChar w:fldCharType="separate"/>
      </w:r>
      <w:r>
        <w:rPr>
          <w:lang/>
        </w:rPr>
        <w:t>56</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"_Toc477955766"</w:instrText>
      </w:r>
      <w:r>
        <w:rPr>
          <w:rStyle w:val="12"/>
          <w:lang/>
        </w:rPr>
        <w:instrText xml:space="preserve"> </w:instrText>
      </w:r>
      <w:r>
        <w:rPr>
          <w:rStyle w:val="12"/>
          <w:lang/>
        </w:rPr>
        <w:fldChar w:fldCharType="separate"/>
      </w:r>
      <w:r>
        <w:rPr>
          <w:rStyle w:val="12"/>
          <w:rFonts w:ascii="Times New Roman" w:hAnsi="Times New Roman"/>
          <w:b/>
          <w:kern w:val="0"/>
          <w:lang/>
        </w:rPr>
        <w:t xml:space="preserve">11.8 </w:t>
      </w:r>
      <w:r>
        <w:rPr>
          <w:rStyle w:val="12"/>
          <w:rFonts w:hint="eastAsia" w:ascii="Times New Roman" w:hAnsi="Times New Roman"/>
          <w:b/>
          <w:kern w:val="0"/>
          <w:lang/>
        </w:rPr>
        <w:t>其他重大事件</w:t>
      </w:r>
      <w:r>
        <w:rPr>
          <w:lang/>
        </w:rPr>
        <w:tab/>
      </w:r>
      <w:r>
        <w:rPr>
          <w:lang/>
        </w:rPr>
        <w:fldChar w:fldCharType="begin"/>
      </w:r>
      <w:r>
        <w:rPr>
          <w:lang/>
        </w:rPr>
        <w:instrText xml:space="preserve"> PAGEREF _Toc477955766 \h </w:instrText>
      </w:r>
      <w:r>
        <w:rPr>
          <w:lang/>
        </w:rPr>
        <w:fldChar w:fldCharType="separate"/>
      </w:r>
      <w:r>
        <w:rPr>
          <w:lang/>
        </w:rPr>
        <w:t>57</w:t>
      </w:r>
      <w:r>
        <w:rPr>
          <w:lang/>
        </w:rPr>
        <w:fldChar w:fldCharType="end"/>
      </w:r>
      <w:r>
        <w:rPr>
          <w:rStyle w:val="12"/>
          <w:lang/>
        </w:rPr>
        <w:fldChar w:fldCharType="end"/>
      </w:r>
    </w:p>
    <w:p>
      <w:pPr>
        <w:pStyle w:val="7"/>
        <w:tabs>
          <w:tab w:val="right" w:leader="dot" w:pos="9076"/>
        </w:tabs>
        <w:rPr>
          <w:lang/>
        </w:rPr>
      </w:pPr>
      <w:r>
        <w:rPr>
          <w:rStyle w:val="12"/>
          <w:lang/>
        </w:rPr>
        <w:fldChar w:fldCharType="begin"/>
      </w:r>
      <w:r>
        <w:rPr>
          <w:rStyle w:val="12"/>
          <w:lang/>
        </w:rPr>
        <w:instrText xml:space="preserve"> </w:instrText>
      </w:r>
      <w:r>
        <w:rPr>
          <w:lang/>
        </w:rPr>
        <w:instrText xml:space="preserve">HYPERLINK \l "_Toc477955767"</w:instrText>
      </w:r>
      <w:r>
        <w:rPr>
          <w:rStyle w:val="12"/>
          <w:lang/>
        </w:rPr>
        <w:instrText xml:space="preserve"> </w:instrText>
      </w:r>
      <w:r>
        <w:rPr>
          <w:rStyle w:val="12"/>
          <w:lang/>
        </w:rPr>
        <w:fldChar w:fldCharType="separate"/>
      </w:r>
      <w:r>
        <w:rPr>
          <w:rStyle w:val="12"/>
          <w:rFonts w:ascii="Times New Roman" w:hAnsi="Times New Roman"/>
          <w:b/>
          <w:kern w:val="0"/>
          <w:lang/>
        </w:rPr>
        <w:t xml:space="preserve">§12 </w:t>
      </w:r>
      <w:r>
        <w:rPr>
          <w:rStyle w:val="12"/>
          <w:rFonts w:hint="eastAsia" w:ascii="Times New Roman" w:hAnsi="Times New Roman"/>
          <w:b/>
          <w:kern w:val="0"/>
          <w:lang/>
        </w:rPr>
        <w:t>影响投资者决策的其他重要信息</w:t>
      </w:r>
      <w:r>
        <w:rPr>
          <w:lang/>
        </w:rPr>
        <w:tab/>
      </w:r>
      <w:r>
        <w:rPr>
          <w:lang/>
        </w:rPr>
        <w:fldChar w:fldCharType="begin"/>
      </w:r>
      <w:r>
        <w:rPr>
          <w:lang/>
        </w:rPr>
        <w:instrText xml:space="preserve"> PAGEREF _Toc477955767 \h </w:instrText>
      </w:r>
      <w:r>
        <w:rPr>
          <w:lang/>
        </w:rPr>
        <w:fldChar w:fldCharType="separate"/>
      </w:r>
      <w:r>
        <w:rPr>
          <w:lang/>
        </w:rPr>
        <w:t>58</w:t>
      </w:r>
      <w:r>
        <w:rPr>
          <w:lang/>
        </w:rPr>
        <w:fldChar w:fldCharType="end"/>
      </w:r>
      <w:r>
        <w:rPr>
          <w:rStyle w:val="12"/>
          <w:lang/>
        </w:rPr>
        <w:fldChar w:fldCharType="end"/>
      </w:r>
    </w:p>
    <w:p>
      <w:pPr>
        <w:pStyle w:val="7"/>
        <w:tabs>
          <w:tab w:val="right" w:leader="dot" w:pos="9076"/>
        </w:tabs>
        <w:rPr>
          <w:lang/>
        </w:rPr>
      </w:pPr>
      <w:r>
        <w:rPr>
          <w:rStyle w:val="12"/>
          <w:lang/>
        </w:rPr>
        <w:fldChar w:fldCharType="begin"/>
      </w:r>
      <w:r>
        <w:rPr>
          <w:rStyle w:val="12"/>
          <w:lang/>
        </w:rPr>
        <w:instrText xml:space="preserve"> </w:instrText>
      </w:r>
      <w:r>
        <w:rPr>
          <w:lang/>
        </w:rPr>
        <w:instrText xml:space="preserve">HYPERLINK \l "_Toc477955768"</w:instrText>
      </w:r>
      <w:r>
        <w:rPr>
          <w:rStyle w:val="12"/>
          <w:lang/>
        </w:rPr>
        <w:instrText xml:space="preserve"> </w:instrText>
      </w:r>
      <w:r>
        <w:rPr>
          <w:rStyle w:val="12"/>
          <w:lang/>
        </w:rPr>
        <w:fldChar w:fldCharType="separate"/>
      </w:r>
      <w:r>
        <w:rPr>
          <w:rStyle w:val="12"/>
          <w:rFonts w:ascii="Times New Roman" w:hAnsi="Times New Roman"/>
          <w:b/>
          <w:kern w:val="0"/>
          <w:lang/>
        </w:rPr>
        <w:t xml:space="preserve">§13 </w:t>
      </w:r>
      <w:r>
        <w:rPr>
          <w:rStyle w:val="12"/>
          <w:rFonts w:hint="eastAsia" w:ascii="Times New Roman" w:hAnsi="Times New Roman"/>
          <w:b/>
          <w:kern w:val="0"/>
          <w:lang/>
        </w:rPr>
        <w:t>备查文件目录</w:t>
      </w:r>
      <w:r>
        <w:rPr>
          <w:lang/>
        </w:rPr>
        <w:tab/>
      </w:r>
      <w:r>
        <w:rPr>
          <w:lang/>
        </w:rPr>
        <w:fldChar w:fldCharType="begin"/>
      </w:r>
      <w:r>
        <w:rPr>
          <w:lang/>
        </w:rPr>
        <w:instrText xml:space="preserve"> PAGEREF _Toc477955768 \h </w:instrText>
      </w:r>
      <w:r>
        <w:rPr>
          <w:lang/>
        </w:rPr>
        <w:fldChar w:fldCharType="separate"/>
      </w:r>
      <w:r>
        <w:rPr>
          <w:lang/>
        </w:rPr>
        <w:t>58</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"_Toc477955769"</w:instrText>
      </w:r>
      <w:r>
        <w:rPr>
          <w:rStyle w:val="12"/>
          <w:lang/>
        </w:rPr>
        <w:instrText xml:space="preserve"> </w:instrText>
      </w:r>
      <w:r>
        <w:rPr>
          <w:rStyle w:val="12"/>
          <w:lang/>
        </w:rPr>
        <w:fldChar w:fldCharType="separate"/>
      </w:r>
      <w:r>
        <w:rPr>
          <w:rStyle w:val="12"/>
          <w:rFonts w:ascii="Times New Roman" w:hAnsi="Times New Roman"/>
          <w:b/>
          <w:kern w:val="0"/>
          <w:lang/>
        </w:rPr>
        <w:t xml:space="preserve">13.1 </w:t>
      </w:r>
      <w:r>
        <w:rPr>
          <w:rStyle w:val="12"/>
          <w:rFonts w:hint="eastAsia" w:ascii="Times New Roman" w:hAnsi="Times New Roman"/>
          <w:b/>
          <w:kern w:val="0"/>
          <w:lang/>
        </w:rPr>
        <w:t>备查文件目录</w:t>
      </w:r>
      <w:r>
        <w:rPr>
          <w:lang/>
        </w:rPr>
        <w:tab/>
      </w:r>
      <w:r>
        <w:rPr>
          <w:lang/>
        </w:rPr>
        <w:fldChar w:fldCharType="begin"/>
      </w:r>
      <w:r>
        <w:rPr>
          <w:lang/>
        </w:rPr>
        <w:instrText xml:space="preserve"> PAGEREF _Toc477955769 \h </w:instrText>
      </w:r>
      <w:r>
        <w:rPr>
          <w:lang/>
        </w:rPr>
        <w:fldChar w:fldCharType="separate"/>
      </w:r>
      <w:r>
        <w:rPr>
          <w:lang/>
        </w:rPr>
        <w:t>58</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"_Toc477955770"</w:instrText>
      </w:r>
      <w:r>
        <w:rPr>
          <w:rStyle w:val="12"/>
          <w:lang/>
        </w:rPr>
        <w:instrText xml:space="preserve"> </w:instrText>
      </w:r>
      <w:r>
        <w:rPr>
          <w:rStyle w:val="12"/>
          <w:lang/>
        </w:rPr>
        <w:fldChar w:fldCharType="separate"/>
      </w:r>
      <w:r>
        <w:rPr>
          <w:rStyle w:val="12"/>
          <w:rFonts w:ascii="Times New Roman" w:hAnsi="Times New Roman"/>
          <w:b/>
          <w:kern w:val="0"/>
          <w:lang/>
        </w:rPr>
        <w:t xml:space="preserve">13.2 </w:t>
      </w:r>
      <w:r>
        <w:rPr>
          <w:rStyle w:val="12"/>
          <w:rFonts w:hint="eastAsia" w:ascii="Times New Roman" w:hAnsi="Times New Roman"/>
          <w:b/>
          <w:kern w:val="0"/>
          <w:lang/>
        </w:rPr>
        <w:t>存放地点</w:t>
      </w:r>
      <w:r>
        <w:rPr>
          <w:lang/>
        </w:rPr>
        <w:tab/>
      </w:r>
      <w:r>
        <w:rPr>
          <w:lang/>
        </w:rPr>
        <w:fldChar w:fldCharType="begin"/>
      </w:r>
      <w:r>
        <w:rPr>
          <w:lang/>
        </w:rPr>
        <w:instrText xml:space="preserve"> PAGEREF _Toc477955770 \h </w:instrText>
      </w:r>
      <w:r>
        <w:rPr>
          <w:lang/>
        </w:rPr>
        <w:fldChar w:fldCharType="separate"/>
      </w:r>
      <w:r>
        <w:rPr>
          <w:lang/>
        </w:rPr>
        <w:t>58</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"_Toc477955771"</w:instrText>
      </w:r>
      <w:r>
        <w:rPr>
          <w:rStyle w:val="12"/>
          <w:lang/>
        </w:rPr>
        <w:instrText xml:space="preserve"> </w:instrText>
      </w:r>
      <w:r>
        <w:rPr>
          <w:rStyle w:val="12"/>
          <w:lang/>
        </w:rPr>
        <w:fldChar w:fldCharType="separate"/>
      </w:r>
      <w:r>
        <w:rPr>
          <w:rStyle w:val="12"/>
          <w:rFonts w:ascii="Times New Roman" w:hAnsi="Times New Roman"/>
          <w:b/>
          <w:kern w:val="0"/>
          <w:lang/>
        </w:rPr>
        <w:t xml:space="preserve">13.3 </w:t>
      </w:r>
      <w:r>
        <w:rPr>
          <w:rStyle w:val="12"/>
          <w:rFonts w:hint="eastAsia" w:ascii="Times New Roman" w:hAnsi="Times New Roman"/>
          <w:b/>
          <w:kern w:val="0"/>
          <w:lang/>
        </w:rPr>
        <w:t>查阅方式</w:t>
      </w:r>
      <w:r>
        <w:rPr>
          <w:lang/>
        </w:rPr>
        <w:tab/>
      </w:r>
      <w:r>
        <w:rPr>
          <w:lang/>
        </w:rPr>
        <w:fldChar w:fldCharType="begin"/>
      </w:r>
      <w:r>
        <w:rPr>
          <w:lang/>
        </w:rPr>
        <w:instrText xml:space="preserve"> PAGEREF _Toc477955771 \h </w:instrText>
      </w:r>
      <w:r>
        <w:rPr>
          <w:lang/>
        </w:rPr>
        <w:fldChar w:fldCharType="separate"/>
      </w:r>
      <w:r>
        <w:rPr>
          <w:lang/>
        </w:rPr>
        <w:t>58</w:t>
      </w:r>
      <w:r>
        <w:rPr>
          <w:lang/>
        </w:rPr>
        <w:fldChar w:fldCharType="end"/>
      </w:r>
      <w:r>
        <w:rPr>
          <w:rStyle w:val="12"/>
          <w:lang/>
        </w:rPr>
        <w:fldChar w:fldCharType="end"/>
      </w:r>
    </w:p>
    <w:p>
      <w:pPr>
        <w:autoSpaceDE w:val="0"/>
        <w:autoSpaceDN w:val="0"/>
        <w:adjustRightInd w:val="0"/>
        <w:spacing w:before="30"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fldChar w:fldCharType="end"/>
      </w:r>
    </w:p>
    <w:p>
      <w:pPr>
        <w:autoSpaceDE w:val="0"/>
        <w:autoSpaceDN w:val="0"/>
        <w:adjustRightInd w:val="0"/>
        <w:spacing w:line="288" w:lineRule="auto"/>
        <w:jc w:val="left"/>
        <w:rPr>
          <w:rFonts w:ascii="Times New Roman" w:hAnsi="Times New Roman"/>
          <w:kern w:val="0"/>
          <w:sz w:val="24"/>
          <w:szCs w:val="24"/>
        </w:rPr>
        <w:sectPr>
          <w:pgSz w:w="11926" w:h="16867"/>
          <w:pgMar w:top="1420" w:right="1420" w:bottom="852" w:left="1420" w:header="851" w:footer="992" w:gutter="0"/>
          <w:cols w:space="720" w:num="1"/>
        </w:sectPr>
      </w:pPr>
    </w:p>
    <w:p>
      <w:pPr>
        <w:autoSpaceDE w:val="0"/>
        <w:autoSpaceDN w:val="0"/>
        <w:adjustRightInd w:val="0"/>
        <w:spacing w:before="29" w:line="288" w:lineRule="auto"/>
        <w:ind w:left="15"/>
        <w:jc w:val="center"/>
        <w:outlineLvl w:val="0"/>
        <w:rPr>
          <w:rFonts w:ascii="Times New Roman" w:hAnsi="Times New Roman"/>
          <w:b/>
          <w:color w:val="000000"/>
          <w:kern w:val="0"/>
          <w:sz w:val="24"/>
          <w:szCs w:val="24"/>
        </w:rPr>
      </w:pPr>
      <w:bookmarkStart w:id="3" w:name="_Toc477955711"/>
      <w:r>
        <w:rPr>
          <w:rFonts w:hint="eastAsia" w:ascii="Times New Roman" w:hAnsi="Times New Roman"/>
          <w:b/>
          <w:color w:val="000000"/>
          <w:kern w:val="0"/>
          <w:sz w:val="24"/>
          <w:szCs w:val="24"/>
        </w:rPr>
        <w:t>§</w:t>
      </w:r>
      <w:r>
        <w:rPr>
          <w:rFonts w:ascii="Times New Roman" w:hAnsi="Times New Roman"/>
          <w:b/>
          <w:color w:val="000000"/>
          <w:kern w:val="0"/>
          <w:sz w:val="24"/>
          <w:szCs w:val="24"/>
        </w:rPr>
        <w:t xml:space="preserve">2  </w:t>
      </w:r>
      <w:r>
        <w:rPr>
          <w:rFonts w:hint="eastAsia" w:ascii="Times New Roman" w:hAnsi="Times New Roman"/>
          <w:b/>
          <w:color w:val="000000"/>
          <w:kern w:val="0"/>
          <w:sz w:val="24"/>
          <w:szCs w:val="24"/>
        </w:rPr>
        <w:t>基金简介</w:t>
      </w:r>
      <w:bookmarkEnd w:id="3"/>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4" w:name="_Toc477955712"/>
      <w:r>
        <w:rPr>
          <w:rFonts w:ascii="Times New Roman" w:hAnsi="Times New Roman"/>
          <w:b/>
          <w:color w:val="000000"/>
          <w:kern w:val="0"/>
          <w:sz w:val="24"/>
          <w:szCs w:val="24"/>
        </w:rPr>
        <w:t xml:space="preserve">2.1 </w:t>
      </w:r>
      <w:r>
        <w:rPr>
          <w:rFonts w:hint="eastAsia" w:ascii="Times New Roman" w:hAnsi="Times New Roman"/>
          <w:b/>
          <w:color w:val="000000"/>
          <w:kern w:val="0"/>
          <w:sz w:val="24"/>
          <w:szCs w:val="24"/>
        </w:rPr>
        <w:t>基金基本情况</w:t>
      </w:r>
      <w:bookmarkEnd w:id="4"/>
    </w:p>
    <w:tbl>
      <w:tblPr>
        <w:tblStyle w:val="10"/>
        <w:tblW w:w="0" w:type="auto"/>
        <w:tblInd w:w="108" w:type="dxa"/>
        <w:tblLayout w:type="fixed"/>
        <w:tblCellMar>
          <w:top w:w="0" w:type="dxa"/>
          <w:left w:w="108" w:type="dxa"/>
          <w:bottom w:w="0" w:type="dxa"/>
          <w:right w:w="108" w:type="dxa"/>
        </w:tblCellMar>
      </w:tblPr>
      <w:tblGrid>
        <w:gridCol w:w="3191"/>
        <w:gridCol w:w="2889"/>
        <w:gridCol w:w="2890"/>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基金名称</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创金合信鑫动力灵活配置混合型证券投资基金</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基金简称</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创金合信鑫动力混合</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基金主代码</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003230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基金运作方式</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契约型开放式</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基金合同生效日</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30</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基金管理人</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创金合信基金管理有限公司</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基金托管人</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中国邮政储蓄银行股份有限公司</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报告期末基金份额总额</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800,197,271.53</w:t>
            </w:r>
            <w:r>
              <w:rPr>
                <w:rFonts w:hint="eastAsia" w:ascii="Times New Roman" w:hAnsi="Times New Roman"/>
                <w:color w:val="000000"/>
                <w:kern w:val="0"/>
                <w:sz w:val="24"/>
                <w:szCs w:val="24"/>
              </w:rPr>
              <w:t>份</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基金合同存续期</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不定期</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下属分级基金的基金简称</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创金合信鑫动力混合</w:t>
            </w:r>
            <w:r>
              <w:rPr>
                <w:rFonts w:ascii="Times New Roman" w:hAnsi="Times New Roman"/>
                <w:color w:val="000000"/>
                <w:kern w:val="0"/>
                <w:sz w:val="24"/>
                <w:szCs w:val="24"/>
              </w:rPr>
              <w:t>A</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创金合信鑫动力混合</w:t>
            </w:r>
            <w:r>
              <w:rPr>
                <w:rFonts w:ascii="Times New Roman" w:hAnsi="Times New Roman"/>
                <w:color w:val="000000"/>
                <w:kern w:val="0"/>
                <w:sz w:val="24"/>
                <w:szCs w:val="24"/>
              </w:rPr>
              <w:t>C</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下属分级基金的交易代码</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003230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003231</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报告期末下属分级基金的份额总额</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800,103,010.10</w:t>
            </w:r>
            <w:r>
              <w:rPr>
                <w:rFonts w:hint="eastAsia" w:ascii="Times New Roman" w:hAnsi="Times New Roman"/>
                <w:color w:val="000000"/>
                <w:kern w:val="0"/>
                <w:sz w:val="24"/>
                <w:szCs w:val="24"/>
              </w:rPr>
              <w:t>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94,261.43</w:t>
            </w:r>
            <w:r>
              <w:rPr>
                <w:rFonts w:hint="eastAsia" w:ascii="Times New Roman" w:hAnsi="Times New Roman"/>
                <w:color w:val="000000"/>
                <w:kern w:val="0"/>
                <w:sz w:val="24"/>
                <w:szCs w:val="24"/>
              </w:rPr>
              <w:t>份</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5" w:name="_Toc477955713"/>
      <w:r>
        <w:rPr>
          <w:rFonts w:ascii="Times New Roman" w:hAnsi="Times New Roman"/>
          <w:b/>
          <w:color w:val="000000"/>
          <w:kern w:val="0"/>
          <w:sz w:val="24"/>
          <w:szCs w:val="24"/>
        </w:rPr>
        <w:t xml:space="preserve">2.2 </w:t>
      </w:r>
      <w:r>
        <w:rPr>
          <w:rFonts w:hint="eastAsia" w:ascii="Times New Roman" w:hAnsi="Times New Roman"/>
          <w:b/>
          <w:color w:val="000000"/>
          <w:kern w:val="0"/>
          <w:sz w:val="24"/>
          <w:szCs w:val="24"/>
        </w:rPr>
        <w:t>基金产品说明</w:t>
      </w:r>
      <w:bookmarkEnd w:id="5"/>
    </w:p>
    <w:tbl>
      <w:tblPr>
        <w:tblStyle w:val="10"/>
        <w:tblW w:w="0" w:type="auto"/>
        <w:tblInd w:w="108" w:type="dxa"/>
        <w:tblLayout w:type="fixed"/>
        <w:tblCellMar>
          <w:top w:w="0" w:type="dxa"/>
          <w:left w:w="108" w:type="dxa"/>
          <w:bottom w:w="0" w:type="dxa"/>
          <w:right w:w="108" w:type="dxa"/>
        </w:tblCellMar>
      </w:tblPr>
      <w:tblGrid>
        <w:gridCol w:w="3191"/>
        <w:gridCol w:w="2889"/>
        <w:gridCol w:w="2890"/>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投资目标</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在严格控制风险的前提下，追求基金资产的稳健增值。</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投资策略</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w:t>
            </w:r>
            <w:r>
              <w:rPr>
                <w:rFonts w:hint="eastAsia" w:ascii="Times New Roman" w:hAnsi="Times New Roman"/>
                <w:color w:val="000000"/>
                <w:kern w:val="0"/>
                <w:sz w:val="24"/>
                <w:szCs w:val="24"/>
              </w:rPr>
              <w:t>、资产配置策略</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本基金在资产配置过程中采取</w:t>
            </w:r>
            <w:r>
              <w:rPr>
                <w:rFonts w:ascii="Times New Roman" w:hAnsi="Times New Roman"/>
                <w:color w:val="000000"/>
                <w:kern w:val="0"/>
                <w:sz w:val="24"/>
                <w:szCs w:val="24"/>
              </w:rPr>
              <w:t>"</w:t>
            </w:r>
            <w:r>
              <w:rPr>
                <w:rFonts w:hint="eastAsia" w:ascii="Times New Roman" w:hAnsi="Times New Roman"/>
                <w:color w:val="000000"/>
                <w:kern w:val="0"/>
                <w:sz w:val="24"/>
                <w:szCs w:val="24"/>
              </w:rPr>
              <w:t>自上而下</w:t>
            </w:r>
            <w:r>
              <w:rPr>
                <w:rFonts w:ascii="Times New Roman" w:hAnsi="Times New Roman"/>
                <w:color w:val="000000"/>
                <w:kern w:val="0"/>
                <w:sz w:val="24"/>
                <w:szCs w:val="24"/>
              </w:rPr>
              <w:t>"</w:t>
            </w:r>
            <w:r>
              <w:rPr>
                <w:rFonts w:hint="eastAsia" w:ascii="Times New Roman" w:hAnsi="Times New Roman"/>
                <w:color w:val="000000"/>
                <w:kern w:val="0"/>
                <w:sz w:val="24"/>
                <w:szCs w:val="24"/>
              </w:rPr>
              <w:t>的分析框架，基金管理人基于定量与定性相结合的分析方法，综合宏观数据、经济政策、货币政策、市场估值等因素，形成各资产类别预期收益与预期风险的判断，并进而确定股票、债券、货币市场工具等资产类别的配置比例。</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2</w:t>
            </w:r>
            <w:r>
              <w:rPr>
                <w:rFonts w:hint="eastAsia" w:ascii="Times New Roman" w:hAnsi="Times New Roman"/>
                <w:color w:val="000000"/>
                <w:kern w:val="0"/>
                <w:sz w:val="24"/>
                <w:szCs w:val="24"/>
              </w:rPr>
              <w:t>、股票投资策略</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本基金将采取</w:t>
            </w:r>
            <w:r>
              <w:rPr>
                <w:rFonts w:ascii="Times New Roman" w:hAnsi="Times New Roman"/>
                <w:color w:val="000000"/>
                <w:kern w:val="0"/>
                <w:sz w:val="24"/>
                <w:szCs w:val="24"/>
              </w:rPr>
              <w:t>"</w:t>
            </w:r>
            <w:r>
              <w:rPr>
                <w:rFonts w:hint="eastAsia" w:ascii="Times New Roman" w:hAnsi="Times New Roman"/>
                <w:color w:val="000000"/>
                <w:kern w:val="0"/>
                <w:sz w:val="24"/>
                <w:szCs w:val="24"/>
              </w:rPr>
              <w:t>自上而下</w:t>
            </w:r>
            <w:r>
              <w:rPr>
                <w:rFonts w:ascii="Times New Roman" w:hAnsi="Times New Roman"/>
                <w:color w:val="000000"/>
                <w:kern w:val="0"/>
                <w:sz w:val="24"/>
                <w:szCs w:val="24"/>
              </w:rPr>
              <w:t>"</w:t>
            </w:r>
            <w:r>
              <w:rPr>
                <w:rFonts w:hint="eastAsia" w:ascii="Times New Roman" w:hAnsi="Times New Roman"/>
                <w:color w:val="000000"/>
                <w:kern w:val="0"/>
                <w:sz w:val="24"/>
                <w:szCs w:val="24"/>
              </w:rPr>
              <w:t>的行业策略与</w:t>
            </w:r>
            <w:r>
              <w:rPr>
                <w:rFonts w:ascii="Times New Roman" w:hAnsi="Times New Roman"/>
                <w:color w:val="000000"/>
                <w:kern w:val="0"/>
                <w:sz w:val="24"/>
                <w:szCs w:val="24"/>
              </w:rPr>
              <w:t>"</w:t>
            </w:r>
            <w:r>
              <w:rPr>
                <w:rFonts w:hint="eastAsia" w:ascii="Times New Roman" w:hAnsi="Times New Roman"/>
                <w:color w:val="000000"/>
                <w:kern w:val="0"/>
                <w:sz w:val="24"/>
                <w:szCs w:val="24"/>
              </w:rPr>
              <w:t>自下而上</w:t>
            </w:r>
            <w:r>
              <w:rPr>
                <w:rFonts w:ascii="Times New Roman" w:hAnsi="Times New Roman"/>
                <w:color w:val="000000"/>
                <w:kern w:val="0"/>
                <w:sz w:val="24"/>
                <w:szCs w:val="24"/>
              </w:rPr>
              <w:t>"</w:t>
            </w:r>
            <w:r>
              <w:rPr>
                <w:rFonts w:hint="eastAsia" w:ascii="Times New Roman" w:hAnsi="Times New Roman"/>
                <w:color w:val="000000"/>
                <w:kern w:val="0"/>
                <w:sz w:val="24"/>
                <w:szCs w:val="24"/>
              </w:rPr>
              <w:t>的公司研究相结合的方式，构建股票组合。</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业绩比较基准</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沪深</w:t>
            </w:r>
            <w:r>
              <w:rPr>
                <w:rFonts w:ascii="Times New Roman" w:hAnsi="Times New Roman"/>
                <w:color w:val="000000"/>
                <w:kern w:val="0"/>
                <w:sz w:val="24"/>
                <w:szCs w:val="24"/>
              </w:rPr>
              <w:t>300</w:t>
            </w:r>
            <w:r>
              <w:rPr>
                <w:rFonts w:hint="eastAsia" w:ascii="Times New Roman" w:hAnsi="Times New Roman"/>
                <w:color w:val="000000"/>
                <w:kern w:val="0"/>
                <w:sz w:val="24"/>
                <w:szCs w:val="24"/>
              </w:rPr>
              <w:t>指数收益率×</w:t>
            </w:r>
            <w:r>
              <w:rPr>
                <w:rFonts w:ascii="Times New Roman" w:hAnsi="Times New Roman"/>
                <w:color w:val="000000"/>
                <w:kern w:val="0"/>
                <w:sz w:val="24"/>
                <w:szCs w:val="24"/>
              </w:rPr>
              <w:t xml:space="preserve">30% + </w:t>
            </w:r>
            <w:r>
              <w:rPr>
                <w:rFonts w:hint="eastAsia" w:ascii="Times New Roman" w:hAnsi="Times New Roman"/>
                <w:color w:val="000000"/>
                <w:kern w:val="0"/>
                <w:sz w:val="24"/>
                <w:szCs w:val="24"/>
              </w:rPr>
              <w:t>一年期人民币定期存款利率（税后）×</w:t>
            </w:r>
            <w:r>
              <w:rPr>
                <w:rFonts w:ascii="Times New Roman" w:hAnsi="Times New Roman"/>
                <w:color w:val="000000"/>
                <w:kern w:val="0"/>
                <w:sz w:val="24"/>
                <w:szCs w:val="24"/>
              </w:rPr>
              <w:t>70%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风险收益特征</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本基金为混合型基金，理论上其预期风险与预期收益水平低于股票型基金，高于债券型基金和货币市场基金。</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下属分级基金的风险收益特征</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本基金为混合型基金，理论上其预期风险与预期收益水平低于股票型基金，高于债券型基金和货币市场基金。</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本基金为混合型基金，理论上其预期风险与预期收益水平低于股票型基金，高于债券型基金和货币市场基金。</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6" w:name="_Toc477955714"/>
      <w:r>
        <w:rPr>
          <w:rFonts w:ascii="Times New Roman" w:hAnsi="Times New Roman"/>
          <w:b/>
          <w:color w:val="000000"/>
          <w:kern w:val="0"/>
          <w:sz w:val="24"/>
          <w:szCs w:val="24"/>
        </w:rPr>
        <w:t xml:space="preserve">2.3 </w:t>
      </w:r>
      <w:r>
        <w:rPr>
          <w:rFonts w:hint="eastAsia" w:ascii="Times New Roman" w:hAnsi="Times New Roman"/>
          <w:b/>
          <w:color w:val="000000"/>
          <w:kern w:val="0"/>
          <w:sz w:val="24"/>
          <w:szCs w:val="24"/>
        </w:rPr>
        <w:t>基金管理人和基金托管人</w:t>
      </w:r>
      <w:bookmarkEnd w:id="6"/>
    </w:p>
    <w:tbl>
      <w:tblPr>
        <w:tblStyle w:val="10"/>
        <w:tblW w:w="0" w:type="auto"/>
        <w:tblInd w:w="108" w:type="dxa"/>
        <w:tblLayout w:type="fixed"/>
        <w:tblCellMar>
          <w:top w:w="0" w:type="dxa"/>
          <w:left w:w="108" w:type="dxa"/>
          <w:bottom w:w="0" w:type="dxa"/>
          <w:right w:w="108" w:type="dxa"/>
        </w:tblCellMar>
      </w:tblPr>
      <w:tblGrid>
        <w:gridCol w:w="1746"/>
        <w:gridCol w:w="1445"/>
        <w:gridCol w:w="2889"/>
        <w:gridCol w:w="2890"/>
      </w:tblGrid>
      <w:tr>
        <w:tblPrEx>
          <w:tblCellMar>
            <w:top w:w="0" w:type="dxa"/>
            <w:left w:w="108" w:type="dxa"/>
            <w:bottom w:w="0" w:type="dxa"/>
            <w:right w:w="108" w:type="dxa"/>
          </w:tblCellMar>
        </w:tblPrEx>
        <w:trPr>
          <w:wBefore w:w="0" w:type="auto"/>
        </w:trPr>
        <w:tc>
          <w:tcPr>
            <w:tcW w:w="3191"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基金管理人</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基金托管人</w:t>
            </w:r>
          </w:p>
        </w:tc>
      </w:tr>
      <w:tr>
        <w:tblPrEx>
          <w:tblCellMar>
            <w:top w:w="0" w:type="dxa"/>
            <w:left w:w="108" w:type="dxa"/>
            <w:bottom w:w="0" w:type="dxa"/>
            <w:right w:w="108" w:type="dxa"/>
          </w:tblCellMar>
        </w:tblPrEx>
        <w:trPr>
          <w:wBefore w:w="0" w:type="auto"/>
        </w:trPr>
        <w:tc>
          <w:tcPr>
            <w:tcW w:w="3191"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名称</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创金合信基金管理有限公司</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中国邮政储蓄银行股份有限公司</w:t>
            </w:r>
          </w:p>
        </w:tc>
      </w:tr>
      <w:tr>
        <w:tblPrEx>
          <w:tblCellMar>
            <w:top w:w="0" w:type="dxa"/>
            <w:left w:w="108" w:type="dxa"/>
            <w:bottom w:w="0" w:type="dxa"/>
            <w:right w:w="108" w:type="dxa"/>
          </w:tblCellMar>
        </w:tblPrEx>
        <w:trPr>
          <w:wBefore w:w="0" w:type="auto"/>
        </w:trPr>
        <w:tc>
          <w:tcPr>
            <w:tcW w:w="1746"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信息披露负责人</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姓名</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梁绍锋</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田东辉</w:t>
            </w:r>
          </w:p>
        </w:tc>
      </w:tr>
      <w:tr>
        <w:tblPrEx>
          <w:tblCellMar>
            <w:top w:w="0" w:type="dxa"/>
            <w:left w:w="108" w:type="dxa"/>
            <w:bottom w:w="0" w:type="dxa"/>
            <w:right w:w="108" w:type="dxa"/>
          </w:tblCellMar>
        </w:tblPrEx>
        <w:trPr>
          <w:wBefore w:w="0" w:type="auto"/>
        </w:trPr>
        <w:tc>
          <w:tcPr>
            <w:tcW w:w="1746"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联系电话</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0755-23838908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010-68858113</w:t>
            </w:r>
          </w:p>
        </w:tc>
      </w:tr>
      <w:tr>
        <w:tblPrEx>
          <w:tblCellMar>
            <w:top w:w="0" w:type="dxa"/>
            <w:left w:w="108" w:type="dxa"/>
            <w:bottom w:w="0" w:type="dxa"/>
            <w:right w:w="108" w:type="dxa"/>
          </w:tblCellMar>
        </w:tblPrEx>
        <w:trPr>
          <w:wBefore w:w="0" w:type="auto"/>
        </w:trPr>
        <w:tc>
          <w:tcPr>
            <w:tcW w:w="1746"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电子邮箱</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liangshaofeng@cjhxfund.com</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tiandonghui@psbc.com</w:t>
            </w:r>
          </w:p>
        </w:tc>
      </w:tr>
      <w:tr>
        <w:tblPrEx>
          <w:tblCellMar>
            <w:top w:w="0" w:type="dxa"/>
            <w:left w:w="108" w:type="dxa"/>
            <w:bottom w:w="0" w:type="dxa"/>
            <w:right w:w="108" w:type="dxa"/>
          </w:tblCellMar>
        </w:tblPrEx>
        <w:trPr>
          <w:wBefore w:w="0" w:type="auto"/>
        </w:trPr>
        <w:tc>
          <w:tcPr>
            <w:tcW w:w="3191"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客户服务电话</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400-868-0666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95580</w:t>
            </w:r>
          </w:p>
        </w:tc>
      </w:tr>
      <w:tr>
        <w:tblPrEx>
          <w:tblCellMar>
            <w:top w:w="0" w:type="dxa"/>
            <w:left w:w="108" w:type="dxa"/>
            <w:bottom w:w="0" w:type="dxa"/>
            <w:right w:w="108" w:type="dxa"/>
          </w:tblCellMar>
        </w:tblPrEx>
        <w:trPr>
          <w:wBefore w:w="0" w:type="auto"/>
        </w:trPr>
        <w:tc>
          <w:tcPr>
            <w:tcW w:w="3191"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传真</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0755-25832571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010-68858120</w:t>
            </w:r>
          </w:p>
        </w:tc>
      </w:tr>
      <w:tr>
        <w:tblPrEx>
          <w:tblCellMar>
            <w:top w:w="0" w:type="dxa"/>
            <w:left w:w="108" w:type="dxa"/>
            <w:bottom w:w="0" w:type="dxa"/>
            <w:right w:w="108" w:type="dxa"/>
          </w:tblCellMar>
        </w:tblPrEx>
        <w:trPr>
          <w:wBefore w:w="0" w:type="auto"/>
        </w:trPr>
        <w:tc>
          <w:tcPr>
            <w:tcW w:w="3191"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注册地址</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深圳市前海深港合作区前湾一路</w:t>
            </w:r>
            <w:r>
              <w:rPr>
                <w:rFonts w:ascii="Times New Roman" w:hAnsi="Times New Roman"/>
                <w:color w:val="000000"/>
                <w:kern w:val="0"/>
                <w:sz w:val="24"/>
                <w:szCs w:val="24"/>
              </w:rPr>
              <w:t xml:space="preserve"> 1</w:t>
            </w:r>
            <w:r>
              <w:rPr>
                <w:rFonts w:hint="eastAsia" w:ascii="Times New Roman" w:hAnsi="Times New Roman"/>
                <w:color w:val="000000"/>
                <w:kern w:val="0"/>
                <w:sz w:val="24"/>
                <w:szCs w:val="24"/>
              </w:rPr>
              <w:t>号</w:t>
            </w:r>
            <w:r>
              <w:rPr>
                <w:rFonts w:ascii="Times New Roman" w:hAnsi="Times New Roman"/>
                <w:color w:val="000000"/>
                <w:kern w:val="0"/>
                <w:sz w:val="24"/>
                <w:szCs w:val="24"/>
              </w:rPr>
              <w:t>A</w:t>
            </w:r>
            <w:r>
              <w:rPr>
                <w:rFonts w:hint="eastAsia" w:ascii="Times New Roman" w:hAnsi="Times New Roman"/>
                <w:color w:val="000000"/>
                <w:kern w:val="0"/>
                <w:sz w:val="24"/>
                <w:szCs w:val="24"/>
              </w:rPr>
              <w:t>栋</w:t>
            </w:r>
            <w:r>
              <w:rPr>
                <w:rFonts w:ascii="Times New Roman" w:hAnsi="Times New Roman"/>
                <w:color w:val="000000"/>
                <w:kern w:val="0"/>
                <w:sz w:val="24"/>
                <w:szCs w:val="24"/>
              </w:rPr>
              <w:t xml:space="preserve">201 </w:t>
            </w:r>
            <w:r>
              <w:rPr>
                <w:rFonts w:hint="eastAsia" w:ascii="Times New Roman" w:hAnsi="Times New Roman"/>
                <w:color w:val="000000"/>
                <w:kern w:val="0"/>
                <w:sz w:val="24"/>
                <w:szCs w:val="24"/>
              </w:rPr>
              <w:t>室</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北京市西城区金融大街</w:t>
            </w:r>
            <w:r>
              <w:rPr>
                <w:rFonts w:ascii="Times New Roman" w:hAnsi="Times New Roman"/>
                <w:color w:val="000000"/>
                <w:kern w:val="0"/>
                <w:sz w:val="24"/>
                <w:szCs w:val="24"/>
              </w:rPr>
              <w:t>3</w:t>
            </w:r>
            <w:r>
              <w:rPr>
                <w:rFonts w:hint="eastAsia" w:ascii="Times New Roman" w:hAnsi="Times New Roman"/>
                <w:color w:val="000000"/>
                <w:kern w:val="0"/>
                <w:sz w:val="24"/>
                <w:szCs w:val="24"/>
              </w:rPr>
              <w:t>号</w:t>
            </w:r>
          </w:p>
        </w:tc>
      </w:tr>
      <w:tr>
        <w:tblPrEx>
          <w:tblCellMar>
            <w:top w:w="0" w:type="dxa"/>
            <w:left w:w="108" w:type="dxa"/>
            <w:bottom w:w="0" w:type="dxa"/>
            <w:right w:w="108" w:type="dxa"/>
          </w:tblCellMar>
        </w:tblPrEx>
        <w:trPr>
          <w:wBefore w:w="0" w:type="auto"/>
        </w:trPr>
        <w:tc>
          <w:tcPr>
            <w:tcW w:w="3191"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办公地址</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深圳市福田中心区福华一路</w:t>
            </w:r>
            <w:r>
              <w:rPr>
                <w:rFonts w:ascii="Times New Roman" w:hAnsi="Times New Roman"/>
                <w:color w:val="000000"/>
                <w:kern w:val="0"/>
                <w:sz w:val="24"/>
                <w:szCs w:val="24"/>
              </w:rPr>
              <w:t>115</w:t>
            </w:r>
            <w:r>
              <w:rPr>
                <w:rFonts w:hint="eastAsia" w:ascii="Times New Roman" w:hAnsi="Times New Roman"/>
                <w:color w:val="000000"/>
                <w:kern w:val="0"/>
                <w:sz w:val="24"/>
                <w:szCs w:val="24"/>
              </w:rPr>
              <w:t>号投行大厦</w:t>
            </w:r>
            <w:r>
              <w:rPr>
                <w:rFonts w:ascii="Times New Roman" w:hAnsi="Times New Roman"/>
                <w:color w:val="000000"/>
                <w:kern w:val="0"/>
                <w:sz w:val="24"/>
                <w:szCs w:val="24"/>
              </w:rPr>
              <w:t>15</w:t>
            </w:r>
            <w:r>
              <w:rPr>
                <w:rFonts w:hint="eastAsia" w:ascii="Times New Roman" w:hAnsi="Times New Roman"/>
                <w:color w:val="000000"/>
                <w:kern w:val="0"/>
                <w:sz w:val="24"/>
                <w:szCs w:val="24"/>
              </w:rPr>
              <w:t>层</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北京市西城区金融大街3号A座</w:t>
            </w:r>
          </w:p>
        </w:tc>
      </w:tr>
      <w:tr>
        <w:tblPrEx>
          <w:tblCellMar>
            <w:top w:w="0" w:type="dxa"/>
            <w:left w:w="108" w:type="dxa"/>
            <w:bottom w:w="0" w:type="dxa"/>
            <w:right w:w="108" w:type="dxa"/>
          </w:tblCellMar>
        </w:tblPrEx>
        <w:trPr>
          <w:wBefore w:w="0" w:type="auto"/>
        </w:trPr>
        <w:tc>
          <w:tcPr>
            <w:tcW w:w="3191"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邮政编码</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518000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100808</w:t>
            </w:r>
          </w:p>
        </w:tc>
      </w:tr>
      <w:tr>
        <w:tblPrEx>
          <w:tblCellMar>
            <w:top w:w="0" w:type="dxa"/>
            <w:left w:w="108" w:type="dxa"/>
            <w:bottom w:w="0" w:type="dxa"/>
            <w:right w:w="108" w:type="dxa"/>
          </w:tblCellMar>
        </w:tblPrEx>
        <w:trPr>
          <w:wBefore w:w="0" w:type="auto"/>
        </w:trPr>
        <w:tc>
          <w:tcPr>
            <w:tcW w:w="3191"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法定代表人</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刘学民</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李国华</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7" w:name="_Toc477955715"/>
      <w:r>
        <w:rPr>
          <w:rFonts w:ascii="Times New Roman" w:hAnsi="Times New Roman"/>
          <w:b/>
          <w:color w:val="000000"/>
          <w:kern w:val="0"/>
          <w:sz w:val="24"/>
          <w:szCs w:val="24"/>
        </w:rPr>
        <w:t xml:space="preserve">2.4 </w:t>
      </w:r>
      <w:r>
        <w:rPr>
          <w:rFonts w:hint="eastAsia" w:ascii="Times New Roman" w:hAnsi="Times New Roman"/>
          <w:b/>
          <w:color w:val="000000"/>
          <w:kern w:val="0"/>
          <w:sz w:val="24"/>
          <w:szCs w:val="24"/>
        </w:rPr>
        <w:t>信息披露方式</w:t>
      </w:r>
      <w:bookmarkEnd w:id="7"/>
    </w:p>
    <w:tbl>
      <w:tblPr>
        <w:tblStyle w:val="10"/>
        <w:tblW w:w="0" w:type="auto"/>
        <w:tblInd w:w="108" w:type="dxa"/>
        <w:tblLayout w:type="fixed"/>
        <w:tblCellMar>
          <w:top w:w="0" w:type="dxa"/>
          <w:left w:w="108" w:type="dxa"/>
          <w:bottom w:w="0" w:type="dxa"/>
          <w:right w:w="108" w:type="dxa"/>
        </w:tblCellMar>
      </w:tblPr>
      <w:tblGrid>
        <w:gridCol w:w="3191"/>
        <w:gridCol w:w="5779"/>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本基金选定的信息披露报纸名称</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证券时报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登载基金年度报告正文的管理人互联网网址</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www.cjhxfund.com</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基金年度报告备置地点</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深圳市福田区福华一路</w:t>
            </w:r>
            <w:r>
              <w:rPr>
                <w:rFonts w:ascii="Times New Roman" w:hAnsi="Times New Roman"/>
                <w:color w:val="000000"/>
                <w:kern w:val="0"/>
                <w:sz w:val="24"/>
                <w:szCs w:val="24"/>
              </w:rPr>
              <w:t>115</w:t>
            </w:r>
            <w:r>
              <w:rPr>
                <w:rFonts w:hint="eastAsia" w:ascii="Times New Roman" w:hAnsi="Times New Roman"/>
                <w:color w:val="000000"/>
                <w:kern w:val="0"/>
                <w:sz w:val="24"/>
                <w:szCs w:val="24"/>
              </w:rPr>
              <w:t>号投行大厦</w:t>
            </w:r>
            <w:r>
              <w:rPr>
                <w:rFonts w:ascii="Times New Roman" w:hAnsi="Times New Roman"/>
                <w:color w:val="000000"/>
                <w:kern w:val="0"/>
                <w:sz w:val="24"/>
                <w:szCs w:val="24"/>
              </w:rPr>
              <w:t>15</w:t>
            </w:r>
            <w:r>
              <w:rPr>
                <w:rFonts w:hint="eastAsia" w:ascii="Times New Roman" w:hAnsi="Times New Roman"/>
                <w:color w:val="000000"/>
                <w:kern w:val="0"/>
                <w:sz w:val="24"/>
                <w:szCs w:val="24"/>
              </w:rPr>
              <w:t>楼</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8" w:name="_Toc477955716"/>
      <w:r>
        <w:rPr>
          <w:rFonts w:ascii="Times New Roman" w:hAnsi="Times New Roman"/>
          <w:b/>
          <w:color w:val="000000"/>
          <w:kern w:val="0"/>
          <w:sz w:val="24"/>
          <w:szCs w:val="24"/>
        </w:rPr>
        <w:t xml:space="preserve">2.5 </w:t>
      </w:r>
      <w:r>
        <w:rPr>
          <w:rFonts w:hint="eastAsia" w:ascii="Times New Roman" w:hAnsi="Times New Roman"/>
          <w:b/>
          <w:color w:val="000000"/>
          <w:kern w:val="0"/>
          <w:sz w:val="24"/>
          <w:szCs w:val="24"/>
        </w:rPr>
        <w:t>其他相关资料</w:t>
      </w:r>
      <w:bookmarkEnd w:id="8"/>
    </w:p>
    <w:tbl>
      <w:tblPr>
        <w:tblStyle w:val="10"/>
        <w:tblW w:w="0" w:type="auto"/>
        <w:tblInd w:w="108" w:type="dxa"/>
        <w:tblLayout w:type="fixed"/>
        <w:tblCellMar>
          <w:top w:w="0" w:type="dxa"/>
          <w:left w:w="108" w:type="dxa"/>
          <w:bottom w:w="0" w:type="dxa"/>
          <w:right w:w="108" w:type="dxa"/>
        </w:tblCellMar>
      </w:tblPr>
      <w:tblGrid>
        <w:gridCol w:w="1746"/>
        <w:gridCol w:w="3612"/>
        <w:gridCol w:w="3612"/>
      </w:tblGrid>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名称</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办公地址</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会计师事务所</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普华永道中天会计师事务所（特殊普通合伙）</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上海市黄浦区湖滨路</w:t>
            </w:r>
            <w:r>
              <w:rPr>
                <w:rFonts w:ascii="Times New Roman" w:hAnsi="Times New Roman"/>
                <w:color w:val="000000"/>
                <w:kern w:val="0"/>
                <w:sz w:val="24"/>
                <w:szCs w:val="24"/>
              </w:rPr>
              <w:t>202</w:t>
            </w:r>
            <w:r>
              <w:rPr>
                <w:rFonts w:hint="eastAsia" w:ascii="Times New Roman" w:hAnsi="Times New Roman"/>
                <w:color w:val="000000"/>
                <w:kern w:val="0"/>
                <w:sz w:val="24"/>
                <w:szCs w:val="24"/>
              </w:rPr>
              <w:t>号普华永道中心</w:t>
            </w:r>
            <w:r>
              <w:rPr>
                <w:rFonts w:ascii="Times New Roman" w:hAnsi="Times New Roman"/>
                <w:color w:val="000000"/>
                <w:kern w:val="0"/>
                <w:sz w:val="24"/>
                <w:szCs w:val="24"/>
              </w:rPr>
              <w:t>11</w:t>
            </w:r>
            <w:r>
              <w:rPr>
                <w:rFonts w:hint="eastAsia" w:ascii="Times New Roman" w:hAnsi="Times New Roman"/>
                <w:color w:val="000000"/>
                <w:kern w:val="0"/>
                <w:sz w:val="24"/>
                <w:szCs w:val="24"/>
              </w:rPr>
              <w:t>楼</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注册登记机构</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创金合信基金管理有限公司</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深圳市福田区福华一路</w:t>
            </w:r>
            <w:r>
              <w:rPr>
                <w:rFonts w:ascii="Times New Roman" w:hAnsi="Times New Roman"/>
                <w:color w:val="000000"/>
                <w:kern w:val="0"/>
                <w:sz w:val="24"/>
                <w:szCs w:val="24"/>
              </w:rPr>
              <w:t>115</w:t>
            </w:r>
            <w:r>
              <w:rPr>
                <w:rFonts w:hint="eastAsia" w:ascii="Times New Roman" w:hAnsi="Times New Roman"/>
                <w:color w:val="000000"/>
                <w:kern w:val="0"/>
                <w:sz w:val="24"/>
                <w:szCs w:val="24"/>
              </w:rPr>
              <w:t>号投行大厦</w:t>
            </w:r>
            <w:r>
              <w:rPr>
                <w:rFonts w:ascii="Times New Roman" w:hAnsi="Times New Roman"/>
                <w:color w:val="000000"/>
                <w:kern w:val="0"/>
                <w:sz w:val="24"/>
                <w:szCs w:val="24"/>
              </w:rPr>
              <w:t>15</w:t>
            </w:r>
            <w:r>
              <w:rPr>
                <w:rFonts w:hint="eastAsia" w:ascii="Times New Roman" w:hAnsi="Times New Roman"/>
                <w:color w:val="000000"/>
                <w:kern w:val="0"/>
                <w:sz w:val="24"/>
                <w:szCs w:val="24"/>
              </w:rPr>
              <w:t>楼</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center"/>
        <w:outlineLvl w:val="0"/>
        <w:rPr>
          <w:rFonts w:ascii="Times New Roman" w:hAnsi="Times New Roman"/>
          <w:b/>
          <w:color w:val="000000"/>
          <w:kern w:val="0"/>
          <w:sz w:val="24"/>
          <w:szCs w:val="24"/>
        </w:rPr>
      </w:pPr>
      <w:bookmarkStart w:id="9" w:name="_Toc477955717"/>
      <w:r>
        <w:rPr>
          <w:rFonts w:hint="eastAsia" w:ascii="Times New Roman" w:hAnsi="Times New Roman"/>
          <w:b/>
          <w:color w:val="000000"/>
          <w:kern w:val="0"/>
          <w:sz w:val="24"/>
          <w:szCs w:val="24"/>
        </w:rPr>
        <w:t>§</w:t>
      </w:r>
      <w:r>
        <w:rPr>
          <w:rFonts w:ascii="Times New Roman" w:hAnsi="Times New Roman"/>
          <w:b/>
          <w:color w:val="000000"/>
          <w:kern w:val="0"/>
          <w:sz w:val="24"/>
          <w:szCs w:val="24"/>
        </w:rPr>
        <w:t xml:space="preserve">3  </w:t>
      </w:r>
      <w:r>
        <w:rPr>
          <w:rFonts w:hint="eastAsia" w:ascii="Times New Roman" w:hAnsi="Times New Roman"/>
          <w:b/>
          <w:color w:val="000000"/>
          <w:kern w:val="0"/>
          <w:sz w:val="24"/>
          <w:szCs w:val="24"/>
        </w:rPr>
        <w:t>主要财务指标、基金净值表现及利润分配情况</w:t>
      </w:r>
      <w:bookmarkEnd w:id="9"/>
    </w:p>
    <w:p>
      <w:pPr>
        <w:autoSpaceDE w:val="0"/>
        <w:autoSpaceDN w:val="0"/>
        <w:adjustRightInd w:val="0"/>
        <w:spacing w:line="288" w:lineRule="auto"/>
        <w:jc w:val="left"/>
        <w:rPr>
          <w:rFonts w:ascii="Times New Roman" w:hAnsi="Times New Roman"/>
          <w:color w:val="000000"/>
          <w:kern w:val="0"/>
          <w:sz w:val="24"/>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10" w:name="_Toc477955718"/>
      <w:r>
        <w:rPr>
          <w:rFonts w:ascii="Times New Roman" w:hAnsi="Times New Roman"/>
          <w:b/>
          <w:color w:val="000000"/>
          <w:kern w:val="0"/>
          <w:sz w:val="24"/>
          <w:szCs w:val="24"/>
        </w:rPr>
        <w:t xml:space="preserve">3.1 </w:t>
      </w:r>
      <w:r>
        <w:rPr>
          <w:rFonts w:hint="eastAsia" w:ascii="Times New Roman" w:hAnsi="Times New Roman"/>
          <w:b/>
          <w:color w:val="000000"/>
          <w:kern w:val="0"/>
          <w:sz w:val="24"/>
          <w:szCs w:val="24"/>
        </w:rPr>
        <w:t>主要会计数据和财务指标</w:t>
      </w:r>
      <w:bookmarkEnd w:id="10"/>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p>
      <w:pPr>
        <w:autoSpaceDE w:val="0"/>
        <w:autoSpaceDN w:val="0"/>
        <w:adjustRightInd w:val="0"/>
        <w:spacing w:line="288" w:lineRule="auto"/>
        <w:jc w:val="left"/>
        <w:rPr>
          <w:rFonts w:ascii="Times New Roman" w:hAnsi="Times New Roman"/>
          <w:color w:val="000000"/>
          <w:kern w:val="0"/>
          <w:sz w:val="12"/>
          <w:szCs w:val="24"/>
        </w:rPr>
      </w:pPr>
    </w:p>
    <w:tbl>
      <w:tblPr>
        <w:tblStyle w:val="10"/>
        <w:tblW w:w="0" w:type="auto"/>
        <w:tblInd w:w="108" w:type="dxa"/>
        <w:tblLayout w:type="fixed"/>
        <w:tblCellMar>
          <w:top w:w="0" w:type="dxa"/>
          <w:left w:w="108" w:type="dxa"/>
          <w:bottom w:w="0" w:type="dxa"/>
          <w:right w:w="108" w:type="dxa"/>
        </w:tblCellMar>
      </w:tblPr>
      <w:tblGrid>
        <w:gridCol w:w="3191"/>
        <w:gridCol w:w="2889"/>
        <w:gridCol w:w="2890"/>
      </w:tblGrid>
      <w:tr>
        <w:tblPrEx>
          <w:tblCellMar>
            <w:top w:w="0" w:type="dxa"/>
            <w:left w:w="108" w:type="dxa"/>
            <w:bottom w:w="0" w:type="dxa"/>
            <w:right w:w="108" w:type="dxa"/>
          </w:tblCellMar>
        </w:tblPrEx>
        <w:trPr>
          <w:wBefore w:w="0" w:type="auto"/>
        </w:trPr>
        <w:tc>
          <w:tcPr>
            <w:tcW w:w="3191"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color w:val="000000"/>
                <w:kern w:val="0"/>
                <w:sz w:val="24"/>
                <w:szCs w:val="24"/>
              </w:rPr>
            </w:pPr>
            <w:r>
              <w:rPr>
                <w:rFonts w:ascii="Times New Roman" w:hAnsi="Times New Roman"/>
                <w:b/>
                <w:color w:val="000000"/>
                <w:kern w:val="0"/>
                <w:sz w:val="24"/>
                <w:szCs w:val="24"/>
              </w:rPr>
              <w:t xml:space="preserve">3.1.1 </w:t>
            </w:r>
            <w:r>
              <w:rPr>
                <w:rFonts w:hint="eastAsia" w:ascii="Times New Roman" w:hAnsi="Times New Roman"/>
                <w:b/>
                <w:color w:val="000000"/>
                <w:kern w:val="0"/>
                <w:sz w:val="24"/>
                <w:szCs w:val="24"/>
              </w:rPr>
              <w:t>期间数据和指标</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30</w:t>
            </w:r>
            <w:r>
              <w:rPr>
                <w:rFonts w:hint="eastAsia" w:ascii="Times New Roman" w:hAnsi="Times New Roman"/>
                <w:color w:val="000000"/>
                <w:kern w:val="0"/>
                <w:sz w:val="24"/>
                <w:szCs w:val="24"/>
              </w:rPr>
              <w:t>日</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30</w:t>
            </w:r>
            <w:r>
              <w:rPr>
                <w:rFonts w:hint="eastAsia" w:ascii="Times New Roman" w:hAnsi="Times New Roman"/>
                <w:color w:val="000000"/>
                <w:kern w:val="0"/>
                <w:sz w:val="24"/>
                <w:szCs w:val="24"/>
              </w:rPr>
              <w:t>日</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创金合信鑫动力混合</w:t>
            </w:r>
            <w:r>
              <w:rPr>
                <w:rFonts w:ascii="Times New Roman" w:hAnsi="Times New Roman"/>
                <w:color w:val="000000"/>
                <w:kern w:val="0"/>
                <w:sz w:val="24"/>
                <w:szCs w:val="24"/>
              </w:rPr>
              <w:t>A</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创金合信鑫动力混合</w:t>
            </w:r>
            <w:r>
              <w:rPr>
                <w:rFonts w:ascii="Times New Roman" w:hAnsi="Times New Roman"/>
                <w:color w:val="000000"/>
                <w:kern w:val="0"/>
                <w:sz w:val="24"/>
                <w:szCs w:val="24"/>
              </w:rPr>
              <w:t>C</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本期已实现收益</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4,062,826.05</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597.46</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本期利润</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-5,556,653.19</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-681.34</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加权平均基金份额本期利润</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-0.0069</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-0.0059</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本期加权平均净值利润率</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-0.70%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-0.59%</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本期基金份额净值增长率</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-0.70%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-0.80%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color w:val="000000"/>
                <w:kern w:val="0"/>
                <w:sz w:val="24"/>
                <w:szCs w:val="24"/>
              </w:rPr>
            </w:pPr>
            <w:r>
              <w:rPr>
                <w:rFonts w:ascii="Times New Roman" w:hAnsi="Times New Roman"/>
                <w:b/>
                <w:color w:val="000000"/>
                <w:kern w:val="0"/>
                <w:sz w:val="24"/>
                <w:szCs w:val="24"/>
              </w:rPr>
              <w:t xml:space="preserve">3.1.2 </w:t>
            </w:r>
            <w:r>
              <w:rPr>
                <w:rFonts w:hint="eastAsia" w:ascii="Times New Roman" w:hAnsi="Times New Roman"/>
                <w:b/>
                <w:color w:val="000000"/>
                <w:kern w:val="0"/>
                <w:sz w:val="24"/>
                <w:szCs w:val="24"/>
              </w:rPr>
              <w:t>期末数据和指标</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年末</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年末</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期末可供分配利润</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-5,557,406.60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-716.94</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期末可供分配基金份额利润</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-0.0069</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-0.0076</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期末基金资产净值</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794,545,603.50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93,544.49</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期末基金份额净值</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0.993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0.992</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color w:val="000000"/>
                <w:kern w:val="0"/>
                <w:sz w:val="24"/>
                <w:szCs w:val="24"/>
              </w:rPr>
            </w:pPr>
            <w:r>
              <w:rPr>
                <w:rFonts w:ascii="Times New Roman" w:hAnsi="Times New Roman"/>
                <w:b/>
                <w:color w:val="000000"/>
                <w:kern w:val="0"/>
                <w:sz w:val="24"/>
                <w:szCs w:val="24"/>
              </w:rPr>
              <w:t xml:space="preserve">3.1.3 </w:t>
            </w:r>
            <w:r>
              <w:rPr>
                <w:rFonts w:hint="eastAsia" w:ascii="Times New Roman" w:hAnsi="Times New Roman"/>
                <w:b/>
                <w:color w:val="000000"/>
                <w:kern w:val="0"/>
                <w:sz w:val="24"/>
                <w:szCs w:val="24"/>
              </w:rPr>
              <w:t>累计期末指标</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年末</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年末</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基金份额累计净值增长率</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-0.70%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-0.80%</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w:t>
      </w:r>
      <w:r>
        <w:rPr>
          <w:rFonts w:ascii="Times New Roman" w:hAnsi="Times New Roman"/>
          <w:color w:val="000000"/>
          <w:kern w:val="0"/>
          <w:szCs w:val="24"/>
        </w:rPr>
        <w:t>1.</w:t>
      </w:r>
      <w:r>
        <w:rPr>
          <w:rFonts w:hint="eastAsia" w:ascii="Times New Roman" w:hAnsi="Times New Roman"/>
          <w:color w:val="000000"/>
          <w:kern w:val="0"/>
          <w:szCs w:val="24"/>
        </w:rPr>
        <w:t>上述基金业绩指标不包括持有人认购或交易基金的各项费用</w:t>
      </w:r>
      <w:r>
        <w:rPr>
          <w:rFonts w:ascii="Times New Roman" w:hAnsi="Times New Roman"/>
          <w:color w:val="000000"/>
          <w:kern w:val="0"/>
          <w:szCs w:val="24"/>
        </w:rPr>
        <w:t>,</w:t>
      </w:r>
      <w:r>
        <w:rPr>
          <w:rFonts w:hint="eastAsia" w:ascii="Times New Roman" w:hAnsi="Times New Roman"/>
          <w:color w:val="000000"/>
          <w:kern w:val="0"/>
          <w:szCs w:val="24"/>
        </w:rPr>
        <w:t>计入费用后实际收益水平要低于所列数字。</w:t>
      </w:r>
    </w:p>
    <w:p>
      <w:pPr>
        <w:autoSpaceDE w:val="0"/>
        <w:autoSpaceDN w:val="0"/>
        <w:adjustRightInd w:val="0"/>
        <w:spacing w:before="29" w:line="288" w:lineRule="auto"/>
        <w:ind w:left="15"/>
        <w:jc w:val="left"/>
        <w:rPr>
          <w:rFonts w:ascii="Times New Roman" w:hAnsi="Times New Roman"/>
          <w:color w:val="000000"/>
          <w:kern w:val="0"/>
          <w:szCs w:val="24"/>
        </w:rPr>
      </w:pPr>
      <w:r>
        <w:rPr>
          <w:rFonts w:ascii="Times New Roman" w:hAnsi="Times New Roman"/>
          <w:color w:val="000000"/>
          <w:kern w:val="0"/>
          <w:szCs w:val="24"/>
        </w:rPr>
        <w:t>2.</w:t>
      </w:r>
      <w:r>
        <w:rPr>
          <w:rFonts w:hint="eastAsia" w:ascii="Times New Roman" w:hAnsi="Times New Roman"/>
          <w:color w:val="000000"/>
          <w:kern w:val="0"/>
          <w:szCs w:val="24"/>
        </w:rPr>
        <w:t>本期已实现收益指基金本期利息收入、投资收益、其他收入</w:t>
      </w:r>
      <w:r>
        <w:rPr>
          <w:rFonts w:ascii="Times New Roman" w:hAnsi="Times New Roman"/>
          <w:color w:val="000000"/>
          <w:kern w:val="0"/>
          <w:szCs w:val="24"/>
        </w:rPr>
        <w:t>(</w:t>
      </w:r>
      <w:r>
        <w:rPr>
          <w:rFonts w:hint="eastAsia" w:ascii="Times New Roman" w:hAnsi="Times New Roman"/>
          <w:color w:val="000000"/>
          <w:kern w:val="0"/>
          <w:szCs w:val="24"/>
        </w:rPr>
        <w:t>不含公允价值变动收益</w:t>
      </w:r>
      <w:r>
        <w:rPr>
          <w:rFonts w:ascii="Times New Roman" w:hAnsi="Times New Roman"/>
          <w:color w:val="000000"/>
          <w:kern w:val="0"/>
          <w:szCs w:val="24"/>
        </w:rPr>
        <w:t>)</w:t>
      </w:r>
      <w:r>
        <w:rPr>
          <w:rFonts w:hint="eastAsia" w:ascii="Times New Roman" w:hAnsi="Times New Roman"/>
          <w:color w:val="000000"/>
          <w:kern w:val="0"/>
          <w:szCs w:val="24"/>
        </w:rPr>
        <w:t>扣除相关费用后的余额</w:t>
      </w:r>
      <w:r>
        <w:rPr>
          <w:rFonts w:ascii="Times New Roman" w:hAnsi="Times New Roman"/>
          <w:color w:val="000000"/>
          <w:kern w:val="0"/>
          <w:szCs w:val="24"/>
        </w:rPr>
        <w:t>,</w:t>
      </w:r>
      <w:r>
        <w:rPr>
          <w:rFonts w:hint="eastAsia" w:ascii="Times New Roman" w:hAnsi="Times New Roman"/>
          <w:color w:val="000000"/>
          <w:kern w:val="0"/>
          <w:szCs w:val="24"/>
        </w:rPr>
        <w:t>本期利润为本期已实现收益加上本期公允价值变动收益。</w:t>
      </w:r>
    </w:p>
    <w:p>
      <w:pPr>
        <w:autoSpaceDE w:val="0"/>
        <w:autoSpaceDN w:val="0"/>
        <w:adjustRightInd w:val="0"/>
        <w:spacing w:before="29" w:line="288" w:lineRule="auto"/>
        <w:ind w:left="15"/>
        <w:jc w:val="left"/>
        <w:rPr>
          <w:rFonts w:ascii="Times New Roman" w:hAnsi="Times New Roman"/>
          <w:color w:val="000000"/>
          <w:kern w:val="0"/>
          <w:szCs w:val="24"/>
        </w:rPr>
      </w:pPr>
      <w:r>
        <w:rPr>
          <w:rFonts w:ascii="Times New Roman" w:hAnsi="Times New Roman"/>
          <w:color w:val="000000"/>
          <w:kern w:val="0"/>
          <w:szCs w:val="24"/>
        </w:rPr>
        <w:t>3.</w:t>
      </w:r>
      <w:r>
        <w:rPr>
          <w:rFonts w:hint="eastAsia" w:ascii="Times New Roman" w:hAnsi="Times New Roman"/>
          <w:color w:val="000000"/>
          <w:kern w:val="0"/>
          <w:szCs w:val="24"/>
        </w:rPr>
        <w:t>期末可供分配利润是采用期末资产负债表中未分配利润与未分配利润中已实现部分的孰低数。</w:t>
      </w:r>
    </w:p>
    <w:p>
      <w:pPr>
        <w:autoSpaceDE w:val="0"/>
        <w:autoSpaceDN w:val="0"/>
        <w:adjustRightInd w:val="0"/>
        <w:spacing w:before="29" w:line="288" w:lineRule="auto"/>
        <w:ind w:left="15"/>
        <w:jc w:val="left"/>
        <w:rPr>
          <w:rFonts w:ascii="Times New Roman" w:hAnsi="Times New Roman"/>
          <w:color w:val="000000"/>
          <w:kern w:val="0"/>
          <w:szCs w:val="24"/>
        </w:rPr>
      </w:pPr>
      <w:r>
        <w:rPr>
          <w:rFonts w:ascii="Times New Roman" w:hAnsi="Times New Roman"/>
          <w:color w:val="000000"/>
          <w:kern w:val="0"/>
          <w:szCs w:val="24"/>
        </w:rPr>
        <w:t>4.</w:t>
      </w:r>
      <w:r>
        <w:rPr>
          <w:rFonts w:hint="eastAsia" w:ascii="Times New Roman" w:hAnsi="Times New Roman"/>
          <w:color w:val="000000"/>
          <w:kern w:val="0"/>
          <w:szCs w:val="24"/>
        </w:rPr>
        <w:t>本基金合同生效日为</w:t>
      </w:r>
      <w:r>
        <w:rPr>
          <w:rFonts w:ascii="Times New Roman" w:hAnsi="Times New Roman"/>
          <w:color w:val="000000"/>
          <w:kern w:val="0"/>
          <w:szCs w:val="24"/>
        </w:rPr>
        <w:t>2016</w:t>
      </w:r>
      <w:r>
        <w:rPr>
          <w:rFonts w:hint="eastAsia" w:ascii="Times New Roman" w:hAnsi="Times New Roman"/>
          <w:color w:val="000000"/>
          <w:kern w:val="0"/>
          <w:szCs w:val="24"/>
        </w:rPr>
        <w:t>年</w:t>
      </w:r>
      <w:r>
        <w:rPr>
          <w:rFonts w:ascii="Times New Roman" w:hAnsi="Times New Roman"/>
          <w:color w:val="000000"/>
          <w:kern w:val="0"/>
          <w:szCs w:val="24"/>
        </w:rPr>
        <w:t>8</w:t>
      </w:r>
      <w:r>
        <w:rPr>
          <w:rFonts w:hint="eastAsia" w:ascii="Times New Roman" w:hAnsi="Times New Roman"/>
          <w:color w:val="000000"/>
          <w:kern w:val="0"/>
          <w:szCs w:val="24"/>
        </w:rPr>
        <w:t>月</w:t>
      </w:r>
      <w:r>
        <w:rPr>
          <w:rFonts w:ascii="Times New Roman" w:hAnsi="Times New Roman"/>
          <w:color w:val="000000"/>
          <w:kern w:val="0"/>
          <w:szCs w:val="24"/>
        </w:rPr>
        <w:t>30</w:t>
      </w:r>
      <w:r>
        <w:rPr>
          <w:rFonts w:hint="eastAsia" w:ascii="Times New Roman" w:hAnsi="Times New Roman"/>
          <w:color w:val="000000"/>
          <w:kern w:val="0"/>
          <w:szCs w:val="24"/>
        </w:rPr>
        <w:t>日，截至报告期末，本基金成立不满一年。合同生效当期的相关数据和指标按实际存续期计算。</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11" w:name="_Toc477955719"/>
      <w:r>
        <w:rPr>
          <w:rFonts w:ascii="Times New Roman" w:hAnsi="Times New Roman"/>
          <w:b/>
          <w:color w:val="000000"/>
          <w:kern w:val="0"/>
          <w:sz w:val="24"/>
          <w:szCs w:val="24"/>
        </w:rPr>
        <w:t xml:space="preserve">3.2 </w:t>
      </w:r>
      <w:r>
        <w:rPr>
          <w:rFonts w:hint="eastAsia" w:ascii="Times New Roman" w:hAnsi="Times New Roman"/>
          <w:b/>
          <w:color w:val="000000"/>
          <w:kern w:val="0"/>
          <w:sz w:val="24"/>
          <w:szCs w:val="24"/>
        </w:rPr>
        <w:t>基金净值表现</w:t>
      </w:r>
      <w:bookmarkEnd w:id="11"/>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3.2.1 </w:t>
      </w:r>
      <w:r>
        <w:rPr>
          <w:rFonts w:hint="eastAsia" w:ascii="Times New Roman" w:hAnsi="Times New Roman"/>
          <w:b/>
          <w:color w:val="000000"/>
          <w:kern w:val="0"/>
          <w:sz w:val="24"/>
          <w:szCs w:val="24"/>
        </w:rPr>
        <w:t>基金份额净值增长率及其与同期业绩比较基准收益率的比较</w:t>
      </w:r>
    </w:p>
    <w:tbl>
      <w:tblPr>
        <w:tblStyle w:val="10"/>
        <w:tblW w:w="0" w:type="auto"/>
        <w:tblInd w:w="108" w:type="dxa"/>
        <w:tblLayout w:type="fixed"/>
        <w:tblCellMar>
          <w:top w:w="0" w:type="dxa"/>
          <w:left w:w="108" w:type="dxa"/>
          <w:bottom w:w="0" w:type="dxa"/>
          <w:right w:w="108" w:type="dxa"/>
        </w:tblCellMar>
      </w:tblPr>
      <w:tblGrid>
        <w:gridCol w:w="2468"/>
        <w:gridCol w:w="1084"/>
        <w:gridCol w:w="1083"/>
        <w:gridCol w:w="1084"/>
        <w:gridCol w:w="1084"/>
        <w:gridCol w:w="1083"/>
        <w:gridCol w:w="1084"/>
      </w:tblGrid>
      <w:tr>
        <w:tblPrEx>
          <w:tblCellMar>
            <w:top w:w="0" w:type="dxa"/>
            <w:left w:w="108" w:type="dxa"/>
            <w:bottom w:w="0" w:type="dxa"/>
            <w:right w:w="108" w:type="dxa"/>
          </w:tblCellMar>
        </w:tblPrEx>
        <w:trPr>
          <w:wBefore w:w="0" w:type="auto"/>
        </w:trPr>
        <w:tc>
          <w:tcPr>
            <w:tcW w:w="24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阶段</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w:t>
            </w:r>
            <w:r>
              <w:rPr>
                <w:rFonts w:hint="eastAsia" w:ascii="Times New Roman" w:hAnsi="Times New Roman"/>
                <w:color w:val="000000"/>
                <w:kern w:val="0"/>
                <w:sz w:val="24"/>
                <w:szCs w:val="24"/>
              </w:rPr>
              <w:t>创金合信鑫动力混合</w:t>
            </w:r>
            <w:r>
              <w:rPr>
                <w:rFonts w:ascii="Times New Roman" w:hAnsi="Times New Roman"/>
                <w:color w:val="000000"/>
                <w:kern w:val="0"/>
                <w:sz w:val="24"/>
                <w:szCs w:val="24"/>
              </w:rPr>
              <w:t>A)</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份额净值增长率①</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份额净值增长率标准差②</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业绩比较基准收益率③</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业绩比较基准收益率标准差④</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①</w:t>
            </w:r>
            <w:r>
              <w:rPr>
                <w:rFonts w:ascii="Times New Roman" w:hAnsi="Times New Roman"/>
                <w:color w:val="000000"/>
                <w:kern w:val="0"/>
                <w:sz w:val="24"/>
                <w:szCs w:val="24"/>
              </w:rPr>
              <w:t>-</w:t>
            </w:r>
            <w:r>
              <w:rPr>
                <w:rFonts w:hint="eastAsia" w:ascii="Times New Roman" w:hAnsi="Times New Roman"/>
                <w:color w:val="000000"/>
                <w:kern w:val="0"/>
                <w:sz w:val="24"/>
                <w:szCs w:val="24"/>
              </w:rPr>
              <w:t>③</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②</w:t>
            </w:r>
            <w:r>
              <w:rPr>
                <w:rFonts w:ascii="Times New Roman" w:hAnsi="Times New Roman"/>
                <w:color w:val="000000"/>
                <w:kern w:val="0"/>
                <w:sz w:val="24"/>
                <w:szCs w:val="24"/>
              </w:rPr>
              <w:t>-</w:t>
            </w:r>
            <w:r>
              <w:rPr>
                <w:rFonts w:hint="eastAsia" w:ascii="Times New Roman" w:hAnsi="Times New Roman"/>
                <w:color w:val="000000"/>
                <w:kern w:val="0"/>
                <w:sz w:val="24"/>
                <w:szCs w:val="24"/>
              </w:rPr>
              <w:t>④</w:t>
            </w:r>
          </w:p>
        </w:tc>
      </w:tr>
      <w:tr>
        <w:tblPrEx>
          <w:tblCellMar>
            <w:top w:w="0" w:type="dxa"/>
            <w:left w:w="108" w:type="dxa"/>
            <w:bottom w:w="0" w:type="dxa"/>
            <w:right w:w="108" w:type="dxa"/>
          </w:tblCellMar>
        </w:tblPrEx>
        <w:trPr>
          <w:wBefore w:w="0" w:type="auto"/>
        </w:trPr>
        <w:tc>
          <w:tcPr>
            <w:tcW w:w="24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过去三个月</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-0.60%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0.13%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0.82%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0.21%</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-1.42%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24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自基金合同生效日起至今（</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30</w:t>
            </w:r>
            <w:r>
              <w:rPr>
                <w:rFonts w:hint="eastAsia" w:ascii="Times New Roman" w:hAnsi="Times New Roman"/>
                <w:color w:val="000000"/>
                <w:kern w:val="0"/>
                <w:sz w:val="24"/>
                <w:szCs w:val="24"/>
              </w:rPr>
              <w:t>日</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-0.70%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0.11%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0.42%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0.21%</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-0.10%</w:t>
            </w:r>
          </w:p>
        </w:tc>
      </w:tr>
    </w:tbl>
    <w:p>
      <w:pPr>
        <w:autoSpaceDE w:val="0"/>
        <w:autoSpaceDN w:val="0"/>
        <w:adjustRightInd w:val="0"/>
        <w:spacing w:line="288" w:lineRule="auto"/>
        <w:jc w:val="left"/>
        <w:rPr>
          <w:rFonts w:ascii="Times New Roman" w:hAnsi="Times New Roman"/>
          <w:color w:val="000000"/>
          <w:kern w:val="0"/>
          <w:sz w:val="23"/>
          <w:szCs w:val="24"/>
        </w:rPr>
      </w:pPr>
    </w:p>
    <w:tbl>
      <w:tblPr>
        <w:tblStyle w:val="10"/>
        <w:tblW w:w="0" w:type="auto"/>
        <w:tblInd w:w="108" w:type="dxa"/>
        <w:tblLayout w:type="fixed"/>
        <w:tblCellMar>
          <w:top w:w="0" w:type="dxa"/>
          <w:left w:w="108" w:type="dxa"/>
          <w:bottom w:w="0" w:type="dxa"/>
          <w:right w:w="108" w:type="dxa"/>
        </w:tblCellMar>
      </w:tblPr>
      <w:tblGrid>
        <w:gridCol w:w="2468"/>
        <w:gridCol w:w="1084"/>
        <w:gridCol w:w="1083"/>
        <w:gridCol w:w="1084"/>
        <w:gridCol w:w="1084"/>
        <w:gridCol w:w="1083"/>
        <w:gridCol w:w="1084"/>
      </w:tblGrid>
      <w:tr>
        <w:tblPrEx>
          <w:tblCellMar>
            <w:top w:w="0" w:type="dxa"/>
            <w:left w:w="108" w:type="dxa"/>
            <w:bottom w:w="0" w:type="dxa"/>
            <w:right w:w="108" w:type="dxa"/>
          </w:tblCellMar>
        </w:tblPrEx>
        <w:trPr>
          <w:wBefore w:w="0" w:type="auto"/>
        </w:trPr>
        <w:tc>
          <w:tcPr>
            <w:tcW w:w="24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阶段</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w:t>
            </w:r>
            <w:r>
              <w:rPr>
                <w:rFonts w:hint="eastAsia" w:ascii="Times New Roman" w:hAnsi="Times New Roman"/>
                <w:color w:val="000000"/>
                <w:kern w:val="0"/>
                <w:sz w:val="24"/>
                <w:szCs w:val="24"/>
              </w:rPr>
              <w:t>创金合信鑫动力混合</w:t>
            </w:r>
            <w:r>
              <w:rPr>
                <w:rFonts w:ascii="Times New Roman" w:hAnsi="Times New Roman"/>
                <w:color w:val="000000"/>
                <w:kern w:val="0"/>
                <w:sz w:val="24"/>
                <w:szCs w:val="24"/>
              </w:rPr>
              <w:t>C)</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份额净值增长率①</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份额净值增长率标准差②</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业绩比较基准收益率③</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业绩比较基准收益率标准差④</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①</w:t>
            </w:r>
            <w:r>
              <w:rPr>
                <w:rFonts w:ascii="Times New Roman" w:hAnsi="Times New Roman"/>
                <w:color w:val="000000"/>
                <w:kern w:val="0"/>
                <w:sz w:val="24"/>
                <w:szCs w:val="24"/>
              </w:rPr>
              <w:t>-</w:t>
            </w:r>
            <w:r>
              <w:rPr>
                <w:rFonts w:hint="eastAsia" w:ascii="Times New Roman" w:hAnsi="Times New Roman"/>
                <w:color w:val="000000"/>
                <w:kern w:val="0"/>
                <w:sz w:val="24"/>
                <w:szCs w:val="24"/>
              </w:rPr>
              <w:t>③</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②</w:t>
            </w:r>
            <w:r>
              <w:rPr>
                <w:rFonts w:ascii="Times New Roman" w:hAnsi="Times New Roman"/>
                <w:color w:val="000000"/>
                <w:kern w:val="0"/>
                <w:sz w:val="24"/>
                <w:szCs w:val="24"/>
              </w:rPr>
              <w:t>-</w:t>
            </w:r>
            <w:r>
              <w:rPr>
                <w:rFonts w:hint="eastAsia" w:ascii="Times New Roman" w:hAnsi="Times New Roman"/>
                <w:color w:val="000000"/>
                <w:kern w:val="0"/>
                <w:sz w:val="24"/>
                <w:szCs w:val="24"/>
              </w:rPr>
              <w:t>④</w:t>
            </w:r>
          </w:p>
        </w:tc>
      </w:tr>
      <w:tr>
        <w:tblPrEx>
          <w:tblCellMar>
            <w:top w:w="0" w:type="dxa"/>
            <w:left w:w="108" w:type="dxa"/>
            <w:bottom w:w="0" w:type="dxa"/>
            <w:right w:w="108" w:type="dxa"/>
          </w:tblCellMar>
        </w:tblPrEx>
        <w:trPr>
          <w:wBefore w:w="0" w:type="auto"/>
        </w:trPr>
        <w:tc>
          <w:tcPr>
            <w:tcW w:w="24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过去三个月</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-0.70%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0.13%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0.82%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0.21%</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-1.52%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24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自基金合同生效日起至今（</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30</w:t>
            </w:r>
            <w:r>
              <w:rPr>
                <w:rFonts w:hint="eastAsia" w:ascii="Times New Roman" w:hAnsi="Times New Roman"/>
                <w:color w:val="000000"/>
                <w:kern w:val="0"/>
                <w:sz w:val="24"/>
                <w:szCs w:val="24"/>
              </w:rPr>
              <w:t>日</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-0.80%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0.11%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0.42%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0.21%</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-0.10%</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3.2.2 </w:t>
      </w:r>
      <w:r>
        <w:rPr>
          <w:rFonts w:hint="eastAsia" w:ascii="Times New Roman" w:hAnsi="Times New Roman"/>
          <w:b/>
          <w:color w:val="000000"/>
          <w:kern w:val="0"/>
          <w:sz w:val="24"/>
          <w:szCs w:val="24"/>
        </w:rPr>
        <w:t>自基金合同生效以来基金份额累计净值增长率变动及其与同期业绩比较基准收益率变动的比较</w:t>
      </w:r>
    </w:p>
    <w:p>
      <w:pPr>
        <w:autoSpaceDE w:val="0"/>
        <w:autoSpaceDN w:val="0"/>
        <w:adjustRightInd w:val="0"/>
        <w:spacing w:line="288" w:lineRule="auto"/>
        <w:jc w:val="left"/>
        <w:rPr>
          <w:rFonts w:ascii="Times New Roman" w:hAnsi="Times New Roman"/>
          <w:kern w:val="0"/>
          <w:sz w:val="24"/>
          <w:szCs w:val="24"/>
        </w:rPr>
      </w:pPr>
      <w:r>
        <w:rPr>
          <w:rFonts w:ascii="Times New Roman" w:hAnsi="Times New Roman"/>
          <w:kern w:val="0"/>
          <w:sz w:val="24"/>
          <w:szCs w:val="24"/>
        </w:rPr>
        <w:pict>
          <v:shape id="_x0000_i1026" o:spt="75" type="#_x0000_t75" style="height:211.7pt;width:441pt;" filled="f" stroked="f" coordsize="21600,21600">
            <v:path/>
            <v:fill on="f" focussize="0,0"/>
            <v:stroke on="f"/>
            <v:imagedata r:id="rId6" o:title=""/>
            <o:lock v:ext="edit" aspectratio="t"/>
            <w10:wrap type="none"/>
            <w10:anchorlock/>
          </v:shape>
        </w:pict>
      </w:r>
    </w:p>
    <w:p>
      <w:pPr>
        <w:autoSpaceDE w:val="0"/>
        <w:autoSpaceDN w:val="0"/>
        <w:adjustRightInd w:val="0"/>
        <w:spacing w:line="288" w:lineRule="auto"/>
        <w:jc w:val="left"/>
        <w:rPr>
          <w:rFonts w:ascii="Times New Roman" w:hAnsi="Times New Roman"/>
          <w:kern w:val="0"/>
          <w:sz w:val="24"/>
          <w:szCs w:val="24"/>
        </w:rPr>
      </w:pPr>
      <w:r>
        <w:rPr>
          <w:rFonts w:ascii="Times New Roman" w:hAnsi="Times New Roman"/>
          <w:kern w:val="0"/>
          <w:sz w:val="24"/>
          <w:szCs w:val="24"/>
        </w:rPr>
        <w:pict>
          <v:shape id="_x0000_i1027" o:spt="75" type="#_x0000_t75" style="height:211.7pt;width:441pt;" filled="f" stroked="f" coordsize="21600,21600">
            <v:path/>
            <v:fill on="f" focussize="0,0"/>
            <v:stroke on="f"/>
            <v:imagedata r:id="rId7" o:title=""/>
            <o:lock v:ext="edit" aspectratio="t"/>
            <w10:wrap type="none"/>
            <w10:anchorlock/>
          </v:shape>
        </w:pic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3.2.3 </w:t>
      </w:r>
      <w:r>
        <w:rPr>
          <w:rFonts w:hint="eastAsia" w:ascii="Times New Roman" w:hAnsi="Times New Roman"/>
          <w:b/>
          <w:color w:val="000000"/>
          <w:kern w:val="0"/>
          <w:sz w:val="24"/>
          <w:szCs w:val="24"/>
        </w:rPr>
        <w:t>自基金合同生效以来基金每年净值增长率及其与同期业绩比较基准收益率的比较</w:t>
      </w:r>
    </w:p>
    <w:p>
      <w:pPr>
        <w:autoSpaceDE w:val="0"/>
        <w:autoSpaceDN w:val="0"/>
        <w:adjustRightInd w:val="0"/>
        <w:spacing w:line="288" w:lineRule="auto"/>
        <w:jc w:val="left"/>
        <w:rPr>
          <w:rFonts w:ascii="Times New Roman" w:hAnsi="Times New Roman"/>
          <w:kern w:val="0"/>
          <w:sz w:val="24"/>
          <w:szCs w:val="24"/>
        </w:rPr>
      </w:pPr>
      <w:r>
        <w:rPr>
          <w:rFonts w:ascii="Times New Roman" w:hAnsi="Times New Roman"/>
          <w:kern w:val="0"/>
          <w:sz w:val="24"/>
          <w:szCs w:val="24"/>
        </w:rPr>
        <w:pict>
          <v:shape id="_x0000_i1028" o:spt="75" type="#_x0000_t75" style="height:211.7pt;width:441pt;" filled="f" stroked="f" coordsize="21600,21600">
            <v:path/>
            <v:fill on="f" focussize="0,0"/>
            <v:stroke on="f"/>
            <v:imagedata r:id="rId8" o:title=""/>
            <o:lock v:ext="edit" aspectratio="t"/>
            <w10:wrap type="none"/>
            <w10:anchorlock/>
          </v:shape>
        </w:pict>
      </w:r>
    </w:p>
    <w:p>
      <w:pPr>
        <w:autoSpaceDE w:val="0"/>
        <w:autoSpaceDN w:val="0"/>
        <w:adjustRightInd w:val="0"/>
        <w:spacing w:line="288" w:lineRule="auto"/>
        <w:jc w:val="left"/>
        <w:rPr>
          <w:rFonts w:ascii="Times New Roman" w:hAnsi="Times New Roman"/>
          <w:kern w:val="0"/>
          <w:sz w:val="24"/>
          <w:szCs w:val="24"/>
        </w:rPr>
      </w:pPr>
      <w:r>
        <w:rPr>
          <w:rFonts w:ascii="Times New Roman" w:hAnsi="Times New Roman"/>
          <w:kern w:val="0"/>
          <w:sz w:val="24"/>
          <w:szCs w:val="24"/>
        </w:rPr>
        <w:pict>
          <v:shape id="_x0000_i1029" o:spt="75" type="#_x0000_t75" style="height:211.7pt;width:441pt;" filled="f" stroked="f" coordsize="21600,21600">
            <v:path/>
            <v:fill on="f" focussize="0,0"/>
            <v:stroke on="f"/>
            <v:imagedata r:id="rId9" o:title=""/>
            <o:lock v:ext="edit" aspectratio="t"/>
            <w10:wrap type="none"/>
            <w10:anchorlock/>
          </v:shape>
        </w:pic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3.3 </w:t>
      </w:r>
      <w:r>
        <w:rPr>
          <w:rFonts w:hint="eastAsia" w:ascii="Times New Roman" w:hAnsi="Times New Roman"/>
          <w:b/>
          <w:color w:val="000000"/>
          <w:kern w:val="0"/>
          <w:sz w:val="24"/>
          <w:szCs w:val="24"/>
        </w:rPr>
        <w:t>过去三年基金的利润分配情况</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本基金自基金合同生效日</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8</w:t>
      </w:r>
      <w:r>
        <w:rPr>
          <w:rFonts w:hint="eastAsia" w:ascii="Times New Roman" w:hAnsi="Times New Roman"/>
          <w:color w:val="000000"/>
          <w:kern w:val="0"/>
          <w:sz w:val="24"/>
          <w:szCs w:val="24"/>
        </w:rPr>
        <w:t>月</w:t>
      </w:r>
      <w:r>
        <w:rPr>
          <w:rFonts w:ascii="Times New Roman" w:hAnsi="Times New Roman"/>
          <w:color w:val="000000"/>
          <w:kern w:val="0"/>
          <w:sz w:val="24"/>
          <w:szCs w:val="24"/>
        </w:rPr>
        <w:t>30</w:t>
      </w:r>
      <w:r>
        <w:rPr>
          <w:rFonts w:hint="eastAsia" w:ascii="Times New Roman" w:hAnsi="Times New Roman"/>
          <w:color w:val="000000"/>
          <w:kern w:val="0"/>
          <w:sz w:val="24"/>
          <w:szCs w:val="24"/>
        </w:rPr>
        <w:t>日</w:t>
      </w:r>
      <w:r>
        <w:rPr>
          <w:rFonts w:ascii="Times New Roman" w:hAnsi="Times New Roman"/>
          <w:color w:val="000000"/>
          <w:kern w:val="0"/>
          <w:sz w:val="24"/>
          <w:szCs w:val="24"/>
        </w:rPr>
        <w:t>)</w:t>
      </w:r>
      <w:r>
        <w:rPr>
          <w:rFonts w:hint="eastAsia" w:ascii="Times New Roman" w:hAnsi="Times New Roman"/>
          <w:color w:val="000000"/>
          <w:kern w:val="0"/>
          <w:sz w:val="24"/>
          <w:szCs w:val="24"/>
        </w:rPr>
        <w:t>至本报告期末未发生利润分配。</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center"/>
        <w:outlineLvl w:val="0"/>
        <w:rPr>
          <w:rFonts w:ascii="Times New Roman" w:hAnsi="Times New Roman"/>
          <w:b/>
          <w:color w:val="000000"/>
          <w:kern w:val="0"/>
          <w:sz w:val="24"/>
          <w:szCs w:val="24"/>
        </w:rPr>
      </w:pPr>
      <w:bookmarkStart w:id="12" w:name="_Toc477955720"/>
      <w:r>
        <w:rPr>
          <w:rFonts w:hint="eastAsia" w:ascii="Times New Roman" w:hAnsi="Times New Roman"/>
          <w:b/>
          <w:color w:val="000000"/>
          <w:kern w:val="0"/>
          <w:sz w:val="24"/>
          <w:szCs w:val="24"/>
        </w:rPr>
        <w:t>§</w:t>
      </w:r>
      <w:r>
        <w:rPr>
          <w:rFonts w:ascii="Times New Roman" w:hAnsi="Times New Roman"/>
          <w:b/>
          <w:color w:val="000000"/>
          <w:kern w:val="0"/>
          <w:sz w:val="24"/>
          <w:szCs w:val="24"/>
        </w:rPr>
        <w:t xml:space="preserve">4  </w:t>
      </w:r>
      <w:r>
        <w:rPr>
          <w:rFonts w:hint="eastAsia" w:ascii="Times New Roman" w:hAnsi="Times New Roman"/>
          <w:b/>
          <w:color w:val="000000"/>
          <w:kern w:val="0"/>
          <w:sz w:val="24"/>
          <w:szCs w:val="24"/>
        </w:rPr>
        <w:t>管理人报告</w:t>
      </w:r>
      <w:bookmarkEnd w:id="12"/>
    </w:p>
    <w:p>
      <w:pPr>
        <w:autoSpaceDE w:val="0"/>
        <w:autoSpaceDN w:val="0"/>
        <w:adjustRightInd w:val="0"/>
        <w:spacing w:line="288" w:lineRule="auto"/>
        <w:jc w:val="left"/>
        <w:rPr>
          <w:rFonts w:ascii="Times New Roman" w:hAnsi="Times New Roman"/>
          <w:color w:val="000000"/>
          <w:kern w:val="0"/>
          <w:sz w:val="24"/>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13" w:name="_Toc477955721"/>
      <w:r>
        <w:rPr>
          <w:rFonts w:ascii="Times New Roman" w:hAnsi="Times New Roman"/>
          <w:b/>
          <w:color w:val="000000"/>
          <w:kern w:val="0"/>
          <w:sz w:val="24"/>
          <w:szCs w:val="24"/>
        </w:rPr>
        <w:t xml:space="preserve">4.1 </w:t>
      </w:r>
      <w:r>
        <w:rPr>
          <w:rFonts w:hint="eastAsia" w:ascii="Times New Roman" w:hAnsi="Times New Roman"/>
          <w:b/>
          <w:color w:val="000000"/>
          <w:kern w:val="0"/>
          <w:sz w:val="24"/>
          <w:szCs w:val="24"/>
        </w:rPr>
        <w:t>基金管理人及基金经理情况</w:t>
      </w:r>
      <w:bookmarkEnd w:id="13"/>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4.1.1 </w:t>
      </w:r>
      <w:r>
        <w:rPr>
          <w:rFonts w:hint="eastAsia" w:ascii="Times New Roman" w:hAnsi="Times New Roman"/>
          <w:b/>
          <w:color w:val="000000"/>
          <w:kern w:val="0"/>
          <w:sz w:val="24"/>
          <w:szCs w:val="24"/>
        </w:rPr>
        <w:t>基金管理人及其管理基金的经验</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创金合信基金管理有限公司于</w:t>
      </w:r>
      <w:r>
        <w:rPr>
          <w:rFonts w:ascii="Times New Roman" w:hAnsi="Times New Roman"/>
          <w:color w:val="000000"/>
          <w:kern w:val="0"/>
          <w:sz w:val="24"/>
          <w:szCs w:val="24"/>
        </w:rPr>
        <w:t>2014</w:t>
      </w:r>
      <w:r>
        <w:rPr>
          <w:rFonts w:hint="eastAsia" w:ascii="Times New Roman" w:hAnsi="Times New Roman"/>
          <w:color w:val="000000"/>
          <w:kern w:val="0"/>
          <w:sz w:val="24"/>
          <w:szCs w:val="24"/>
        </w:rPr>
        <w:t>年</w:t>
      </w:r>
      <w:r>
        <w:rPr>
          <w:rFonts w:ascii="Times New Roman" w:hAnsi="Times New Roman"/>
          <w:color w:val="000000"/>
          <w:kern w:val="0"/>
          <w:sz w:val="24"/>
          <w:szCs w:val="24"/>
        </w:rPr>
        <w:t>7</w:t>
      </w:r>
      <w:r>
        <w:rPr>
          <w:rFonts w:hint="eastAsia" w:ascii="Times New Roman" w:hAnsi="Times New Roman"/>
          <w:color w:val="000000"/>
          <w:kern w:val="0"/>
          <w:sz w:val="24"/>
          <w:szCs w:val="24"/>
        </w:rPr>
        <w:t>月</w:t>
      </w:r>
      <w:r>
        <w:rPr>
          <w:rFonts w:ascii="Times New Roman" w:hAnsi="Times New Roman"/>
          <w:color w:val="000000"/>
          <w:kern w:val="0"/>
          <w:sz w:val="24"/>
          <w:szCs w:val="24"/>
        </w:rPr>
        <w:t>3</w:t>
      </w:r>
      <w:r>
        <w:rPr>
          <w:rFonts w:hint="eastAsia" w:ascii="Times New Roman" w:hAnsi="Times New Roman"/>
          <w:color w:val="000000"/>
          <w:kern w:val="0"/>
          <w:sz w:val="24"/>
          <w:szCs w:val="24"/>
        </w:rPr>
        <w:t>日获得中国证监会批复，</w:t>
      </w:r>
      <w:r>
        <w:rPr>
          <w:rFonts w:ascii="Times New Roman" w:hAnsi="Times New Roman"/>
          <w:color w:val="000000"/>
          <w:kern w:val="0"/>
          <w:sz w:val="24"/>
          <w:szCs w:val="24"/>
        </w:rPr>
        <w:t>2014</w:t>
      </w:r>
      <w:r>
        <w:rPr>
          <w:rFonts w:hint="eastAsia" w:ascii="Times New Roman" w:hAnsi="Times New Roman"/>
          <w:color w:val="000000"/>
          <w:kern w:val="0"/>
          <w:sz w:val="24"/>
          <w:szCs w:val="24"/>
        </w:rPr>
        <w:t>年</w:t>
      </w:r>
      <w:r>
        <w:rPr>
          <w:rFonts w:ascii="Times New Roman" w:hAnsi="Times New Roman"/>
          <w:color w:val="000000"/>
          <w:kern w:val="0"/>
          <w:sz w:val="24"/>
          <w:szCs w:val="24"/>
        </w:rPr>
        <w:t>7</w:t>
      </w:r>
      <w:r>
        <w:rPr>
          <w:rFonts w:hint="eastAsia" w:ascii="Times New Roman" w:hAnsi="Times New Roman"/>
          <w:color w:val="000000"/>
          <w:kern w:val="0"/>
          <w:sz w:val="24"/>
          <w:szCs w:val="24"/>
        </w:rPr>
        <w:t>月</w:t>
      </w:r>
      <w:r>
        <w:rPr>
          <w:rFonts w:ascii="Times New Roman" w:hAnsi="Times New Roman"/>
          <w:color w:val="000000"/>
          <w:kern w:val="0"/>
          <w:sz w:val="24"/>
          <w:szCs w:val="24"/>
        </w:rPr>
        <w:t>9</w:t>
      </w:r>
      <w:r>
        <w:rPr>
          <w:rFonts w:hint="eastAsia" w:ascii="Times New Roman" w:hAnsi="Times New Roman"/>
          <w:color w:val="000000"/>
          <w:kern w:val="0"/>
          <w:sz w:val="24"/>
          <w:szCs w:val="24"/>
        </w:rPr>
        <w:t>日正式注册设立，注册地为深圳市。公司由第一创业证券股份有限公司、深圳市金合信投资合伙企业（有限合伙）共同出资设立。公司注册资本</w:t>
      </w:r>
      <w:r>
        <w:rPr>
          <w:rFonts w:ascii="Times New Roman" w:hAnsi="Times New Roman"/>
          <w:color w:val="000000"/>
          <w:kern w:val="0"/>
          <w:sz w:val="24"/>
          <w:szCs w:val="24"/>
        </w:rPr>
        <w:t>1.7</w:t>
      </w:r>
      <w:r>
        <w:rPr>
          <w:rFonts w:hint="eastAsia" w:ascii="Times New Roman" w:hAnsi="Times New Roman"/>
          <w:color w:val="000000"/>
          <w:kern w:val="0"/>
          <w:sz w:val="24"/>
          <w:szCs w:val="24"/>
        </w:rPr>
        <w:t>亿元人民币，股东出资情况为：第一创业证券股份有限公司出资</w:t>
      </w:r>
      <w:r>
        <w:rPr>
          <w:rFonts w:ascii="Times New Roman" w:hAnsi="Times New Roman"/>
          <w:color w:val="000000"/>
          <w:kern w:val="0"/>
          <w:sz w:val="24"/>
          <w:szCs w:val="24"/>
        </w:rPr>
        <w:t>11,900</w:t>
      </w:r>
      <w:r>
        <w:rPr>
          <w:rFonts w:hint="eastAsia" w:ascii="Times New Roman" w:hAnsi="Times New Roman"/>
          <w:color w:val="000000"/>
          <w:kern w:val="0"/>
          <w:sz w:val="24"/>
          <w:szCs w:val="24"/>
        </w:rPr>
        <w:t>万元，占公司注册资本的</w:t>
      </w:r>
      <w:r>
        <w:rPr>
          <w:rFonts w:ascii="Times New Roman" w:hAnsi="Times New Roman"/>
          <w:color w:val="000000"/>
          <w:kern w:val="0"/>
          <w:sz w:val="24"/>
          <w:szCs w:val="24"/>
        </w:rPr>
        <w:t>70%</w:t>
      </w:r>
      <w:r>
        <w:rPr>
          <w:rFonts w:hint="eastAsia" w:ascii="Times New Roman" w:hAnsi="Times New Roman"/>
          <w:color w:val="000000"/>
          <w:kern w:val="0"/>
          <w:sz w:val="24"/>
          <w:szCs w:val="24"/>
        </w:rPr>
        <w:t>；深圳市金合信投资合伙企业（有限合伙）出资</w:t>
      </w:r>
      <w:r>
        <w:rPr>
          <w:rFonts w:ascii="Times New Roman" w:hAnsi="Times New Roman"/>
          <w:color w:val="000000"/>
          <w:kern w:val="0"/>
          <w:sz w:val="24"/>
          <w:szCs w:val="24"/>
        </w:rPr>
        <w:t>5,100</w:t>
      </w:r>
      <w:r>
        <w:rPr>
          <w:rFonts w:hint="eastAsia" w:ascii="Times New Roman" w:hAnsi="Times New Roman"/>
          <w:color w:val="000000"/>
          <w:kern w:val="0"/>
          <w:sz w:val="24"/>
          <w:szCs w:val="24"/>
        </w:rPr>
        <w:t>万元，占公司注册资本的</w:t>
      </w:r>
      <w:r>
        <w:rPr>
          <w:rFonts w:ascii="Times New Roman" w:hAnsi="Times New Roman"/>
          <w:color w:val="000000"/>
          <w:kern w:val="0"/>
          <w:sz w:val="24"/>
          <w:szCs w:val="24"/>
        </w:rPr>
        <w:t>30%</w:t>
      </w:r>
      <w:r>
        <w:rPr>
          <w:rFonts w:hint="eastAsia" w:ascii="Times New Roman" w:hAnsi="Times New Roman"/>
          <w:color w:val="000000"/>
          <w:kern w:val="0"/>
          <w:sz w:val="24"/>
          <w:szCs w:val="24"/>
        </w:rPr>
        <w:t>。</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公司始终坚持</w:t>
      </w:r>
      <w:r>
        <w:rPr>
          <w:rFonts w:ascii="Times New Roman" w:hAnsi="Times New Roman"/>
          <w:color w:val="000000"/>
          <w:kern w:val="0"/>
          <w:sz w:val="24"/>
          <w:szCs w:val="24"/>
        </w:rPr>
        <w:t>"</w:t>
      </w:r>
      <w:r>
        <w:rPr>
          <w:rFonts w:hint="eastAsia" w:ascii="Times New Roman" w:hAnsi="Times New Roman"/>
          <w:color w:val="000000"/>
          <w:kern w:val="0"/>
          <w:sz w:val="24"/>
          <w:szCs w:val="24"/>
        </w:rPr>
        <w:t>客户利益至上</w:t>
      </w:r>
      <w:r>
        <w:rPr>
          <w:rFonts w:ascii="Times New Roman" w:hAnsi="Times New Roman"/>
          <w:color w:val="000000"/>
          <w:kern w:val="0"/>
          <w:sz w:val="24"/>
          <w:szCs w:val="24"/>
        </w:rPr>
        <w:t>"</w:t>
      </w:r>
      <w:r>
        <w:rPr>
          <w:rFonts w:hint="eastAsia" w:ascii="Times New Roman" w:hAnsi="Times New Roman"/>
          <w:color w:val="000000"/>
          <w:kern w:val="0"/>
          <w:sz w:val="24"/>
          <w:szCs w:val="24"/>
        </w:rPr>
        <w:t>，致力于为客户实现长期稳定的投资回报，做客户投资理财的亲密伙伴。</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报告期内，本公司共发行</w:t>
      </w:r>
      <w:r>
        <w:rPr>
          <w:rFonts w:ascii="Times New Roman" w:hAnsi="Times New Roman"/>
          <w:color w:val="000000"/>
          <w:kern w:val="0"/>
          <w:sz w:val="24"/>
          <w:szCs w:val="24"/>
        </w:rPr>
        <w:t>17</w:t>
      </w:r>
      <w:r>
        <w:rPr>
          <w:rFonts w:hint="eastAsia" w:ascii="Times New Roman" w:hAnsi="Times New Roman"/>
          <w:color w:val="000000"/>
          <w:kern w:val="0"/>
          <w:sz w:val="24"/>
          <w:szCs w:val="24"/>
        </w:rPr>
        <w:t>只公募基金。截至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日，本公司共管理</w:t>
      </w:r>
      <w:r>
        <w:rPr>
          <w:rFonts w:ascii="Times New Roman" w:hAnsi="Times New Roman"/>
          <w:color w:val="000000"/>
          <w:kern w:val="0"/>
          <w:sz w:val="24"/>
          <w:szCs w:val="24"/>
        </w:rPr>
        <w:t>24</w:t>
      </w:r>
      <w:r>
        <w:rPr>
          <w:rFonts w:hint="eastAsia" w:ascii="Times New Roman" w:hAnsi="Times New Roman"/>
          <w:color w:val="000000"/>
          <w:kern w:val="0"/>
          <w:sz w:val="24"/>
          <w:szCs w:val="24"/>
        </w:rPr>
        <w:t>只公募基金，其中混合型产品</w:t>
      </w:r>
      <w:r>
        <w:rPr>
          <w:rFonts w:ascii="Times New Roman" w:hAnsi="Times New Roman"/>
          <w:color w:val="000000"/>
          <w:kern w:val="0"/>
          <w:sz w:val="24"/>
          <w:szCs w:val="24"/>
        </w:rPr>
        <w:t>9</w:t>
      </w:r>
      <w:r>
        <w:rPr>
          <w:rFonts w:hint="eastAsia" w:ascii="Times New Roman" w:hAnsi="Times New Roman"/>
          <w:color w:val="000000"/>
          <w:kern w:val="0"/>
          <w:sz w:val="24"/>
          <w:szCs w:val="24"/>
        </w:rPr>
        <w:t>只、指数型产品</w:t>
      </w:r>
      <w:r>
        <w:rPr>
          <w:rFonts w:ascii="Times New Roman" w:hAnsi="Times New Roman"/>
          <w:color w:val="000000"/>
          <w:kern w:val="0"/>
          <w:sz w:val="24"/>
          <w:szCs w:val="24"/>
        </w:rPr>
        <w:t>3</w:t>
      </w:r>
      <w:r>
        <w:rPr>
          <w:rFonts w:hint="eastAsia" w:ascii="Times New Roman" w:hAnsi="Times New Roman"/>
          <w:color w:val="000000"/>
          <w:kern w:val="0"/>
          <w:sz w:val="24"/>
          <w:szCs w:val="24"/>
        </w:rPr>
        <w:t>只、债券型产品</w:t>
      </w:r>
      <w:r>
        <w:rPr>
          <w:rFonts w:ascii="Times New Roman" w:hAnsi="Times New Roman"/>
          <w:color w:val="000000"/>
          <w:kern w:val="0"/>
          <w:sz w:val="24"/>
          <w:szCs w:val="24"/>
        </w:rPr>
        <w:t>8</w:t>
      </w:r>
      <w:r>
        <w:rPr>
          <w:rFonts w:hint="eastAsia" w:ascii="Times New Roman" w:hAnsi="Times New Roman"/>
          <w:color w:val="000000"/>
          <w:kern w:val="0"/>
          <w:sz w:val="24"/>
          <w:szCs w:val="24"/>
        </w:rPr>
        <w:t>只、股票型产品</w:t>
      </w:r>
      <w:r>
        <w:rPr>
          <w:rFonts w:ascii="Times New Roman" w:hAnsi="Times New Roman"/>
          <w:color w:val="000000"/>
          <w:kern w:val="0"/>
          <w:sz w:val="24"/>
          <w:szCs w:val="24"/>
        </w:rPr>
        <w:t>3</w:t>
      </w:r>
      <w:r>
        <w:rPr>
          <w:rFonts w:hint="eastAsia" w:ascii="Times New Roman" w:hAnsi="Times New Roman"/>
          <w:color w:val="000000"/>
          <w:kern w:val="0"/>
          <w:sz w:val="24"/>
          <w:szCs w:val="24"/>
        </w:rPr>
        <w:t>只、货币型产品</w:t>
      </w:r>
      <w:r>
        <w:rPr>
          <w:rFonts w:ascii="Times New Roman" w:hAnsi="Times New Roman"/>
          <w:color w:val="000000"/>
          <w:kern w:val="0"/>
          <w:sz w:val="24"/>
          <w:szCs w:val="24"/>
        </w:rPr>
        <w:t>1</w:t>
      </w:r>
      <w:r>
        <w:rPr>
          <w:rFonts w:hint="eastAsia" w:ascii="Times New Roman" w:hAnsi="Times New Roman"/>
          <w:color w:val="000000"/>
          <w:kern w:val="0"/>
          <w:sz w:val="24"/>
          <w:szCs w:val="24"/>
        </w:rPr>
        <w:t>只；管理的公募基金规模约</w:t>
      </w:r>
      <w:r>
        <w:rPr>
          <w:rFonts w:ascii="Times New Roman" w:hAnsi="Times New Roman"/>
          <w:color w:val="000000"/>
          <w:kern w:val="0"/>
          <w:sz w:val="24"/>
          <w:szCs w:val="24"/>
        </w:rPr>
        <w:t>142.74</w:t>
      </w:r>
      <w:r>
        <w:rPr>
          <w:rFonts w:hint="eastAsia" w:ascii="Times New Roman" w:hAnsi="Times New Roman"/>
          <w:color w:val="000000"/>
          <w:kern w:val="0"/>
          <w:sz w:val="24"/>
          <w:szCs w:val="24"/>
        </w:rPr>
        <w:t>亿元。</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4.1.2 </w:t>
      </w:r>
      <w:r>
        <w:rPr>
          <w:rFonts w:hint="eastAsia" w:ascii="Times New Roman" w:hAnsi="Times New Roman"/>
          <w:b/>
          <w:color w:val="000000"/>
          <w:kern w:val="0"/>
          <w:sz w:val="24"/>
          <w:szCs w:val="24"/>
        </w:rPr>
        <w:t>基金经理（或基金经理小组）及基金经理助理简介</w:t>
      </w:r>
    </w:p>
    <w:tbl>
      <w:tblPr>
        <w:tblStyle w:val="10"/>
        <w:tblW w:w="0" w:type="auto"/>
        <w:tblInd w:w="108" w:type="dxa"/>
        <w:tblLayout w:type="fixed"/>
        <w:tblCellMar>
          <w:top w:w="0" w:type="dxa"/>
          <w:left w:w="108" w:type="dxa"/>
          <w:bottom w:w="0" w:type="dxa"/>
          <w:right w:w="108" w:type="dxa"/>
        </w:tblCellMar>
      </w:tblPr>
      <w:tblGrid>
        <w:gridCol w:w="1023"/>
        <w:gridCol w:w="1084"/>
        <w:gridCol w:w="1445"/>
        <w:gridCol w:w="1445"/>
        <w:gridCol w:w="1083"/>
        <w:gridCol w:w="2890"/>
      </w:tblGrid>
      <w:tr>
        <w:tblPrEx>
          <w:tblCellMar>
            <w:top w:w="0" w:type="dxa"/>
            <w:left w:w="108" w:type="dxa"/>
            <w:bottom w:w="0" w:type="dxa"/>
            <w:right w:w="108" w:type="dxa"/>
          </w:tblCellMar>
        </w:tblPrEx>
        <w:trPr>
          <w:wBefore w:w="0" w:type="auto"/>
        </w:trPr>
        <w:tc>
          <w:tcPr>
            <w:tcW w:w="1023"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姓名</w:t>
            </w:r>
          </w:p>
        </w:tc>
        <w:tc>
          <w:tcPr>
            <w:tcW w:w="1084"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职务</w:t>
            </w:r>
          </w:p>
        </w:tc>
        <w:tc>
          <w:tcPr>
            <w:tcW w:w="2890"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任本基金的基金经理（助理）期限</w:t>
            </w:r>
          </w:p>
        </w:tc>
        <w:tc>
          <w:tcPr>
            <w:tcW w:w="1083"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证券从业年限</w:t>
            </w:r>
          </w:p>
        </w:tc>
        <w:tc>
          <w:tcPr>
            <w:tcW w:w="2890"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说明</w:t>
            </w:r>
          </w:p>
        </w:tc>
      </w:tr>
      <w:tr>
        <w:tblPrEx>
          <w:tblCellMar>
            <w:top w:w="0" w:type="dxa"/>
            <w:left w:w="108" w:type="dxa"/>
            <w:bottom w:w="0" w:type="dxa"/>
            <w:right w:w="108" w:type="dxa"/>
          </w:tblCellMar>
        </w:tblPrEx>
        <w:trPr>
          <w:wBefore w:w="0" w:type="auto"/>
        </w:trPr>
        <w:tc>
          <w:tcPr>
            <w:tcW w:w="1023"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084"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任职日期</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离任日期</w:t>
            </w:r>
          </w:p>
        </w:tc>
        <w:tc>
          <w:tcPr>
            <w:tcW w:w="1083"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center"/>
              <w:rPr>
                <w:rFonts w:ascii="Times New Roman" w:hAnsi="Times New Roman"/>
                <w:kern w:val="0"/>
                <w:sz w:val="20"/>
                <w:szCs w:val="24"/>
              </w:rPr>
            </w:pPr>
          </w:p>
        </w:tc>
        <w:tc>
          <w:tcPr>
            <w:tcW w:w="2890"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center"/>
              <w:rPr>
                <w:rFonts w:ascii="Times New Roman" w:hAnsi="Times New Roman"/>
                <w:kern w:val="0"/>
                <w:sz w:val="20"/>
                <w:szCs w:val="24"/>
              </w:rPr>
            </w:pPr>
          </w:p>
        </w:tc>
      </w:tr>
      <w:tr>
        <w:tblPrEx>
          <w:tblCellMar>
            <w:top w:w="0" w:type="dxa"/>
            <w:left w:w="108" w:type="dxa"/>
            <w:bottom w:w="0" w:type="dxa"/>
            <w:right w:w="108" w:type="dxa"/>
          </w:tblCellMar>
        </w:tblPrEx>
        <w:trPr>
          <w:wBefore w:w="0" w:type="auto"/>
        </w:trPr>
        <w:tc>
          <w:tcPr>
            <w:tcW w:w="10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李晗</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基金经理</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30</w:t>
            </w:r>
            <w:r>
              <w:rPr>
                <w:rFonts w:hint="eastAsia" w:ascii="Times New Roman" w:hAnsi="Times New Roman"/>
                <w:color w:val="000000"/>
                <w:kern w:val="0"/>
                <w:sz w:val="24"/>
                <w:szCs w:val="24"/>
              </w:rPr>
              <w:t>日</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李晗先生，中国国籍，中南财经政法大学硕士，金融风险管理师（</w:t>
            </w:r>
            <w:r>
              <w:rPr>
                <w:rFonts w:ascii="Times New Roman" w:hAnsi="Times New Roman"/>
                <w:color w:val="000000"/>
                <w:kern w:val="0"/>
                <w:sz w:val="24"/>
                <w:szCs w:val="24"/>
              </w:rPr>
              <w:t>FRM</w:t>
            </w:r>
            <w:r>
              <w:rPr>
                <w:rFonts w:hint="eastAsia" w:ascii="Times New Roman" w:hAnsi="Times New Roman"/>
                <w:color w:val="000000"/>
                <w:kern w:val="0"/>
                <w:sz w:val="24"/>
                <w:szCs w:val="24"/>
              </w:rPr>
              <w:t>），权益投资基金经理。</w:t>
            </w: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投资中注重基本面研究，寻找行业和企业发展的拐点，擅长挖掘估值合理的持续成长股，与优质企业共同成长中获取丰厚回报。</w:t>
            </w: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曾任职于海航集团从事并购整合业务。此后任职于鹏华基金，从事专户业务、企业年金业务的研究工作。</w:t>
            </w:r>
            <w:r>
              <w:rPr>
                <w:rFonts w:ascii="Times New Roman" w:hAnsi="Times New Roman"/>
                <w:color w:val="000000"/>
                <w:kern w:val="0"/>
                <w:sz w:val="24"/>
                <w:szCs w:val="24"/>
              </w:rPr>
              <w:t xml:space="preserve"> 2009</w:t>
            </w:r>
            <w:r>
              <w:rPr>
                <w:rFonts w:hint="eastAsia" w:ascii="Times New Roman" w:hAnsi="Times New Roman"/>
                <w:color w:val="000000"/>
                <w:kern w:val="0"/>
                <w:sz w:val="24"/>
                <w:szCs w:val="24"/>
              </w:rPr>
              <w:t>年</w:t>
            </w:r>
            <w:r>
              <w:rPr>
                <w:rFonts w:ascii="Times New Roman" w:hAnsi="Times New Roman"/>
                <w:color w:val="000000"/>
                <w:kern w:val="0"/>
                <w:sz w:val="24"/>
                <w:szCs w:val="24"/>
              </w:rPr>
              <w:t>11</w:t>
            </w:r>
            <w:r>
              <w:rPr>
                <w:rFonts w:hint="eastAsia" w:ascii="Times New Roman" w:hAnsi="Times New Roman"/>
                <w:color w:val="000000"/>
                <w:kern w:val="0"/>
                <w:sz w:val="24"/>
                <w:szCs w:val="24"/>
              </w:rPr>
              <w:t>月加盟第一创业证券资产管理部，曾担任多个集合理财产品投资主办，投资经验丰富。</w:t>
            </w:r>
            <w:r>
              <w:rPr>
                <w:rFonts w:ascii="Times New Roman" w:hAnsi="Times New Roman"/>
                <w:color w:val="000000"/>
                <w:kern w:val="0"/>
                <w:sz w:val="24"/>
                <w:szCs w:val="24"/>
              </w:rPr>
              <w:t>2014</w:t>
            </w:r>
            <w:r>
              <w:rPr>
                <w:rFonts w:hint="eastAsia" w:ascii="Times New Roman" w:hAnsi="Times New Roman"/>
                <w:color w:val="000000"/>
                <w:kern w:val="0"/>
                <w:sz w:val="24"/>
                <w:szCs w:val="24"/>
              </w:rPr>
              <w:t>年</w:t>
            </w:r>
            <w:r>
              <w:rPr>
                <w:rFonts w:ascii="Times New Roman" w:hAnsi="Times New Roman"/>
                <w:color w:val="000000"/>
                <w:kern w:val="0"/>
                <w:sz w:val="24"/>
                <w:szCs w:val="24"/>
              </w:rPr>
              <w:t>8</w:t>
            </w:r>
            <w:r>
              <w:rPr>
                <w:rFonts w:hint="eastAsia" w:ascii="Times New Roman" w:hAnsi="Times New Roman"/>
                <w:color w:val="000000"/>
                <w:kern w:val="0"/>
                <w:sz w:val="24"/>
                <w:szCs w:val="24"/>
              </w:rPr>
              <w:t>月加入创金合信基金管理有限公司，现任基金经理。</w:t>
            </w:r>
          </w:p>
        </w:tc>
      </w:tr>
      <w:tr>
        <w:tblPrEx>
          <w:tblCellMar>
            <w:top w:w="0" w:type="dxa"/>
            <w:left w:w="108" w:type="dxa"/>
            <w:bottom w:w="0" w:type="dxa"/>
            <w:right w:w="108" w:type="dxa"/>
          </w:tblCellMar>
        </w:tblPrEx>
        <w:trPr>
          <w:wBefore w:w="0" w:type="auto"/>
        </w:trPr>
        <w:tc>
          <w:tcPr>
            <w:tcW w:w="10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张荣</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基金经理</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09</w:t>
            </w:r>
            <w:r>
              <w:rPr>
                <w:rFonts w:hint="eastAsia" w:ascii="Times New Roman" w:hAnsi="Times New Roman"/>
                <w:color w:val="000000"/>
                <w:kern w:val="0"/>
                <w:sz w:val="24"/>
                <w:szCs w:val="24"/>
              </w:rPr>
              <w:t>月</w:t>
            </w:r>
            <w:r>
              <w:rPr>
                <w:rFonts w:ascii="Times New Roman" w:hAnsi="Times New Roman"/>
                <w:color w:val="000000"/>
                <w:kern w:val="0"/>
                <w:sz w:val="24"/>
                <w:szCs w:val="24"/>
              </w:rPr>
              <w:t>05</w:t>
            </w:r>
            <w:r>
              <w:rPr>
                <w:rFonts w:hint="eastAsia" w:ascii="Times New Roman" w:hAnsi="Times New Roman"/>
                <w:color w:val="000000"/>
                <w:kern w:val="0"/>
                <w:sz w:val="24"/>
                <w:szCs w:val="24"/>
              </w:rPr>
              <w:t>日</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张荣先生，中国国籍，北京大学金融学硕士，权益投资基金经理。投资中注重宏观研究，自上而下，把握行业趋势；</w:t>
            </w:r>
            <w:r>
              <w:rPr>
                <w:rFonts w:ascii="Times New Roman" w:hAnsi="Times New Roman"/>
                <w:color w:val="000000"/>
                <w:kern w:val="0"/>
                <w:sz w:val="24"/>
                <w:szCs w:val="24"/>
              </w:rPr>
              <w:t>2004</w:t>
            </w:r>
            <w:r>
              <w:rPr>
                <w:rFonts w:hint="eastAsia" w:ascii="Times New Roman" w:hAnsi="Times New Roman"/>
                <w:color w:val="000000"/>
                <w:kern w:val="0"/>
                <w:sz w:val="24"/>
                <w:szCs w:val="24"/>
              </w:rPr>
              <w:t>年就职于深圳银监局从事银行监管工作，历任多家银行监管员。</w:t>
            </w:r>
            <w:r>
              <w:rPr>
                <w:rFonts w:ascii="Times New Roman" w:hAnsi="Times New Roman"/>
                <w:color w:val="000000"/>
                <w:kern w:val="0"/>
                <w:sz w:val="24"/>
                <w:szCs w:val="24"/>
              </w:rPr>
              <w:t>2010</w:t>
            </w:r>
            <w:r>
              <w:rPr>
                <w:rFonts w:hint="eastAsia" w:ascii="Times New Roman" w:hAnsi="Times New Roman"/>
                <w:color w:val="000000"/>
                <w:kern w:val="0"/>
                <w:sz w:val="24"/>
                <w:szCs w:val="24"/>
              </w:rPr>
              <w:t>年加入第一创业证券资产管理部，历任金融行业研究主管、投资主办等职务。</w:t>
            </w:r>
            <w:r>
              <w:rPr>
                <w:rFonts w:ascii="Times New Roman" w:hAnsi="Times New Roman"/>
                <w:color w:val="000000"/>
                <w:kern w:val="0"/>
                <w:sz w:val="24"/>
                <w:szCs w:val="24"/>
              </w:rPr>
              <w:t>2014</w:t>
            </w:r>
            <w:r>
              <w:rPr>
                <w:rFonts w:hint="eastAsia" w:ascii="Times New Roman" w:hAnsi="Times New Roman"/>
                <w:color w:val="000000"/>
                <w:kern w:val="0"/>
                <w:sz w:val="24"/>
                <w:szCs w:val="24"/>
              </w:rPr>
              <w:t>年</w:t>
            </w:r>
            <w:r>
              <w:rPr>
                <w:rFonts w:ascii="Times New Roman" w:hAnsi="Times New Roman"/>
                <w:color w:val="000000"/>
                <w:kern w:val="0"/>
                <w:sz w:val="24"/>
                <w:szCs w:val="24"/>
              </w:rPr>
              <w:t>8</w:t>
            </w:r>
            <w:r>
              <w:rPr>
                <w:rFonts w:hint="eastAsia" w:ascii="Times New Roman" w:hAnsi="Times New Roman"/>
                <w:color w:val="000000"/>
                <w:kern w:val="0"/>
                <w:sz w:val="24"/>
                <w:szCs w:val="24"/>
              </w:rPr>
              <w:t>月加入创金合信基金管理有限公司担任高级研究员</w:t>
            </w:r>
            <w:r>
              <w:rPr>
                <w:rFonts w:ascii="Times New Roman" w:hAnsi="Times New Roman"/>
                <w:color w:val="000000"/>
                <w:kern w:val="0"/>
                <w:sz w:val="24"/>
                <w:szCs w:val="24"/>
              </w:rPr>
              <w:t>,</w:t>
            </w:r>
            <w:r>
              <w:rPr>
                <w:rFonts w:hint="eastAsia" w:ascii="Times New Roman" w:hAnsi="Times New Roman"/>
                <w:color w:val="000000"/>
                <w:kern w:val="0"/>
                <w:sz w:val="24"/>
                <w:szCs w:val="24"/>
              </w:rPr>
              <w:t>现任基金经理。</w:t>
            </w:r>
          </w:p>
        </w:tc>
      </w:tr>
      <w:tr>
        <w:tblPrEx>
          <w:tblCellMar>
            <w:top w:w="0" w:type="dxa"/>
            <w:left w:w="108" w:type="dxa"/>
            <w:bottom w:w="0" w:type="dxa"/>
            <w:right w:w="108" w:type="dxa"/>
          </w:tblCellMar>
        </w:tblPrEx>
        <w:trPr>
          <w:wBefore w:w="0" w:type="auto"/>
        </w:trPr>
        <w:tc>
          <w:tcPr>
            <w:tcW w:w="10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闫一帆</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基金经理</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09</w:t>
            </w:r>
            <w:r>
              <w:rPr>
                <w:rFonts w:hint="eastAsia" w:ascii="Times New Roman" w:hAnsi="Times New Roman"/>
                <w:color w:val="000000"/>
                <w:kern w:val="0"/>
                <w:sz w:val="24"/>
                <w:szCs w:val="24"/>
              </w:rPr>
              <w:t>月</w:t>
            </w:r>
            <w:r>
              <w:rPr>
                <w:rFonts w:ascii="Times New Roman" w:hAnsi="Times New Roman"/>
                <w:color w:val="000000"/>
                <w:kern w:val="0"/>
                <w:sz w:val="24"/>
                <w:szCs w:val="24"/>
              </w:rPr>
              <w:t>20</w:t>
            </w:r>
            <w:r>
              <w:rPr>
                <w:rFonts w:hint="eastAsia" w:ascii="Times New Roman" w:hAnsi="Times New Roman"/>
                <w:color w:val="000000"/>
                <w:kern w:val="0"/>
                <w:sz w:val="24"/>
                <w:szCs w:val="24"/>
              </w:rPr>
              <w:t>日</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闫一帆先生，中国国籍，新加坡南洋理工大学金融学硕士。</w:t>
            </w:r>
            <w:r>
              <w:rPr>
                <w:rFonts w:ascii="Times New Roman" w:hAnsi="Times New Roman"/>
                <w:color w:val="000000"/>
                <w:kern w:val="0"/>
                <w:sz w:val="24"/>
                <w:szCs w:val="24"/>
              </w:rPr>
              <w:t>2008</w:t>
            </w:r>
            <w:r>
              <w:rPr>
                <w:rFonts w:hint="eastAsia" w:ascii="Times New Roman" w:hAnsi="Times New Roman"/>
                <w:color w:val="000000"/>
                <w:kern w:val="0"/>
                <w:sz w:val="24"/>
                <w:szCs w:val="24"/>
              </w:rPr>
              <w:t>年</w:t>
            </w:r>
            <w:r>
              <w:rPr>
                <w:rFonts w:ascii="Times New Roman" w:hAnsi="Times New Roman"/>
                <w:color w:val="000000"/>
                <w:kern w:val="0"/>
                <w:sz w:val="24"/>
                <w:szCs w:val="24"/>
              </w:rPr>
              <w:t>7</w:t>
            </w:r>
            <w:r>
              <w:rPr>
                <w:rFonts w:hint="eastAsia" w:ascii="Times New Roman" w:hAnsi="Times New Roman"/>
                <w:color w:val="000000"/>
                <w:kern w:val="0"/>
                <w:sz w:val="24"/>
                <w:szCs w:val="24"/>
              </w:rPr>
              <w:t>月就职于国泰君安证券股份有限公司。</w:t>
            </w:r>
            <w:r>
              <w:rPr>
                <w:rFonts w:ascii="Times New Roman" w:hAnsi="Times New Roman"/>
                <w:color w:val="000000"/>
                <w:kern w:val="0"/>
                <w:sz w:val="24"/>
                <w:szCs w:val="24"/>
              </w:rPr>
              <w:t>2011</w:t>
            </w:r>
            <w:r>
              <w:rPr>
                <w:rFonts w:hint="eastAsia" w:ascii="Times New Roman" w:hAnsi="Times New Roman"/>
                <w:color w:val="000000"/>
                <w:kern w:val="0"/>
                <w:sz w:val="24"/>
                <w:szCs w:val="24"/>
              </w:rPr>
              <w:t>年</w:t>
            </w:r>
            <w:r>
              <w:rPr>
                <w:rFonts w:ascii="Times New Roman" w:hAnsi="Times New Roman"/>
                <w:color w:val="000000"/>
                <w:kern w:val="0"/>
                <w:sz w:val="24"/>
                <w:szCs w:val="24"/>
              </w:rPr>
              <w:t>5</w:t>
            </w:r>
            <w:r>
              <w:rPr>
                <w:rFonts w:hint="eastAsia" w:ascii="Times New Roman" w:hAnsi="Times New Roman"/>
                <w:color w:val="000000"/>
                <w:kern w:val="0"/>
                <w:sz w:val="24"/>
                <w:szCs w:val="24"/>
              </w:rPr>
              <w:t>月加入永安财产保险股份有限公司投资管理中心任固定收益研究员，</w:t>
            </w:r>
            <w:r>
              <w:rPr>
                <w:rFonts w:ascii="Times New Roman" w:hAnsi="Times New Roman"/>
                <w:color w:val="000000"/>
                <w:kern w:val="0"/>
                <w:sz w:val="24"/>
                <w:szCs w:val="24"/>
              </w:rPr>
              <w:t>2012</w:t>
            </w:r>
            <w:r>
              <w:rPr>
                <w:rFonts w:hint="eastAsia" w:ascii="Times New Roman" w:hAnsi="Times New Roman"/>
                <w:color w:val="000000"/>
                <w:kern w:val="0"/>
                <w:sz w:val="24"/>
                <w:szCs w:val="24"/>
              </w:rPr>
              <w:t>年</w:t>
            </w:r>
            <w:r>
              <w:rPr>
                <w:rFonts w:ascii="Times New Roman" w:hAnsi="Times New Roman"/>
                <w:color w:val="000000"/>
                <w:kern w:val="0"/>
                <w:sz w:val="24"/>
                <w:szCs w:val="24"/>
              </w:rPr>
              <w:t>10</w:t>
            </w:r>
            <w:r>
              <w:rPr>
                <w:rFonts w:hint="eastAsia" w:ascii="Times New Roman" w:hAnsi="Times New Roman"/>
                <w:color w:val="000000"/>
                <w:kern w:val="0"/>
                <w:sz w:val="24"/>
                <w:szCs w:val="24"/>
              </w:rPr>
              <w:t>月加入第一创业证券股份有限公司资产管理部任固定收益研究员，负责债券类组合的债券信用研究、组合投资管理等工作。</w:t>
            </w:r>
            <w:r>
              <w:rPr>
                <w:rFonts w:ascii="Times New Roman" w:hAnsi="Times New Roman"/>
                <w:color w:val="000000"/>
                <w:kern w:val="0"/>
                <w:sz w:val="24"/>
                <w:szCs w:val="24"/>
              </w:rPr>
              <w:t>2014</w:t>
            </w:r>
            <w:r>
              <w:rPr>
                <w:rFonts w:hint="eastAsia" w:ascii="Times New Roman" w:hAnsi="Times New Roman"/>
                <w:color w:val="000000"/>
                <w:kern w:val="0"/>
                <w:sz w:val="24"/>
                <w:szCs w:val="24"/>
              </w:rPr>
              <w:t>年</w:t>
            </w:r>
            <w:r>
              <w:rPr>
                <w:rFonts w:ascii="Times New Roman" w:hAnsi="Times New Roman"/>
                <w:color w:val="000000"/>
                <w:kern w:val="0"/>
                <w:sz w:val="24"/>
                <w:szCs w:val="24"/>
              </w:rPr>
              <w:t>8</w:t>
            </w:r>
            <w:r>
              <w:rPr>
                <w:rFonts w:hint="eastAsia" w:ascii="Times New Roman" w:hAnsi="Times New Roman"/>
                <w:color w:val="000000"/>
                <w:kern w:val="0"/>
                <w:sz w:val="24"/>
                <w:szCs w:val="24"/>
              </w:rPr>
              <w:t>月加入创金合信基金管理有限公司，历任信用研究主管、投资经理，负责固定收益研究、债券组合管理等工作，现任基金经理。</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w:t>
      </w:r>
      <w:r>
        <w:rPr>
          <w:rFonts w:ascii="Times New Roman" w:hAnsi="Times New Roman"/>
          <w:color w:val="000000"/>
          <w:kern w:val="0"/>
          <w:szCs w:val="24"/>
        </w:rPr>
        <w:t>1</w:t>
      </w:r>
      <w:r>
        <w:rPr>
          <w:rFonts w:hint="eastAsia" w:ascii="Times New Roman" w:hAnsi="Times New Roman"/>
          <w:color w:val="000000"/>
          <w:kern w:val="0"/>
          <w:szCs w:val="24"/>
        </w:rPr>
        <w:t>、本基金首任基金经理的任职日期为本基金合同生效日，离任日期、后任基金经理的任职日期指公司作出决定的公告（生效）日期；</w:t>
      </w:r>
    </w:p>
    <w:p>
      <w:pPr>
        <w:autoSpaceDE w:val="0"/>
        <w:autoSpaceDN w:val="0"/>
        <w:adjustRightInd w:val="0"/>
        <w:spacing w:before="29" w:line="288" w:lineRule="auto"/>
        <w:ind w:left="15"/>
        <w:jc w:val="left"/>
        <w:rPr>
          <w:rFonts w:ascii="Times New Roman" w:hAnsi="Times New Roman"/>
          <w:color w:val="000000"/>
          <w:kern w:val="0"/>
          <w:szCs w:val="24"/>
        </w:rPr>
      </w:pPr>
      <w:r>
        <w:rPr>
          <w:rFonts w:ascii="Times New Roman" w:hAnsi="Times New Roman"/>
          <w:color w:val="000000"/>
          <w:kern w:val="0"/>
          <w:szCs w:val="24"/>
        </w:rPr>
        <w:t>2</w:t>
      </w:r>
      <w:r>
        <w:rPr>
          <w:rFonts w:hint="eastAsia" w:ascii="Times New Roman" w:hAnsi="Times New Roman"/>
          <w:color w:val="000000"/>
          <w:kern w:val="0"/>
          <w:szCs w:val="24"/>
        </w:rPr>
        <w:t>、证券从业年限计算的起止时间按照从事证券行业开始时间计算。</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14" w:name="_Toc477955722"/>
      <w:r>
        <w:rPr>
          <w:rFonts w:ascii="Times New Roman" w:hAnsi="Times New Roman"/>
          <w:b/>
          <w:color w:val="000000"/>
          <w:kern w:val="0"/>
          <w:sz w:val="24"/>
          <w:szCs w:val="24"/>
        </w:rPr>
        <w:t xml:space="preserve">4.2 </w:t>
      </w:r>
      <w:r>
        <w:rPr>
          <w:rFonts w:hint="eastAsia" w:ascii="Times New Roman" w:hAnsi="Times New Roman"/>
          <w:b/>
          <w:color w:val="000000"/>
          <w:kern w:val="0"/>
          <w:sz w:val="24"/>
          <w:szCs w:val="24"/>
        </w:rPr>
        <w:t>管理人对报告期内本基金运作遵规守信情况的说明</w:t>
      </w:r>
      <w:bookmarkEnd w:id="14"/>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报告期内，本基金管理人严格遵守《中华人民共和国证券投资基金法》、《公开募集证券投资基金运作管理办法》、《证券投资基金销售管理办法》和《证券投资基金信息披露管理办法》等有关法律法规及各项实施准则、《创金合信鑫动力灵活配置混合型证券投资基金基金合同》和其他有关法律法规的规定，本着诚实信用、勤勉尽责的原则管理和运用基金资产，在严格控制风险的基础上，为基金持有人谋求最大利益。本报告期内，基金运作整体合法合规，未发现损害基金持有人利益的行为。基金的投资范围、投资比例及投资组合符合有关法律法规及基金合同的规定。</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15" w:name="_Toc477955723"/>
      <w:r>
        <w:rPr>
          <w:rFonts w:ascii="Times New Roman" w:hAnsi="Times New Roman"/>
          <w:b/>
          <w:color w:val="000000"/>
          <w:kern w:val="0"/>
          <w:sz w:val="24"/>
          <w:szCs w:val="24"/>
        </w:rPr>
        <w:t xml:space="preserve">4.3 </w:t>
      </w:r>
      <w:r>
        <w:rPr>
          <w:rFonts w:hint="eastAsia" w:ascii="Times New Roman" w:hAnsi="Times New Roman"/>
          <w:b/>
          <w:color w:val="000000"/>
          <w:kern w:val="0"/>
          <w:sz w:val="24"/>
          <w:szCs w:val="24"/>
        </w:rPr>
        <w:t>管理人对报告期内公平交易情况的专项说明</w:t>
      </w:r>
      <w:bookmarkEnd w:id="15"/>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4.3.1 </w:t>
      </w:r>
      <w:r>
        <w:rPr>
          <w:rFonts w:hint="eastAsia" w:ascii="Times New Roman" w:hAnsi="Times New Roman"/>
          <w:b/>
          <w:color w:val="000000"/>
          <w:kern w:val="0"/>
          <w:sz w:val="24"/>
          <w:szCs w:val="24"/>
        </w:rPr>
        <w:t>公平交易制度和控制方法</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为了进一步规范和完善本基金管理人（以下简称</w:t>
      </w:r>
      <w:r>
        <w:rPr>
          <w:rFonts w:ascii="Times New Roman" w:hAnsi="Times New Roman"/>
          <w:color w:val="000000"/>
          <w:kern w:val="0"/>
          <w:sz w:val="24"/>
          <w:szCs w:val="24"/>
        </w:rPr>
        <w:t>"</w:t>
      </w:r>
      <w:r>
        <w:rPr>
          <w:rFonts w:hint="eastAsia" w:ascii="Times New Roman" w:hAnsi="Times New Roman"/>
          <w:color w:val="000000"/>
          <w:kern w:val="0"/>
          <w:sz w:val="24"/>
          <w:szCs w:val="24"/>
        </w:rPr>
        <w:t>本公司</w:t>
      </w:r>
      <w:r>
        <w:rPr>
          <w:rFonts w:ascii="Times New Roman" w:hAnsi="Times New Roman"/>
          <w:color w:val="000000"/>
          <w:kern w:val="0"/>
          <w:sz w:val="24"/>
          <w:szCs w:val="24"/>
        </w:rPr>
        <w:t>"</w:t>
      </w:r>
      <w:r>
        <w:rPr>
          <w:rFonts w:hint="eastAsia" w:ascii="Times New Roman" w:hAnsi="Times New Roman"/>
          <w:color w:val="000000"/>
          <w:kern w:val="0"/>
          <w:sz w:val="24"/>
          <w:szCs w:val="24"/>
        </w:rPr>
        <w:t>）投资和交易管理，严格遵守法律法规关于公平交易的相关规定，根据《中华人民共和国证券投资基金法》、《证券投资基金管理公司管理办法》、《证券投资基金管理公司公平交易制度指导意见（</w:t>
      </w:r>
      <w:r>
        <w:rPr>
          <w:rFonts w:ascii="Times New Roman" w:hAnsi="Times New Roman"/>
          <w:color w:val="000000"/>
          <w:kern w:val="0"/>
          <w:sz w:val="24"/>
          <w:szCs w:val="24"/>
        </w:rPr>
        <w:t>2011</w:t>
      </w:r>
      <w:r>
        <w:rPr>
          <w:rFonts w:hint="eastAsia" w:ascii="Times New Roman" w:hAnsi="Times New Roman"/>
          <w:color w:val="000000"/>
          <w:kern w:val="0"/>
          <w:sz w:val="24"/>
          <w:szCs w:val="24"/>
        </w:rPr>
        <w:t>年修订）》等法律法规，本公司制定了《创金合信基金管理有限公司公平交易制度》，该《制度》涵盖了境内上市股票、债券的一级市场申购、二级市场交易等投资管理活动，同时对授权、研究分析与投资决策、交易执行的内部控制、交易指令的分配执行、公平交易监控、报告措施及信息披露、利益冲突的防范和异常交易的监控等方面进行了全面规范。具体控制措施如下：</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ascii="Times New Roman" w:hAnsi="Times New Roman"/>
          <w:color w:val="000000"/>
          <w:kern w:val="0"/>
          <w:sz w:val="24"/>
          <w:szCs w:val="24"/>
        </w:rPr>
        <w:t>1</w:t>
      </w:r>
      <w:r>
        <w:rPr>
          <w:rFonts w:hint="eastAsia" w:ascii="Times New Roman" w:hAnsi="Times New Roman"/>
          <w:color w:val="000000"/>
          <w:kern w:val="0"/>
          <w:sz w:val="24"/>
          <w:szCs w:val="24"/>
        </w:rPr>
        <w:t>、授权、研究分析与投资决策的内部控制</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建立投资授权制度，明确各投资决策主体的职责和权限划分；建立客观的研究方法，任何投资分析和建议均应有充分的事实和数据支持，避免主观臆断，严禁利用内幕信息作为投资依据；确保所有投资组合平等地享有研究成果；根据不同投资组合的投资目标、投资风格、投资范围和投资限制等，建立不同投资组合的投资风格库和交易对手备选库，投资组合经理在此基础上根据投资授权构建具体的投资组合并独立进行投资决策。</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ascii="Times New Roman" w:hAnsi="Times New Roman"/>
          <w:color w:val="000000"/>
          <w:kern w:val="0"/>
          <w:sz w:val="24"/>
          <w:szCs w:val="24"/>
        </w:rPr>
        <w:t>2</w:t>
      </w:r>
      <w:r>
        <w:rPr>
          <w:rFonts w:hint="eastAsia" w:ascii="Times New Roman" w:hAnsi="Times New Roman"/>
          <w:color w:val="000000"/>
          <w:kern w:val="0"/>
          <w:sz w:val="24"/>
          <w:szCs w:val="24"/>
        </w:rPr>
        <w:t>、交易执行的内部控制</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公司实行集中交易制度，将投资管理职能和交易执行职能相隔离；建立公平的交易分配机制，确保各投资组合享有公平的交易执行机会。同时严格控制不同投资组合之间的同日反向交易，严格禁止可能导致不公平交易和利益输送的同日反向交易。</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ascii="Times New Roman" w:hAnsi="Times New Roman"/>
          <w:color w:val="000000"/>
          <w:kern w:val="0"/>
          <w:sz w:val="24"/>
          <w:szCs w:val="24"/>
        </w:rPr>
        <w:t>3</w:t>
      </w:r>
      <w:r>
        <w:rPr>
          <w:rFonts w:hint="eastAsia" w:ascii="Times New Roman" w:hAnsi="Times New Roman"/>
          <w:color w:val="000000"/>
          <w:kern w:val="0"/>
          <w:sz w:val="24"/>
          <w:szCs w:val="24"/>
        </w:rPr>
        <w:t>、交易指令分配的控制</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所有投资对象的投资指令必须经由交易室总监或其授权人审核后分配至交易员执行。</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交易员对于接收到的交易指令依照时间优先、价格优先的顺序执行。在执行多个投资组合在同一时点就同一证券下达的相同方向的投资指令时，需根据价格优先、比例分配的原则，经过公平性审核，公平对待多个不同投资组合的投资指令。</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ascii="Times New Roman" w:hAnsi="Times New Roman"/>
          <w:color w:val="000000"/>
          <w:kern w:val="0"/>
          <w:sz w:val="24"/>
          <w:szCs w:val="24"/>
        </w:rPr>
        <w:t>4</w:t>
      </w:r>
      <w:r>
        <w:rPr>
          <w:rFonts w:hint="eastAsia" w:ascii="Times New Roman" w:hAnsi="Times New Roman"/>
          <w:color w:val="000000"/>
          <w:kern w:val="0"/>
          <w:sz w:val="24"/>
          <w:szCs w:val="24"/>
        </w:rPr>
        <w:t>、公平交易监控</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公司建立异常交易行为日常监控和分析评估制度。交易室负责异常交易的日常实时监控，监察稽核部于每季度和每年度对公司管理的不同投资组合的整体收益率差异、分投资类别（股票、债券）的收益率差异进行分析，对连续四个季度期间内、不同时间窗内（如</w:t>
      </w:r>
      <w:r>
        <w:rPr>
          <w:rFonts w:ascii="Times New Roman" w:hAnsi="Times New Roman"/>
          <w:color w:val="000000"/>
          <w:kern w:val="0"/>
          <w:sz w:val="24"/>
          <w:szCs w:val="24"/>
        </w:rPr>
        <w:t>1</w:t>
      </w:r>
      <w:r>
        <w:rPr>
          <w:rFonts w:hint="eastAsia" w:ascii="Times New Roman" w:hAnsi="Times New Roman"/>
          <w:color w:val="000000"/>
          <w:kern w:val="0"/>
          <w:sz w:val="24"/>
          <w:szCs w:val="24"/>
        </w:rPr>
        <w:t>日内、</w:t>
      </w:r>
      <w:r>
        <w:rPr>
          <w:rFonts w:ascii="Times New Roman" w:hAnsi="Times New Roman"/>
          <w:color w:val="000000"/>
          <w:kern w:val="0"/>
          <w:sz w:val="24"/>
          <w:szCs w:val="24"/>
        </w:rPr>
        <w:t>3</w:t>
      </w:r>
      <w:r>
        <w:rPr>
          <w:rFonts w:hint="eastAsia" w:ascii="Times New Roman" w:hAnsi="Times New Roman"/>
          <w:color w:val="000000"/>
          <w:kern w:val="0"/>
          <w:sz w:val="24"/>
          <w:szCs w:val="24"/>
        </w:rPr>
        <w:t>日、</w:t>
      </w:r>
      <w:r>
        <w:rPr>
          <w:rFonts w:ascii="Times New Roman" w:hAnsi="Times New Roman"/>
          <w:color w:val="000000"/>
          <w:kern w:val="0"/>
          <w:sz w:val="24"/>
          <w:szCs w:val="24"/>
        </w:rPr>
        <w:t>5</w:t>
      </w:r>
      <w:r>
        <w:rPr>
          <w:rFonts w:hint="eastAsia" w:ascii="Times New Roman" w:hAnsi="Times New Roman"/>
          <w:color w:val="000000"/>
          <w:kern w:val="0"/>
          <w:sz w:val="24"/>
          <w:szCs w:val="24"/>
        </w:rPr>
        <w:t>日内）公司管理的不同投资组合的同向交易的交易价差进行分析，对不同投资组合临近交易日的反向交易的交易价差进行分析。相关投资组合经理应对异常交易情况进行合理性解释，由投资组合经理、督察长、总经理签署后，妥善保存分析报告备查。</w:t>
      </w:r>
    </w:p>
    <w:p>
      <w:pPr>
        <w:autoSpaceDE w:val="0"/>
        <w:autoSpaceDN w:val="0"/>
        <w:adjustRightInd w:val="0"/>
        <w:spacing w:line="288" w:lineRule="auto"/>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4.3.2 </w:t>
      </w:r>
      <w:r>
        <w:rPr>
          <w:rFonts w:hint="eastAsia" w:ascii="Times New Roman" w:hAnsi="Times New Roman"/>
          <w:b/>
          <w:color w:val="000000"/>
          <w:kern w:val="0"/>
          <w:sz w:val="24"/>
          <w:szCs w:val="24"/>
        </w:rPr>
        <w:t>公平交易制度的执行情况</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本基金管理人严格执行《证券投资基金管理公司公平交易制度指导意见（</w:t>
      </w:r>
      <w:r>
        <w:rPr>
          <w:rFonts w:ascii="Times New Roman" w:hAnsi="Times New Roman"/>
          <w:color w:val="000000"/>
          <w:kern w:val="0"/>
          <w:sz w:val="24"/>
          <w:szCs w:val="24"/>
        </w:rPr>
        <w:t>2011</w:t>
      </w:r>
      <w:r>
        <w:rPr>
          <w:rFonts w:hint="eastAsia" w:ascii="Times New Roman" w:hAnsi="Times New Roman"/>
          <w:color w:val="000000"/>
          <w:kern w:val="0"/>
          <w:sz w:val="24"/>
          <w:szCs w:val="24"/>
        </w:rPr>
        <w:t>年修订）》，通过建立有纪律、规范化的投资研究和决策流程、交易流程、强化事后监控及分析手段等各种方式在各业务环节严格控制交易公平执行，公平对待旗下管理的所有投资组合，切实防范利益输送。本报告期内本基金管理人根据《证券投资基金管理公司公平交易制度指导意见（</w:t>
      </w:r>
      <w:r>
        <w:rPr>
          <w:rFonts w:ascii="Times New Roman" w:hAnsi="Times New Roman"/>
          <w:color w:val="000000"/>
          <w:kern w:val="0"/>
          <w:sz w:val="24"/>
          <w:szCs w:val="24"/>
        </w:rPr>
        <w:t>2011</w:t>
      </w:r>
      <w:r>
        <w:rPr>
          <w:rFonts w:hint="eastAsia" w:ascii="Times New Roman" w:hAnsi="Times New Roman"/>
          <w:color w:val="000000"/>
          <w:kern w:val="0"/>
          <w:sz w:val="24"/>
          <w:szCs w:val="24"/>
        </w:rPr>
        <w:t>年修订）》及《创金合信基金管理有限公司公平交易制度》对本年度同向交易价差、反向交易进行了专项分析，未发现异常交易情况。</w:t>
      </w:r>
    </w:p>
    <w:p>
      <w:pPr>
        <w:autoSpaceDE w:val="0"/>
        <w:autoSpaceDN w:val="0"/>
        <w:adjustRightInd w:val="0"/>
        <w:spacing w:line="288" w:lineRule="auto"/>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4.3.3 </w:t>
      </w:r>
      <w:r>
        <w:rPr>
          <w:rFonts w:hint="eastAsia" w:ascii="Times New Roman" w:hAnsi="Times New Roman"/>
          <w:b/>
          <w:color w:val="000000"/>
          <w:kern w:val="0"/>
          <w:sz w:val="24"/>
          <w:szCs w:val="24"/>
        </w:rPr>
        <w:t>异常交易行为的专项说明</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本报告期内，未发现本基金有可能导致不公平交易和利益输送的异常交易。</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16" w:name="_Toc477955724"/>
      <w:r>
        <w:rPr>
          <w:rFonts w:ascii="Times New Roman" w:hAnsi="Times New Roman"/>
          <w:b/>
          <w:color w:val="000000"/>
          <w:kern w:val="0"/>
          <w:sz w:val="24"/>
          <w:szCs w:val="24"/>
        </w:rPr>
        <w:t xml:space="preserve">4.4 </w:t>
      </w:r>
      <w:r>
        <w:rPr>
          <w:rFonts w:hint="eastAsia" w:ascii="Times New Roman" w:hAnsi="Times New Roman"/>
          <w:b/>
          <w:color w:val="000000"/>
          <w:kern w:val="0"/>
          <w:sz w:val="24"/>
          <w:szCs w:val="24"/>
        </w:rPr>
        <w:t>管理人对报告期内基金的投资策略和业绩表现说明</w:t>
      </w:r>
      <w:bookmarkEnd w:id="16"/>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4.4.1 </w:t>
      </w:r>
      <w:r>
        <w:rPr>
          <w:rFonts w:hint="eastAsia" w:ascii="Times New Roman" w:hAnsi="Times New Roman"/>
          <w:b/>
          <w:color w:val="000000"/>
          <w:kern w:val="0"/>
          <w:sz w:val="24"/>
          <w:szCs w:val="24"/>
        </w:rPr>
        <w:t>报告期内基金投资策略和运作分析</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年成为</w:t>
      </w:r>
      <w:r>
        <w:rPr>
          <w:rFonts w:ascii="Times New Roman" w:hAnsi="Times New Roman"/>
          <w:color w:val="000000"/>
          <w:kern w:val="0"/>
          <w:sz w:val="24"/>
          <w:szCs w:val="24"/>
        </w:rPr>
        <w:t>2014</w:t>
      </w:r>
      <w:r>
        <w:rPr>
          <w:rFonts w:hint="eastAsia" w:ascii="Times New Roman" w:hAnsi="Times New Roman"/>
          <w:color w:val="000000"/>
          <w:kern w:val="0"/>
          <w:sz w:val="24"/>
          <w:szCs w:val="24"/>
        </w:rPr>
        <w:t>年以来债牛的末期，并在年底开始扭转走熊。主要变化因素在于：第一，</w:t>
      </w:r>
      <w:r>
        <w:rPr>
          <w:rFonts w:ascii="Times New Roman" w:hAnsi="Times New Roman"/>
          <w:color w:val="000000"/>
          <w:kern w:val="0"/>
          <w:sz w:val="24"/>
          <w:szCs w:val="24"/>
        </w:rPr>
        <w:t>2016</w:t>
      </w:r>
      <w:r>
        <w:rPr>
          <w:rFonts w:hint="eastAsia" w:ascii="Times New Roman" w:hAnsi="Times New Roman"/>
          <w:color w:val="000000"/>
          <w:kern w:val="0"/>
          <w:sz w:val="24"/>
          <w:szCs w:val="24"/>
        </w:rPr>
        <w:t>年经济整体走平，步入</w:t>
      </w:r>
      <w:r>
        <w:rPr>
          <w:rFonts w:ascii="Times New Roman" w:hAnsi="Times New Roman"/>
          <w:color w:val="000000"/>
          <w:kern w:val="0"/>
          <w:sz w:val="24"/>
          <w:szCs w:val="24"/>
        </w:rPr>
        <w:t>L</w:t>
      </w:r>
      <w:r>
        <w:rPr>
          <w:rFonts w:hint="eastAsia" w:ascii="Times New Roman" w:hAnsi="Times New Roman"/>
          <w:color w:val="000000"/>
          <w:kern w:val="0"/>
          <w:sz w:val="24"/>
          <w:szCs w:val="24"/>
        </w:rPr>
        <w:t>型的底部阶段，而同时大宗商品价格暴涨、以房价为首的资产价格暴涨；第二，</w:t>
      </w:r>
      <w:r>
        <w:rPr>
          <w:rFonts w:ascii="Times New Roman" w:hAnsi="Times New Roman"/>
          <w:color w:val="000000"/>
          <w:kern w:val="0"/>
          <w:sz w:val="24"/>
          <w:szCs w:val="24"/>
        </w:rPr>
        <w:t>5</w:t>
      </w:r>
      <w:r>
        <w:rPr>
          <w:rFonts w:hint="eastAsia" w:ascii="Times New Roman" w:hAnsi="Times New Roman"/>
          <w:color w:val="000000"/>
          <w:kern w:val="0"/>
          <w:sz w:val="24"/>
          <w:szCs w:val="24"/>
        </w:rPr>
        <w:t>月</w:t>
      </w:r>
      <w:r>
        <w:rPr>
          <w:rFonts w:ascii="Times New Roman" w:hAnsi="Times New Roman"/>
          <w:color w:val="000000"/>
          <w:kern w:val="0"/>
          <w:sz w:val="24"/>
          <w:szCs w:val="24"/>
        </w:rPr>
        <w:t>9</w:t>
      </w:r>
      <w:r>
        <w:rPr>
          <w:rFonts w:hint="eastAsia" w:ascii="Times New Roman" w:hAnsi="Times New Roman"/>
          <w:color w:val="000000"/>
          <w:kern w:val="0"/>
          <w:sz w:val="24"/>
          <w:szCs w:val="24"/>
        </w:rPr>
        <w:t>日《人民日报》刊登了《开局首季问大势》的权威人士讲话，正式确认了宏观政策从稳增长向防风险、抑泡沫重心转换；第三，在经济走稳、通胀预期抬升的基础上，为防风险、抑泡沫，货币政策最终在下半年开始通过公开市场释放长期限资金，抬升利率水平，并实施将理财纳入</w:t>
      </w:r>
      <w:r>
        <w:rPr>
          <w:rFonts w:ascii="Times New Roman" w:hAnsi="Times New Roman"/>
          <w:color w:val="000000"/>
          <w:kern w:val="0"/>
          <w:sz w:val="24"/>
          <w:szCs w:val="24"/>
        </w:rPr>
        <w:t>MPA</w:t>
      </w:r>
      <w:r>
        <w:rPr>
          <w:rFonts w:hint="eastAsia" w:ascii="Times New Roman" w:hAnsi="Times New Roman"/>
          <w:color w:val="000000"/>
          <w:kern w:val="0"/>
          <w:sz w:val="24"/>
          <w:szCs w:val="24"/>
        </w:rPr>
        <w:t>考核等宏观审慎措施。在上述因素变化下，同时叠加了流动性危机，年底债市收益率大幅上行，幅度普遍在</w:t>
      </w:r>
      <w:r>
        <w:rPr>
          <w:rFonts w:ascii="Times New Roman" w:hAnsi="Times New Roman"/>
          <w:color w:val="000000"/>
          <w:kern w:val="0"/>
          <w:sz w:val="24"/>
          <w:szCs w:val="24"/>
        </w:rPr>
        <w:t>100-150bp</w:t>
      </w:r>
      <w:r>
        <w:rPr>
          <w:rFonts w:hint="eastAsia" w:ascii="Times New Roman" w:hAnsi="Times New Roman"/>
          <w:color w:val="000000"/>
          <w:kern w:val="0"/>
          <w:sz w:val="24"/>
          <w:szCs w:val="24"/>
        </w:rPr>
        <w:t>。在债券市场极度紧张时期，央行及时释放流动性，守住系统性风险不发生的底线。</w:t>
      </w:r>
      <w:r>
        <w:rPr>
          <w:rFonts w:ascii="Times New Roman" w:hAnsi="Times New Roman"/>
          <w:color w:val="000000"/>
          <w:kern w:val="0"/>
          <w:sz w:val="24"/>
          <w:szCs w:val="24"/>
        </w:rPr>
        <w:t>2016</w:t>
      </w:r>
      <w:r>
        <w:rPr>
          <w:rFonts w:hint="eastAsia" w:ascii="Times New Roman" w:hAnsi="Times New Roman"/>
          <w:color w:val="000000"/>
          <w:kern w:val="0"/>
          <w:sz w:val="24"/>
          <w:szCs w:val="24"/>
        </w:rPr>
        <w:t>年本基金采取稳健投资策略，在防范风险的同时为投资者赚取更好的收益。</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4.4.2 </w:t>
      </w:r>
      <w:r>
        <w:rPr>
          <w:rFonts w:hint="eastAsia" w:ascii="Times New Roman" w:hAnsi="Times New Roman"/>
          <w:b/>
          <w:color w:val="000000"/>
          <w:kern w:val="0"/>
          <w:sz w:val="24"/>
          <w:szCs w:val="24"/>
        </w:rPr>
        <w:t>报告期内基金的业绩表现</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年，自基金合同生效日起至报告期末，本基金</w:t>
      </w:r>
      <w:r>
        <w:rPr>
          <w:rFonts w:ascii="Times New Roman" w:hAnsi="Times New Roman"/>
          <w:color w:val="000000"/>
          <w:kern w:val="0"/>
          <w:sz w:val="24"/>
          <w:szCs w:val="24"/>
        </w:rPr>
        <w:t>A</w:t>
      </w:r>
      <w:r>
        <w:rPr>
          <w:rFonts w:hint="eastAsia" w:ascii="Times New Roman" w:hAnsi="Times New Roman"/>
          <w:color w:val="000000"/>
          <w:kern w:val="0"/>
          <w:sz w:val="24"/>
          <w:szCs w:val="24"/>
        </w:rPr>
        <w:t>类净值增长率为</w:t>
      </w:r>
      <w:r>
        <w:rPr>
          <w:rFonts w:ascii="Times New Roman" w:hAnsi="Times New Roman"/>
          <w:color w:val="000000"/>
          <w:kern w:val="0"/>
          <w:sz w:val="24"/>
          <w:szCs w:val="24"/>
        </w:rPr>
        <w:t>-0.70%</w:t>
      </w:r>
      <w:r>
        <w:rPr>
          <w:rFonts w:hint="eastAsia" w:ascii="Times New Roman" w:hAnsi="Times New Roman"/>
          <w:color w:val="000000"/>
          <w:kern w:val="0"/>
          <w:sz w:val="24"/>
          <w:szCs w:val="24"/>
        </w:rPr>
        <w:t>，</w:t>
      </w:r>
      <w:r>
        <w:rPr>
          <w:rFonts w:ascii="Times New Roman" w:hAnsi="Times New Roman"/>
          <w:color w:val="000000"/>
          <w:kern w:val="0"/>
          <w:sz w:val="24"/>
          <w:szCs w:val="24"/>
        </w:rPr>
        <w:t>C</w:t>
      </w:r>
      <w:r>
        <w:rPr>
          <w:rFonts w:hint="eastAsia" w:ascii="Times New Roman" w:hAnsi="Times New Roman"/>
          <w:color w:val="000000"/>
          <w:kern w:val="0"/>
          <w:sz w:val="24"/>
          <w:szCs w:val="24"/>
        </w:rPr>
        <w:t>类净值增长率为</w:t>
      </w:r>
      <w:r>
        <w:rPr>
          <w:rFonts w:ascii="Times New Roman" w:hAnsi="Times New Roman"/>
          <w:color w:val="000000"/>
          <w:kern w:val="0"/>
          <w:sz w:val="24"/>
          <w:szCs w:val="24"/>
        </w:rPr>
        <w:t>-0.80%</w:t>
      </w:r>
      <w:r>
        <w:rPr>
          <w:rFonts w:hint="eastAsia" w:ascii="Times New Roman" w:hAnsi="Times New Roman"/>
          <w:color w:val="000000"/>
          <w:kern w:val="0"/>
          <w:sz w:val="24"/>
          <w:szCs w:val="24"/>
        </w:rPr>
        <w:t>，同期业绩比较基准增长率为</w:t>
      </w:r>
      <w:r>
        <w:rPr>
          <w:rFonts w:ascii="Times New Roman" w:hAnsi="Times New Roman"/>
          <w:color w:val="000000"/>
          <w:kern w:val="0"/>
          <w:sz w:val="24"/>
          <w:szCs w:val="24"/>
        </w:rPr>
        <w:t>0.42%</w:t>
      </w:r>
      <w:r>
        <w:rPr>
          <w:rFonts w:hint="eastAsia" w:ascii="Times New Roman" w:hAnsi="Times New Roman"/>
          <w:color w:val="000000"/>
          <w:kern w:val="0"/>
          <w:sz w:val="24"/>
          <w:szCs w:val="24"/>
        </w:rPr>
        <w:t>。</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17" w:name="_Toc477955725"/>
      <w:r>
        <w:rPr>
          <w:rFonts w:ascii="Times New Roman" w:hAnsi="Times New Roman"/>
          <w:b/>
          <w:color w:val="000000"/>
          <w:kern w:val="0"/>
          <w:sz w:val="24"/>
          <w:szCs w:val="24"/>
        </w:rPr>
        <w:t xml:space="preserve">4.5 </w:t>
      </w:r>
      <w:r>
        <w:rPr>
          <w:rFonts w:hint="eastAsia" w:ascii="Times New Roman" w:hAnsi="Times New Roman"/>
          <w:b/>
          <w:color w:val="000000"/>
          <w:kern w:val="0"/>
          <w:sz w:val="24"/>
          <w:szCs w:val="24"/>
        </w:rPr>
        <w:t>管理人对宏观经济、证券市场及行业走势的简要展望</w:t>
      </w:r>
      <w:bookmarkEnd w:id="17"/>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从目前来看，货币政策可能进一步收紧，但大幅收紧的可能性需要密切关注经济。主要原因在于：第一，防风险、抑泡沫仍是当前货币政策的目标重点，也因此存在进一步收紧的可能；第二，从目前来看，房地产价格的泡沫程度得到初步控制，一二线热点城市房价环比涨幅持续回落，而债市、汇市、股市等领域的泡沫程度不显著，同时表外理财扩张也受到宏观审慎评估体系（简称</w:t>
      </w:r>
      <w:r>
        <w:rPr>
          <w:rFonts w:ascii="Times New Roman" w:hAnsi="Times New Roman"/>
          <w:color w:val="000000"/>
          <w:kern w:val="0"/>
          <w:sz w:val="24"/>
          <w:szCs w:val="24"/>
        </w:rPr>
        <w:t>MPA</w:t>
      </w:r>
      <w:r>
        <w:rPr>
          <w:rFonts w:hint="eastAsia" w:ascii="Times New Roman" w:hAnsi="Times New Roman"/>
          <w:color w:val="000000"/>
          <w:kern w:val="0"/>
          <w:sz w:val="24"/>
          <w:szCs w:val="24"/>
        </w:rPr>
        <w:t>）约束，因此央行就风险泡沫大幅收紧的必要性还不是很大；第三，年初信贷放量的持续性将是需要密切关注的。如果是实体经济需求强劲所致，那么通胀压力将会较大，货币政策的收紧力度有可能会超出预期。在货币政策收缩的过程中，债券市场难以出现趋势性机会，而在政策步入紧缩后期和经济下行压力重现之前，长债的交易机会也不会明显。经过去年底及今年初的大幅调整，债市总体收益率水平已处于较高的位置，尤其是高评级的配置价值仍是可以的，再度急剧上升的风险不显著。</w:t>
      </w:r>
    </w:p>
    <w:p>
      <w:pPr>
        <w:autoSpaceDE w:val="0"/>
        <w:autoSpaceDN w:val="0"/>
        <w:adjustRightInd w:val="0"/>
        <w:spacing w:line="288" w:lineRule="auto"/>
        <w:jc w:val="left"/>
        <w:rPr>
          <w:rFonts w:ascii="Times New Roman" w:hAnsi="Times New Roman"/>
          <w:color w:val="000000"/>
          <w:kern w:val="0"/>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18" w:name="_Toc477955726"/>
      <w:r>
        <w:rPr>
          <w:rFonts w:ascii="Times New Roman" w:hAnsi="Times New Roman"/>
          <w:b/>
          <w:color w:val="000000"/>
          <w:kern w:val="0"/>
          <w:sz w:val="24"/>
          <w:szCs w:val="24"/>
        </w:rPr>
        <w:t xml:space="preserve">4.6 </w:t>
      </w:r>
      <w:r>
        <w:rPr>
          <w:rFonts w:hint="eastAsia" w:ascii="Times New Roman" w:hAnsi="Times New Roman"/>
          <w:b/>
          <w:color w:val="000000"/>
          <w:kern w:val="0"/>
          <w:sz w:val="24"/>
          <w:szCs w:val="24"/>
        </w:rPr>
        <w:t>管理人内部有关本基金的监察稽核工作情况</w:t>
      </w:r>
      <w:bookmarkEnd w:id="18"/>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内，本基金管理人严格遵守相关法律法规，坚持一切从规范运作、防范风险、保护基金持有人利益出发，依照公司内部控制的整体要求，继续致力于内控机制的完善，加强内部风险的控制与防范，确保各项法规和管理制度的落实，保证基金合同得到严格履行。</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本报告期内，本基金管理人的主要内部监察稽核工作如下：</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w:t>
      </w:r>
      <w:r>
        <w:rPr>
          <w:rFonts w:ascii="Times New Roman" w:hAnsi="Times New Roman"/>
          <w:color w:val="000000"/>
          <w:kern w:val="0"/>
          <w:sz w:val="24"/>
          <w:szCs w:val="24"/>
        </w:rPr>
        <w:t>1</w:t>
      </w:r>
      <w:r>
        <w:rPr>
          <w:rFonts w:hint="eastAsia" w:ascii="Times New Roman" w:hAnsi="Times New Roman"/>
          <w:color w:val="000000"/>
          <w:kern w:val="0"/>
          <w:sz w:val="24"/>
          <w:szCs w:val="24"/>
        </w:rPr>
        <w:t>）开展全面自查工作，排查各项业务活动中存在的问题或潜在的风险隐患，制定整改计划，并督促按计划完成整改；</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w:t>
      </w:r>
      <w:r>
        <w:rPr>
          <w:rFonts w:ascii="Times New Roman" w:hAnsi="Times New Roman"/>
          <w:color w:val="000000"/>
          <w:kern w:val="0"/>
          <w:sz w:val="24"/>
          <w:szCs w:val="24"/>
        </w:rPr>
        <w:t>2</w:t>
      </w:r>
      <w:r>
        <w:rPr>
          <w:rFonts w:hint="eastAsia" w:ascii="Times New Roman" w:hAnsi="Times New Roman"/>
          <w:color w:val="000000"/>
          <w:kern w:val="0"/>
          <w:sz w:val="24"/>
          <w:szCs w:val="24"/>
        </w:rPr>
        <w:t>）开展公司专项稽核工作，了解合规风险现状、发现薄弱环节，并持续督导改进；</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w:t>
      </w:r>
      <w:r>
        <w:rPr>
          <w:rFonts w:ascii="Times New Roman" w:hAnsi="Times New Roman"/>
          <w:color w:val="000000"/>
          <w:kern w:val="0"/>
          <w:sz w:val="24"/>
          <w:szCs w:val="24"/>
        </w:rPr>
        <w:t>3</w:t>
      </w:r>
      <w:r>
        <w:rPr>
          <w:rFonts w:hint="eastAsia" w:ascii="Times New Roman" w:hAnsi="Times New Roman"/>
          <w:color w:val="000000"/>
          <w:kern w:val="0"/>
          <w:sz w:val="24"/>
          <w:szCs w:val="24"/>
        </w:rPr>
        <w:t>）强化合规法务工作。严格审核公司业务、产品及其合同等法律文件，解读最新的法律法规，发布合规提示或警示，举办合规培训；</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w:t>
      </w:r>
      <w:r>
        <w:rPr>
          <w:rFonts w:ascii="Times New Roman" w:hAnsi="Times New Roman"/>
          <w:color w:val="000000"/>
          <w:kern w:val="0"/>
          <w:sz w:val="24"/>
          <w:szCs w:val="24"/>
        </w:rPr>
        <w:t>4</w:t>
      </w:r>
      <w:r>
        <w:rPr>
          <w:rFonts w:hint="eastAsia" w:ascii="Times New Roman" w:hAnsi="Times New Roman"/>
          <w:color w:val="000000"/>
          <w:kern w:val="0"/>
          <w:sz w:val="24"/>
          <w:szCs w:val="24"/>
        </w:rPr>
        <w:t>）建立健全全面风险管理体系。全面梳理各业务部门的职责与权限，理顺工作流程；同时加强权限管理，健全事前、事中和事后的风险管理体系；</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w:t>
      </w:r>
      <w:r>
        <w:rPr>
          <w:rFonts w:ascii="Times New Roman" w:hAnsi="Times New Roman"/>
          <w:color w:val="000000"/>
          <w:kern w:val="0"/>
          <w:sz w:val="24"/>
          <w:szCs w:val="24"/>
        </w:rPr>
        <w:t>5</w:t>
      </w:r>
      <w:r>
        <w:rPr>
          <w:rFonts w:hint="eastAsia" w:ascii="Times New Roman" w:hAnsi="Times New Roman"/>
          <w:color w:val="000000"/>
          <w:kern w:val="0"/>
          <w:sz w:val="24"/>
          <w:szCs w:val="24"/>
        </w:rPr>
        <w:t>）完善信息披露工作。修订完善《信息披露制度》等制度，建立统一规范信息披露流程，明确各部门信息披露的职责分工，及时履行信息披露工作；</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w:t>
      </w:r>
      <w:r>
        <w:rPr>
          <w:rFonts w:ascii="Times New Roman" w:hAnsi="Times New Roman"/>
          <w:color w:val="000000"/>
          <w:kern w:val="0"/>
          <w:sz w:val="24"/>
          <w:szCs w:val="24"/>
        </w:rPr>
        <w:t>6</w:t>
      </w:r>
      <w:r>
        <w:rPr>
          <w:rFonts w:hint="eastAsia" w:ascii="Times New Roman" w:hAnsi="Times New Roman"/>
          <w:color w:val="000000"/>
          <w:kern w:val="0"/>
          <w:sz w:val="24"/>
          <w:szCs w:val="24"/>
        </w:rPr>
        <w:t>）加强关联交易管理。修订《关联交易管理制度》，履行关联交易决策审批程序；</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w:t>
      </w:r>
      <w:r>
        <w:rPr>
          <w:rFonts w:ascii="Times New Roman" w:hAnsi="Times New Roman"/>
          <w:color w:val="000000"/>
          <w:kern w:val="0"/>
          <w:sz w:val="24"/>
          <w:szCs w:val="24"/>
        </w:rPr>
        <w:t>7</w:t>
      </w:r>
      <w:r>
        <w:rPr>
          <w:rFonts w:hint="eastAsia" w:ascii="Times New Roman" w:hAnsi="Times New Roman"/>
          <w:color w:val="000000"/>
          <w:kern w:val="0"/>
          <w:sz w:val="24"/>
          <w:szCs w:val="24"/>
        </w:rPr>
        <w:t>）建立内幕交易防控机制。公司建立了《内幕交易防控管理办法》，定期开展关于防止内幕交易的合规培训，严防内幕信息传递和内幕交易发生；</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w:t>
      </w:r>
      <w:r>
        <w:rPr>
          <w:rFonts w:ascii="Times New Roman" w:hAnsi="Times New Roman"/>
          <w:color w:val="000000"/>
          <w:kern w:val="0"/>
          <w:sz w:val="24"/>
          <w:szCs w:val="24"/>
        </w:rPr>
        <w:t>8</w:t>
      </w:r>
      <w:r>
        <w:rPr>
          <w:rFonts w:hint="eastAsia" w:ascii="Times New Roman" w:hAnsi="Times New Roman"/>
          <w:color w:val="000000"/>
          <w:kern w:val="0"/>
          <w:sz w:val="24"/>
          <w:szCs w:val="24"/>
        </w:rPr>
        <w:t>）建立健全公平交易与异常交易管理机制。严格按照法律法规以及公司《公平交易制度》、《异常交易监控与报告制度》的要求，对所管理的不同投资组合之间发生的同向交易和反向交易进行监控，严格禁止同一投资组合在同一交易日内进行反向交易及其他可能导致不公平交易和利益输送的交易行为；</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w:t>
      </w:r>
      <w:r>
        <w:rPr>
          <w:rFonts w:ascii="Times New Roman" w:hAnsi="Times New Roman"/>
          <w:color w:val="000000"/>
          <w:kern w:val="0"/>
          <w:sz w:val="24"/>
          <w:szCs w:val="24"/>
        </w:rPr>
        <w:t>9</w:t>
      </w:r>
      <w:r>
        <w:rPr>
          <w:rFonts w:hint="eastAsia" w:ascii="Times New Roman" w:hAnsi="Times New Roman"/>
          <w:color w:val="000000"/>
          <w:kern w:val="0"/>
          <w:sz w:val="24"/>
          <w:szCs w:val="24"/>
        </w:rPr>
        <w:t>）建立员工投资行为管理机制，规范员工的证券投资行为。</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本基金管理人将坚持诚实信用、勤勉尽责的原则管理和运用基金资产，积极健全内部管理制度，不断提高内部监察稽核工作的科学性和有效性，努力防范各种风险，切实保护基金资产的安全与利益。</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19" w:name="_Toc477955727"/>
      <w:r>
        <w:rPr>
          <w:rFonts w:ascii="Times New Roman" w:hAnsi="Times New Roman"/>
          <w:b/>
          <w:color w:val="000000"/>
          <w:kern w:val="0"/>
          <w:sz w:val="24"/>
          <w:szCs w:val="24"/>
        </w:rPr>
        <w:t xml:space="preserve">4.7 </w:t>
      </w:r>
      <w:r>
        <w:rPr>
          <w:rFonts w:hint="eastAsia" w:ascii="Times New Roman" w:hAnsi="Times New Roman"/>
          <w:b/>
          <w:color w:val="000000"/>
          <w:kern w:val="0"/>
          <w:sz w:val="24"/>
          <w:szCs w:val="24"/>
        </w:rPr>
        <w:t>管理人对报告期内基金估值程序等事项的说明</w:t>
      </w:r>
      <w:bookmarkEnd w:id="19"/>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本基金管理人严格按照企业会计准则、中国证监会相关规定和基金合同关于估值的约定，对基金所持有的投资品种进行估值。本基金托管人根据法律法规要求履行估值及净值计算的复核责任。</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管理人在风险控制办公会下设估值小组，组长由公司总经理担任，成员由基金运营部、研究部、监察稽核部、综合部人员组成，实行一人一票制，可邀请专业人士列席，但不具表决权，基金运营部是估值小组的日常办事机构。估值小组成员具有多年的证券、基金从业经验，熟悉相关法律法规，具备行业研究、风险管理、法律合规或基金估值运作等方面的专业胜任能力。本报告期内，参与估值流程各方之间不存在任何重大利益冲突。</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定价服务机构按照商业合同约定提供定价服务。</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20" w:name="_Toc477955728"/>
      <w:r>
        <w:rPr>
          <w:rFonts w:ascii="Times New Roman" w:hAnsi="Times New Roman"/>
          <w:b/>
          <w:color w:val="000000"/>
          <w:kern w:val="0"/>
          <w:sz w:val="24"/>
          <w:szCs w:val="24"/>
        </w:rPr>
        <w:t xml:space="preserve">4.8 </w:t>
      </w:r>
      <w:r>
        <w:rPr>
          <w:rFonts w:hint="eastAsia" w:ascii="Times New Roman" w:hAnsi="Times New Roman"/>
          <w:b/>
          <w:color w:val="000000"/>
          <w:kern w:val="0"/>
          <w:sz w:val="24"/>
          <w:szCs w:val="24"/>
        </w:rPr>
        <w:t>管理人对报告期内基金利润分配情况的说明</w:t>
      </w:r>
      <w:bookmarkEnd w:id="20"/>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本报告期内，本基金未进行利润分配，符合合同约定。</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4.9 </w:t>
      </w:r>
      <w:r>
        <w:rPr>
          <w:rFonts w:hint="eastAsia" w:ascii="Times New Roman" w:hAnsi="Times New Roman"/>
          <w:b/>
          <w:color w:val="000000"/>
          <w:kern w:val="0"/>
          <w:sz w:val="24"/>
          <w:szCs w:val="24"/>
        </w:rPr>
        <w:t>报告期内管理人对本基金持有人数或基金资产净值预警情形的说明</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本基金本报告期未出现连续二十个工作日基金份额持有人数量不满二百人或者基金资产净值低于五千万元的情形。</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center"/>
        <w:outlineLvl w:val="0"/>
        <w:rPr>
          <w:rFonts w:ascii="Times New Roman" w:hAnsi="Times New Roman"/>
          <w:b/>
          <w:color w:val="000000"/>
          <w:kern w:val="0"/>
          <w:sz w:val="24"/>
          <w:szCs w:val="24"/>
        </w:rPr>
      </w:pPr>
      <w:bookmarkStart w:id="21" w:name="_Toc477955729"/>
      <w:r>
        <w:rPr>
          <w:rFonts w:hint="eastAsia" w:ascii="Times New Roman" w:hAnsi="Times New Roman"/>
          <w:b/>
          <w:color w:val="000000"/>
          <w:kern w:val="0"/>
          <w:sz w:val="24"/>
          <w:szCs w:val="24"/>
        </w:rPr>
        <w:t>§</w:t>
      </w:r>
      <w:r>
        <w:rPr>
          <w:rFonts w:ascii="Times New Roman" w:hAnsi="Times New Roman"/>
          <w:b/>
          <w:color w:val="000000"/>
          <w:kern w:val="0"/>
          <w:sz w:val="24"/>
          <w:szCs w:val="24"/>
        </w:rPr>
        <w:t xml:space="preserve">5  </w:t>
      </w:r>
      <w:r>
        <w:rPr>
          <w:rFonts w:hint="eastAsia" w:ascii="Times New Roman" w:hAnsi="Times New Roman"/>
          <w:b/>
          <w:color w:val="000000"/>
          <w:kern w:val="0"/>
          <w:sz w:val="24"/>
          <w:szCs w:val="24"/>
        </w:rPr>
        <w:t>托管人报告</w:t>
      </w:r>
      <w:bookmarkEnd w:id="21"/>
    </w:p>
    <w:p>
      <w:pPr>
        <w:autoSpaceDE w:val="0"/>
        <w:autoSpaceDN w:val="0"/>
        <w:adjustRightInd w:val="0"/>
        <w:spacing w:line="288" w:lineRule="auto"/>
        <w:jc w:val="left"/>
        <w:rPr>
          <w:rFonts w:ascii="Times New Roman" w:hAnsi="Times New Roman"/>
          <w:color w:val="000000"/>
          <w:kern w:val="0"/>
          <w:sz w:val="24"/>
          <w:szCs w:val="24"/>
        </w:rPr>
      </w:pPr>
    </w:p>
    <w:p>
      <w:pPr>
        <w:autoSpaceDE w:val="0"/>
        <w:autoSpaceDN w:val="0"/>
        <w:adjustRightInd w:val="0"/>
        <w:spacing w:before="29" w:line="288" w:lineRule="auto"/>
        <w:ind w:left="15"/>
        <w:jc w:val="left"/>
        <w:outlineLvl w:val="1"/>
        <w:rPr>
          <w:rFonts w:ascii="宋体"/>
          <w:b/>
          <w:color w:val="000000"/>
          <w:kern w:val="0"/>
          <w:sz w:val="24"/>
          <w:szCs w:val="24"/>
        </w:rPr>
      </w:pPr>
      <w:r>
        <w:rPr>
          <w:rFonts w:ascii="宋体"/>
          <w:b/>
          <w:color w:val="000000"/>
          <w:kern w:val="0"/>
          <w:sz w:val="24"/>
          <w:szCs w:val="24"/>
        </w:rPr>
        <w:t xml:space="preserve">5.1 </w:t>
      </w:r>
      <w:r>
        <w:rPr>
          <w:rFonts w:hint="eastAsia" w:ascii="宋体"/>
          <w:b/>
          <w:color w:val="000000"/>
          <w:kern w:val="0"/>
          <w:sz w:val="24"/>
          <w:szCs w:val="24"/>
        </w:rPr>
        <w:t>报告期内本基金托管人遵规守信情况声明</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本报告期内，中国邮政储蓄银行股份有限公司（以下称“本托管人”）在创金合信鑫动力灵活配置混合型证券投资基金（以下称“本基金”）的托管过程中，严格遵守《证券投资基金法》及其他有关法律法规、基金合同和托管协议的有关规定，不存在损害基金份额持有人利益的行为，完全尽职尽责地履行了应尽的义务。</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r>
        <w:rPr>
          <w:rFonts w:ascii="宋体"/>
          <w:b/>
          <w:color w:val="000000"/>
          <w:kern w:val="0"/>
          <w:sz w:val="24"/>
          <w:szCs w:val="24"/>
        </w:rPr>
        <w:t xml:space="preserve">5.2 </w:t>
      </w:r>
      <w:r>
        <w:rPr>
          <w:rFonts w:hint="eastAsia" w:ascii="宋体"/>
          <w:b/>
          <w:color w:val="000000"/>
          <w:kern w:val="0"/>
          <w:sz w:val="24"/>
          <w:szCs w:val="24"/>
        </w:rPr>
        <w:t>托管人对报告期内本基金投资运作遵规守信、净值计算、利润分配等情况的说明</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本报告期内，本托管人根据《证券投资基金法》及其他有关法律法规、基金合同和托管协议的规定，对本基金管理人的投资运作进行了必要的监督，对基金资产净值的计算、基金份额申购赎回价格的计算以及基金费用开支等方面进行了认真地复核，未发现本基金管理人存在损害基金份额持有人利益的行为。</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报告期内，本基金未实施利润分配。</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r>
        <w:rPr>
          <w:rFonts w:ascii="宋体"/>
          <w:b/>
          <w:color w:val="000000"/>
          <w:kern w:val="0"/>
          <w:sz w:val="24"/>
          <w:szCs w:val="24"/>
        </w:rPr>
        <w:t xml:space="preserve">5.3 </w:t>
      </w:r>
      <w:r>
        <w:rPr>
          <w:rFonts w:hint="eastAsia" w:ascii="宋体"/>
          <w:b/>
          <w:color w:val="000000"/>
          <w:kern w:val="0"/>
          <w:sz w:val="24"/>
          <w:szCs w:val="24"/>
        </w:rPr>
        <w:t>托管人对本年度报告中财务信息等内容的真实、准确和完整发表意见</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本报告中的财务指标、净值表现、收益分配情况、财务会计报告、投资组合报告等数据真实、准确和完整。</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center"/>
        <w:outlineLvl w:val="0"/>
        <w:rPr>
          <w:rFonts w:ascii="Times New Roman" w:hAnsi="Times New Roman"/>
          <w:b/>
          <w:color w:val="000000"/>
          <w:kern w:val="0"/>
          <w:sz w:val="24"/>
          <w:szCs w:val="24"/>
        </w:rPr>
      </w:pPr>
      <w:bookmarkStart w:id="22" w:name="_Toc477955733"/>
      <w:r>
        <w:rPr>
          <w:rFonts w:hint="eastAsia" w:ascii="Times New Roman" w:hAnsi="Times New Roman"/>
          <w:b/>
          <w:color w:val="000000"/>
          <w:kern w:val="0"/>
          <w:sz w:val="24"/>
          <w:szCs w:val="24"/>
        </w:rPr>
        <w:t>§</w:t>
      </w:r>
      <w:r>
        <w:rPr>
          <w:rFonts w:ascii="Times New Roman" w:hAnsi="Times New Roman"/>
          <w:b/>
          <w:color w:val="000000"/>
          <w:kern w:val="0"/>
          <w:sz w:val="24"/>
          <w:szCs w:val="24"/>
        </w:rPr>
        <w:t xml:space="preserve">6 </w:t>
      </w:r>
      <w:r>
        <w:rPr>
          <w:rFonts w:hint="eastAsia" w:ascii="Times New Roman" w:hAnsi="Times New Roman"/>
          <w:b/>
          <w:color w:val="000000"/>
          <w:kern w:val="0"/>
          <w:sz w:val="24"/>
          <w:szCs w:val="24"/>
        </w:rPr>
        <w:t>审计报告</w:t>
      </w:r>
      <w:bookmarkEnd w:id="22"/>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23" w:name="_Toc477955734"/>
      <w:r>
        <w:rPr>
          <w:rFonts w:ascii="Times New Roman" w:hAnsi="Times New Roman"/>
          <w:b/>
          <w:color w:val="000000"/>
          <w:kern w:val="0"/>
          <w:sz w:val="24"/>
          <w:szCs w:val="24"/>
        </w:rPr>
        <w:t xml:space="preserve">6.1 </w:t>
      </w:r>
      <w:r>
        <w:rPr>
          <w:rFonts w:hint="eastAsia" w:ascii="Times New Roman" w:hAnsi="Times New Roman"/>
          <w:b/>
          <w:color w:val="000000"/>
          <w:kern w:val="0"/>
          <w:sz w:val="24"/>
          <w:szCs w:val="24"/>
        </w:rPr>
        <w:t>审计报告基本信息</w:t>
      </w:r>
      <w:bookmarkEnd w:id="23"/>
    </w:p>
    <w:tbl>
      <w:tblPr>
        <w:tblStyle w:val="10"/>
        <w:tblW w:w="0" w:type="auto"/>
        <w:tblInd w:w="108" w:type="dxa"/>
        <w:tblLayout w:type="fixed"/>
        <w:tblCellMar>
          <w:top w:w="0" w:type="dxa"/>
          <w:left w:w="108" w:type="dxa"/>
          <w:bottom w:w="0" w:type="dxa"/>
          <w:right w:w="108" w:type="dxa"/>
        </w:tblCellMar>
      </w:tblPr>
      <w:tblGrid>
        <w:gridCol w:w="3552"/>
        <w:gridCol w:w="5418"/>
      </w:tblGrid>
      <w:tr>
        <w:tblPrEx>
          <w:tblCellMar>
            <w:top w:w="0" w:type="dxa"/>
            <w:left w:w="108" w:type="dxa"/>
            <w:bottom w:w="0" w:type="dxa"/>
            <w:right w:w="108" w:type="dxa"/>
          </w:tblCellMar>
        </w:tblPrEx>
        <w:trPr>
          <w:wBefore w:w="0" w:type="auto"/>
        </w:trPr>
        <w:tc>
          <w:tcPr>
            <w:tcW w:w="35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财务报表是否经过审计</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是</w:t>
            </w:r>
          </w:p>
        </w:tc>
      </w:tr>
      <w:tr>
        <w:tblPrEx>
          <w:tblCellMar>
            <w:top w:w="0" w:type="dxa"/>
            <w:left w:w="108" w:type="dxa"/>
            <w:bottom w:w="0" w:type="dxa"/>
            <w:right w:w="108" w:type="dxa"/>
          </w:tblCellMar>
        </w:tblPrEx>
        <w:trPr>
          <w:wBefore w:w="0" w:type="auto"/>
        </w:trPr>
        <w:tc>
          <w:tcPr>
            <w:tcW w:w="35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审计意见类型</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标准无保留意见</w:t>
            </w:r>
          </w:p>
        </w:tc>
      </w:tr>
      <w:tr>
        <w:tblPrEx>
          <w:tblCellMar>
            <w:top w:w="0" w:type="dxa"/>
            <w:left w:w="108" w:type="dxa"/>
            <w:bottom w:w="0" w:type="dxa"/>
            <w:right w:w="108" w:type="dxa"/>
          </w:tblCellMar>
        </w:tblPrEx>
        <w:trPr>
          <w:wBefore w:w="0" w:type="auto"/>
        </w:trPr>
        <w:tc>
          <w:tcPr>
            <w:tcW w:w="35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审计报告编号</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普华永道中天审字</w:t>
            </w:r>
            <w:r>
              <w:rPr>
                <w:rFonts w:ascii="Times New Roman" w:hAnsi="Times New Roman"/>
                <w:color w:val="000000"/>
                <w:kern w:val="0"/>
                <w:sz w:val="24"/>
                <w:szCs w:val="24"/>
              </w:rPr>
              <w:t>(2017)</w:t>
            </w:r>
            <w:r>
              <w:rPr>
                <w:rFonts w:hint="eastAsia" w:ascii="Times New Roman" w:hAnsi="Times New Roman"/>
                <w:color w:val="000000"/>
                <w:kern w:val="0"/>
                <w:sz w:val="24"/>
                <w:szCs w:val="24"/>
              </w:rPr>
              <w:t>第</w:t>
            </w:r>
            <w:r>
              <w:rPr>
                <w:rFonts w:ascii="Times New Roman" w:hAnsi="Times New Roman"/>
                <w:color w:val="000000"/>
                <w:kern w:val="0"/>
                <w:sz w:val="24"/>
                <w:szCs w:val="24"/>
              </w:rPr>
              <w:t>22099</w:t>
            </w:r>
            <w:r>
              <w:rPr>
                <w:rFonts w:hint="eastAsia" w:ascii="Times New Roman" w:hAnsi="Times New Roman"/>
                <w:color w:val="000000"/>
                <w:kern w:val="0"/>
                <w:sz w:val="24"/>
                <w:szCs w:val="24"/>
              </w:rPr>
              <w:t>号</w:t>
            </w:r>
          </w:p>
        </w:tc>
      </w:tr>
    </w:tbl>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24" w:name="_Toc477955735"/>
      <w:r>
        <w:rPr>
          <w:rFonts w:ascii="Times New Roman" w:hAnsi="Times New Roman"/>
          <w:b/>
          <w:color w:val="000000"/>
          <w:kern w:val="0"/>
          <w:sz w:val="24"/>
          <w:szCs w:val="24"/>
        </w:rPr>
        <w:t xml:space="preserve">6.2 </w:t>
      </w:r>
      <w:r>
        <w:rPr>
          <w:rFonts w:hint="eastAsia" w:ascii="Times New Roman" w:hAnsi="Times New Roman"/>
          <w:b/>
          <w:color w:val="000000"/>
          <w:kern w:val="0"/>
          <w:sz w:val="24"/>
          <w:szCs w:val="24"/>
        </w:rPr>
        <w:t>审计报告的基本内容</w:t>
      </w:r>
      <w:bookmarkEnd w:id="24"/>
    </w:p>
    <w:tbl>
      <w:tblPr>
        <w:tblStyle w:val="10"/>
        <w:tblW w:w="0" w:type="auto"/>
        <w:tblInd w:w="108" w:type="dxa"/>
        <w:tblLayout w:type="fixed"/>
        <w:tblCellMar>
          <w:top w:w="0" w:type="dxa"/>
          <w:left w:w="108" w:type="dxa"/>
          <w:bottom w:w="0" w:type="dxa"/>
          <w:right w:w="108" w:type="dxa"/>
        </w:tblCellMar>
      </w:tblPr>
      <w:tblGrid>
        <w:gridCol w:w="3552"/>
        <w:gridCol w:w="5418"/>
      </w:tblGrid>
      <w:tr>
        <w:tblPrEx>
          <w:tblCellMar>
            <w:top w:w="0" w:type="dxa"/>
            <w:left w:w="108" w:type="dxa"/>
            <w:bottom w:w="0" w:type="dxa"/>
            <w:right w:w="108" w:type="dxa"/>
          </w:tblCellMar>
        </w:tblPrEx>
        <w:trPr>
          <w:wBefore w:w="0" w:type="auto"/>
        </w:trPr>
        <w:tc>
          <w:tcPr>
            <w:tcW w:w="35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审计报告标题</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审计报告</w:t>
            </w:r>
          </w:p>
        </w:tc>
      </w:tr>
      <w:tr>
        <w:tblPrEx>
          <w:tblCellMar>
            <w:top w:w="0" w:type="dxa"/>
            <w:left w:w="108" w:type="dxa"/>
            <w:bottom w:w="0" w:type="dxa"/>
            <w:right w:w="108" w:type="dxa"/>
          </w:tblCellMar>
        </w:tblPrEx>
        <w:trPr>
          <w:wBefore w:w="0" w:type="auto"/>
        </w:trPr>
        <w:tc>
          <w:tcPr>
            <w:tcW w:w="35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审计报告收件人</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创金合信鑫动力灵活配置混合型证券投资基金全体基金份额持有人</w:t>
            </w:r>
          </w:p>
        </w:tc>
      </w:tr>
      <w:tr>
        <w:tblPrEx>
          <w:tblCellMar>
            <w:top w:w="0" w:type="dxa"/>
            <w:left w:w="108" w:type="dxa"/>
            <w:bottom w:w="0" w:type="dxa"/>
            <w:right w:w="108" w:type="dxa"/>
          </w:tblCellMar>
        </w:tblPrEx>
        <w:trPr>
          <w:wBefore w:w="0" w:type="auto"/>
        </w:trPr>
        <w:tc>
          <w:tcPr>
            <w:tcW w:w="35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引言段</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我们审计了后附的创金合信鑫动力灵活配置混合型证券投资基金</w:t>
            </w:r>
            <w:r>
              <w:rPr>
                <w:rFonts w:ascii="Times New Roman" w:hAnsi="Times New Roman"/>
                <w:color w:val="000000"/>
                <w:kern w:val="0"/>
                <w:sz w:val="24"/>
                <w:szCs w:val="24"/>
              </w:rPr>
              <w:t>(</w:t>
            </w:r>
            <w:r>
              <w:rPr>
                <w:rFonts w:hint="eastAsia" w:ascii="Times New Roman" w:hAnsi="Times New Roman"/>
                <w:color w:val="000000"/>
                <w:kern w:val="0"/>
                <w:sz w:val="24"/>
                <w:szCs w:val="24"/>
              </w:rPr>
              <w:t>以下简称</w:t>
            </w:r>
            <w:r>
              <w:rPr>
                <w:rFonts w:ascii="Times New Roman" w:hAnsi="Times New Roman"/>
                <w:color w:val="000000"/>
                <w:kern w:val="0"/>
                <w:sz w:val="24"/>
                <w:szCs w:val="24"/>
              </w:rPr>
              <w:t>"</w:t>
            </w:r>
            <w:r>
              <w:rPr>
                <w:rFonts w:hint="eastAsia" w:ascii="Times New Roman" w:hAnsi="Times New Roman"/>
                <w:color w:val="000000"/>
                <w:kern w:val="0"/>
                <w:sz w:val="24"/>
                <w:szCs w:val="24"/>
              </w:rPr>
              <w:t>创金合信鑫动力混合基金</w:t>
            </w:r>
            <w:r>
              <w:rPr>
                <w:rFonts w:ascii="Times New Roman" w:hAnsi="Times New Roman"/>
                <w:color w:val="000000"/>
                <w:kern w:val="0"/>
                <w:sz w:val="24"/>
                <w:szCs w:val="24"/>
              </w:rPr>
              <w:t>")</w:t>
            </w:r>
            <w:r>
              <w:rPr>
                <w:rFonts w:hint="eastAsia" w:ascii="Times New Roman" w:hAnsi="Times New Roman"/>
                <w:color w:val="000000"/>
                <w:kern w:val="0"/>
                <w:sz w:val="24"/>
                <w:szCs w:val="24"/>
              </w:rPr>
              <w:t>的财务报表，包括</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日的资产负债表、</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8</w:t>
            </w:r>
            <w:r>
              <w:rPr>
                <w:rFonts w:hint="eastAsia" w:ascii="Times New Roman" w:hAnsi="Times New Roman"/>
                <w:color w:val="000000"/>
                <w:kern w:val="0"/>
                <w:sz w:val="24"/>
                <w:szCs w:val="24"/>
              </w:rPr>
              <w:t>月</w:t>
            </w:r>
            <w:r>
              <w:rPr>
                <w:rFonts w:ascii="Times New Roman" w:hAnsi="Times New Roman"/>
                <w:color w:val="000000"/>
                <w:kern w:val="0"/>
                <w:sz w:val="24"/>
                <w:szCs w:val="24"/>
              </w:rPr>
              <w:t>30</w:t>
            </w:r>
            <w:r>
              <w:rPr>
                <w:rFonts w:hint="eastAsia" w:ascii="Times New Roman" w:hAnsi="Times New Roman"/>
                <w:color w:val="000000"/>
                <w:kern w:val="0"/>
                <w:sz w:val="24"/>
                <w:szCs w:val="24"/>
              </w:rPr>
              <w:t>日</w:t>
            </w:r>
            <w:r>
              <w:rPr>
                <w:rFonts w:ascii="Times New Roman" w:hAnsi="Times New Roman"/>
                <w:color w:val="000000"/>
                <w:kern w:val="0"/>
                <w:sz w:val="24"/>
                <w:szCs w:val="24"/>
              </w:rPr>
              <w:t>(</w:t>
            </w:r>
            <w:r>
              <w:rPr>
                <w:rFonts w:hint="eastAsia" w:ascii="Times New Roman" w:hAnsi="Times New Roman"/>
                <w:color w:val="000000"/>
                <w:kern w:val="0"/>
                <w:sz w:val="24"/>
                <w:szCs w:val="24"/>
              </w:rPr>
              <w:t>基金合同生效日</w:t>
            </w:r>
            <w:r>
              <w:rPr>
                <w:rFonts w:ascii="Times New Roman" w:hAnsi="Times New Roman"/>
                <w:color w:val="000000"/>
                <w:kern w:val="0"/>
                <w:sz w:val="24"/>
                <w:szCs w:val="24"/>
              </w:rPr>
              <w:t>)</w:t>
            </w:r>
            <w:r>
              <w:rPr>
                <w:rFonts w:hint="eastAsia" w:ascii="Times New Roman" w:hAnsi="Times New Roman"/>
                <w:color w:val="000000"/>
                <w:kern w:val="0"/>
                <w:sz w:val="24"/>
                <w:szCs w:val="24"/>
              </w:rPr>
              <w:t>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日止期间的利润表和所有者权益</w:t>
            </w:r>
            <w:r>
              <w:rPr>
                <w:rFonts w:ascii="Times New Roman" w:hAnsi="Times New Roman"/>
                <w:color w:val="000000"/>
                <w:kern w:val="0"/>
                <w:sz w:val="24"/>
                <w:szCs w:val="24"/>
              </w:rPr>
              <w:t>(</w:t>
            </w:r>
            <w:r>
              <w:rPr>
                <w:rFonts w:hint="eastAsia" w:ascii="Times New Roman" w:hAnsi="Times New Roman"/>
                <w:color w:val="000000"/>
                <w:kern w:val="0"/>
                <w:sz w:val="24"/>
                <w:szCs w:val="24"/>
              </w:rPr>
              <w:t>基金净值</w:t>
            </w:r>
            <w:r>
              <w:rPr>
                <w:rFonts w:ascii="Times New Roman" w:hAnsi="Times New Roman"/>
                <w:color w:val="000000"/>
                <w:kern w:val="0"/>
                <w:sz w:val="24"/>
                <w:szCs w:val="24"/>
              </w:rPr>
              <w:t>)</w:t>
            </w:r>
            <w:r>
              <w:rPr>
                <w:rFonts w:hint="eastAsia" w:ascii="Times New Roman" w:hAnsi="Times New Roman"/>
                <w:color w:val="000000"/>
                <w:kern w:val="0"/>
                <w:sz w:val="24"/>
                <w:szCs w:val="24"/>
              </w:rPr>
              <w:t>变动表以及财务报表附注。</w:t>
            </w:r>
          </w:p>
        </w:tc>
      </w:tr>
      <w:tr>
        <w:tblPrEx>
          <w:tblCellMar>
            <w:top w:w="0" w:type="dxa"/>
            <w:left w:w="108" w:type="dxa"/>
            <w:bottom w:w="0" w:type="dxa"/>
            <w:right w:w="108" w:type="dxa"/>
          </w:tblCellMar>
        </w:tblPrEx>
        <w:trPr>
          <w:wBefore w:w="0" w:type="auto"/>
        </w:trPr>
        <w:tc>
          <w:tcPr>
            <w:tcW w:w="35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管理层对财务报表的责任段</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编制和公允列报财务报表是创金合信鑫动力混合基金的基金管理人创金合信基金管理有限公司管理层的责任。这种责任包括：</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w:t>
            </w:r>
            <w:r>
              <w:rPr>
                <w:rFonts w:hint="eastAsia" w:ascii="Times New Roman" w:hAnsi="Times New Roman"/>
                <w:color w:val="000000"/>
                <w:kern w:val="0"/>
                <w:sz w:val="24"/>
                <w:szCs w:val="24"/>
              </w:rPr>
              <w:t>按照企业会计准则和中国证券监督管理委员会</w:t>
            </w:r>
            <w:r>
              <w:rPr>
                <w:rFonts w:ascii="Times New Roman" w:hAnsi="Times New Roman"/>
                <w:color w:val="000000"/>
                <w:kern w:val="0"/>
                <w:sz w:val="24"/>
                <w:szCs w:val="24"/>
              </w:rPr>
              <w:t>(</w:t>
            </w:r>
            <w:r>
              <w:rPr>
                <w:rFonts w:hint="eastAsia" w:ascii="Times New Roman" w:hAnsi="Times New Roman"/>
                <w:color w:val="000000"/>
                <w:kern w:val="0"/>
                <w:sz w:val="24"/>
                <w:szCs w:val="24"/>
              </w:rPr>
              <w:t>以下简称</w:t>
            </w:r>
            <w:r>
              <w:rPr>
                <w:rFonts w:ascii="Times New Roman" w:hAnsi="Times New Roman"/>
                <w:color w:val="000000"/>
                <w:kern w:val="0"/>
                <w:sz w:val="24"/>
                <w:szCs w:val="24"/>
              </w:rPr>
              <w:t>"</w:t>
            </w:r>
            <w:r>
              <w:rPr>
                <w:rFonts w:hint="eastAsia" w:ascii="Times New Roman" w:hAnsi="Times New Roman"/>
                <w:color w:val="000000"/>
                <w:kern w:val="0"/>
                <w:sz w:val="24"/>
                <w:szCs w:val="24"/>
              </w:rPr>
              <w:t>中国证监会</w:t>
            </w:r>
            <w:r>
              <w:rPr>
                <w:rFonts w:ascii="Times New Roman" w:hAnsi="Times New Roman"/>
                <w:color w:val="000000"/>
                <w:kern w:val="0"/>
                <w:sz w:val="24"/>
                <w:szCs w:val="24"/>
              </w:rPr>
              <w:t>")</w:t>
            </w:r>
            <w:r>
              <w:rPr>
                <w:rFonts w:hint="eastAsia" w:ascii="Times New Roman" w:hAnsi="Times New Roman"/>
                <w:color w:val="000000"/>
                <w:kern w:val="0"/>
                <w:sz w:val="24"/>
                <w:szCs w:val="24"/>
              </w:rPr>
              <w:t>、中国证券投资基金业协会</w:t>
            </w:r>
            <w:r>
              <w:rPr>
                <w:rFonts w:ascii="Times New Roman" w:hAnsi="Times New Roman"/>
                <w:color w:val="000000"/>
                <w:kern w:val="0"/>
                <w:sz w:val="24"/>
                <w:szCs w:val="24"/>
              </w:rPr>
              <w:t>(</w:t>
            </w:r>
            <w:r>
              <w:rPr>
                <w:rFonts w:hint="eastAsia" w:ascii="Times New Roman" w:hAnsi="Times New Roman"/>
                <w:color w:val="000000"/>
                <w:kern w:val="0"/>
                <w:sz w:val="24"/>
                <w:szCs w:val="24"/>
              </w:rPr>
              <w:t>以下简称</w:t>
            </w:r>
            <w:r>
              <w:rPr>
                <w:rFonts w:ascii="Times New Roman" w:hAnsi="Times New Roman"/>
                <w:color w:val="000000"/>
                <w:kern w:val="0"/>
                <w:sz w:val="24"/>
                <w:szCs w:val="24"/>
              </w:rPr>
              <w:t>"</w:t>
            </w:r>
            <w:r>
              <w:rPr>
                <w:rFonts w:hint="eastAsia" w:ascii="Times New Roman" w:hAnsi="Times New Roman"/>
                <w:color w:val="000000"/>
                <w:kern w:val="0"/>
                <w:sz w:val="24"/>
                <w:szCs w:val="24"/>
              </w:rPr>
              <w:t>中国基金业协会</w:t>
            </w:r>
            <w:r>
              <w:rPr>
                <w:rFonts w:ascii="Times New Roman" w:hAnsi="Times New Roman"/>
                <w:color w:val="000000"/>
                <w:kern w:val="0"/>
                <w:sz w:val="24"/>
                <w:szCs w:val="24"/>
              </w:rPr>
              <w:t>")</w:t>
            </w:r>
            <w:r>
              <w:rPr>
                <w:rFonts w:hint="eastAsia" w:ascii="Times New Roman" w:hAnsi="Times New Roman"/>
                <w:color w:val="000000"/>
                <w:kern w:val="0"/>
                <w:sz w:val="24"/>
                <w:szCs w:val="24"/>
              </w:rPr>
              <w:t>发布的有关规定及允许的基金行业实务操作编制财务报表，并使其实现公允反映；</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(2)</w:t>
            </w:r>
            <w:r>
              <w:rPr>
                <w:rFonts w:hint="eastAsia" w:ascii="Times New Roman" w:hAnsi="Times New Roman"/>
                <w:color w:val="000000"/>
                <w:kern w:val="0"/>
                <w:sz w:val="24"/>
                <w:szCs w:val="24"/>
              </w:rPr>
              <w:t>设计、执行和维护必要的内部控制，以使财务报表不存在由于舞弊或错误导致的重大错报。</w:t>
            </w:r>
          </w:p>
        </w:tc>
      </w:tr>
      <w:tr>
        <w:tblPrEx>
          <w:tblCellMar>
            <w:top w:w="0" w:type="dxa"/>
            <w:left w:w="108" w:type="dxa"/>
            <w:bottom w:w="0" w:type="dxa"/>
            <w:right w:w="108" w:type="dxa"/>
          </w:tblCellMar>
        </w:tblPrEx>
        <w:trPr>
          <w:wBefore w:w="0" w:type="auto"/>
        </w:trPr>
        <w:tc>
          <w:tcPr>
            <w:tcW w:w="35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注册会计师的责任段</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我们的责任是在执行审计工作的基础上对财务报表发表审计意见。我们按照中国注册会计师审计准则的规定执行了审计工作。中国注册会计师审计准则要求我们遵守中国注册会计师职业道德守则，计划和执行审计工作以对财务报表是否不存在重大错报获取合理保证。</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工作涉及实施审计程序，以获取有关财务报表金额和披露的审计证据。选择的审计程序取决于注册会计师的判断，包括对由于舞弊或错误导致的财务报表重大错报风险的评估。在进行风险评估时，注册会计师考虑与财务报表编制和公允列报相关的内部控制，以设计恰当的审计程序，但目的并非对内部控制的有效性发表意见。审计工作还包括评价管理层选用会计政策的恰当性和作出会计估计的合理性，以及评价财务报表的总体列报。我们相信，我们获取的审计证据是充分、适当的，为发表审计意见提供了基础。</w:t>
            </w:r>
          </w:p>
        </w:tc>
      </w:tr>
      <w:tr>
        <w:tblPrEx>
          <w:tblCellMar>
            <w:top w:w="0" w:type="dxa"/>
            <w:left w:w="108" w:type="dxa"/>
            <w:bottom w:w="0" w:type="dxa"/>
            <w:right w:w="108" w:type="dxa"/>
          </w:tblCellMar>
        </w:tblPrEx>
        <w:trPr>
          <w:wBefore w:w="0" w:type="auto"/>
        </w:trPr>
        <w:tc>
          <w:tcPr>
            <w:tcW w:w="35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审计意见段</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我们认为，上述创金合信鑫动力混合基金的财务报表在所有重大方面按照企业会计准则和在财务报表附注中所列示的中国证监会、中国基金业协会发布的有关规定及允许的基金行业实务操作编制，公允反映了创金合信鑫动力混合基金</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日的财务状况以及</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8</w:t>
            </w:r>
            <w:r>
              <w:rPr>
                <w:rFonts w:hint="eastAsia" w:ascii="Times New Roman" w:hAnsi="Times New Roman"/>
                <w:color w:val="000000"/>
                <w:kern w:val="0"/>
                <w:sz w:val="24"/>
                <w:szCs w:val="24"/>
              </w:rPr>
              <w:t>月</w:t>
            </w:r>
            <w:r>
              <w:rPr>
                <w:rFonts w:ascii="Times New Roman" w:hAnsi="Times New Roman"/>
                <w:color w:val="000000"/>
                <w:kern w:val="0"/>
                <w:sz w:val="24"/>
                <w:szCs w:val="24"/>
              </w:rPr>
              <w:t>30</w:t>
            </w:r>
            <w:r>
              <w:rPr>
                <w:rFonts w:hint="eastAsia" w:ascii="Times New Roman" w:hAnsi="Times New Roman"/>
                <w:color w:val="000000"/>
                <w:kern w:val="0"/>
                <w:sz w:val="24"/>
                <w:szCs w:val="24"/>
              </w:rPr>
              <w:t>日</w:t>
            </w:r>
            <w:r>
              <w:rPr>
                <w:rFonts w:ascii="Times New Roman" w:hAnsi="Times New Roman"/>
                <w:color w:val="000000"/>
                <w:kern w:val="0"/>
                <w:sz w:val="24"/>
                <w:szCs w:val="24"/>
              </w:rPr>
              <w:t>(</w:t>
            </w:r>
            <w:r>
              <w:rPr>
                <w:rFonts w:hint="eastAsia" w:ascii="Times New Roman" w:hAnsi="Times New Roman"/>
                <w:color w:val="000000"/>
                <w:kern w:val="0"/>
                <w:sz w:val="24"/>
                <w:szCs w:val="24"/>
              </w:rPr>
              <w:t>基金合同生效日</w:t>
            </w:r>
            <w:r>
              <w:rPr>
                <w:rFonts w:ascii="Times New Roman" w:hAnsi="Times New Roman"/>
                <w:color w:val="000000"/>
                <w:kern w:val="0"/>
                <w:sz w:val="24"/>
                <w:szCs w:val="24"/>
              </w:rPr>
              <w:t>)</w:t>
            </w:r>
            <w:r>
              <w:rPr>
                <w:rFonts w:hint="eastAsia" w:ascii="Times New Roman" w:hAnsi="Times New Roman"/>
                <w:color w:val="000000"/>
                <w:kern w:val="0"/>
                <w:sz w:val="24"/>
                <w:szCs w:val="24"/>
              </w:rPr>
              <w:t>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日止期间的经营成果和基金净值变动情况。</w:t>
            </w:r>
          </w:p>
        </w:tc>
      </w:tr>
      <w:tr>
        <w:tblPrEx>
          <w:tblCellMar>
            <w:top w:w="0" w:type="dxa"/>
            <w:left w:w="108" w:type="dxa"/>
            <w:bottom w:w="0" w:type="dxa"/>
            <w:right w:w="108" w:type="dxa"/>
          </w:tblCellMar>
        </w:tblPrEx>
        <w:trPr>
          <w:wBefore w:w="0" w:type="auto"/>
        </w:trPr>
        <w:tc>
          <w:tcPr>
            <w:tcW w:w="35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注册会计师的姓名</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曹翠丽</w:t>
            </w: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边晓红</w:t>
            </w:r>
            <w:r>
              <w:rPr>
                <w:rFonts w:ascii="Times New Roman" w:hAnsi="Times New Roman"/>
                <w:color w:val="000000"/>
                <w:kern w:val="0"/>
                <w:sz w:val="24"/>
                <w:szCs w:val="24"/>
              </w:rPr>
              <w:t xml:space="preserve"> </w:t>
            </w:r>
          </w:p>
        </w:tc>
      </w:tr>
      <w:tr>
        <w:tblPrEx>
          <w:tblCellMar>
            <w:top w:w="0" w:type="dxa"/>
            <w:left w:w="108" w:type="dxa"/>
            <w:bottom w:w="0" w:type="dxa"/>
            <w:right w:w="108" w:type="dxa"/>
          </w:tblCellMar>
        </w:tblPrEx>
        <w:trPr>
          <w:wBefore w:w="0" w:type="auto"/>
        </w:trPr>
        <w:tc>
          <w:tcPr>
            <w:tcW w:w="35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会计师事务所的名称</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普华永道中天会计师事务所（特殊普通合伙）</w:t>
            </w:r>
          </w:p>
        </w:tc>
      </w:tr>
      <w:tr>
        <w:tblPrEx>
          <w:tblCellMar>
            <w:top w:w="0" w:type="dxa"/>
            <w:left w:w="108" w:type="dxa"/>
            <w:bottom w:w="0" w:type="dxa"/>
            <w:right w:w="108" w:type="dxa"/>
          </w:tblCellMar>
        </w:tblPrEx>
        <w:trPr>
          <w:wBefore w:w="0" w:type="auto"/>
        </w:trPr>
        <w:tc>
          <w:tcPr>
            <w:tcW w:w="35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会计师事务所的地址</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上海市黄浦区湖滨路</w:t>
            </w:r>
            <w:r>
              <w:rPr>
                <w:rFonts w:ascii="Times New Roman" w:hAnsi="Times New Roman"/>
                <w:color w:val="000000"/>
                <w:kern w:val="0"/>
                <w:sz w:val="24"/>
                <w:szCs w:val="24"/>
              </w:rPr>
              <w:t>202</w:t>
            </w:r>
            <w:r>
              <w:rPr>
                <w:rFonts w:hint="eastAsia" w:ascii="Times New Roman" w:hAnsi="Times New Roman"/>
                <w:color w:val="000000"/>
                <w:kern w:val="0"/>
                <w:sz w:val="24"/>
                <w:szCs w:val="24"/>
              </w:rPr>
              <w:t>号普华永道中心</w:t>
            </w:r>
            <w:r>
              <w:rPr>
                <w:rFonts w:ascii="Times New Roman" w:hAnsi="Times New Roman"/>
                <w:color w:val="000000"/>
                <w:kern w:val="0"/>
                <w:sz w:val="24"/>
                <w:szCs w:val="24"/>
              </w:rPr>
              <w:t>11</w:t>
            </w:r>
            <w:r>
              <w:rPr>
                <w:rFonts w:hint="eastAsia" w:ascii="Times New Roman" w:hAnsi="Times New Roman"/>
                <w:color w:val="000000"/>
                <w:kern w:val="0"/>
                <w:sz w:val="24"/>
                <w:szCs w:val="24"/>
              </w:rPr>
              <w:t>楼</w:t>
            </w:r>
          </w:p>
        </w:tc>
      </w:tr>
      <w:tr>
        <w:tblPrEx>
          <w:tblCellMar>
            <w:top w:w="0" w:type="dxa"/>
            <w:left w:w="108" w:type="dxa"/>
            <w:bottom w:w="0" w:type="dxa"/>
            <w:right w:w="108" w:type="dxa"/>
          </w:tblCellMar>
        </w:tblPrEx>
        <w:trPr>
          <w:wBefore w:w="0" w:type="auto"/>
        </w:trPr>
        <w:tc>
          <w:tcPr>
            <w:tcW w:w="35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审计报告日期</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2017-03-23</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center"/>
        <w:outlineLvl w:val="0"/>
        <w:rPr>
          <w:rFonts w:ascii="Times New Roman" w:hAnsi="Times New Roman"/>
          <w:b/>
          <w:color w:val="000000"/>
          <w:kern w:val="0"/>
          <w:sz w:val="24"/>
          <w:szCs w:val="24"/>
        </w:rPr>
      </w:pPr>
      <w:bookmarkStart w:id="25" w:name="_Toc477955736"/>
      <w:r>
        <w:rPr>
          <w:rFonts w:hint="eastAsia" w:ascii="Times New Roman" w:hAnsi="Times New Roman"/>
          <w:b/>
          <w:color w:val="000000"/>
          <w:kern w:val="0"/>
          <w:sz w:val="24"/>
          <w:szCs w:val="24"/>
        </w:rPr>
        <w:t>§</w:t>
      </w:r>
      <w:r>
        <w:rPr>
          <w:rFonts w:ascii="Times New Roman" w:hAnsi="Times New Roman"/>
          <w:b/>
          <w:color w:val="000000"/>
          <w:kern w:val="0"/>
          <w:sz w:val="24"/>
          <w:szCs w:val="24"/>
        </w:rPr>
        <w:t xml:space="preserve">7 </w:t>
      </w:r>
      <w:r>
        <w:rPr>
          <w:rFonts w:hint="eastAsia" w:ascii="Times New Roman" w:hAnsi="Times New Roman"/>
          <w:b/>
          <w:color w:val="000000"/>
          <w:kern w:val="0"/>
          <w:sz w:val="24"/>
          <w:szCs w:val="24"/>
        </w:rPr>
        <w:t>年度财务报表</w:t>
      </w:r>
      <w:bookmarkEnd w:id="25"/>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26" w:name="_Toc477955737"/>
      <w:r>
        <w:rPr>
          <w:rFonts w:ascii="Times New Roman" w:hAnsi="Times New Roman"/>
          <w:b/>
          <w:color w:val="000000"/>
          <w:kern w:val="0"/>
          <w:sz w:val="24"/>
          <w:szCs w:val="24"/>
        </w:rPr>
        <w:t xml:space="preserve">7.1 </w:t>
      </w:r>
      <w:r>
        <w:rPr>
          <w:rFonts w:hint="eastAsia" w:ascii="Times New Roman" w:hAnsi="Times New Roman"/>
          <w:b/>
          <w:color w:val="000000"/>
          <w:kern w:val="0"/>
          <w:sz w:val="24"/>
          <w:szCs w:val="24"/>
        </w:rPr>
        <w:t>资产负债表</w:t>
      </w:r>
      <w:bookmarkEnd w:id="26"/>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会计主体：创金合信鑫动力灵活配置混合型证券投资基金</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报告截止日：</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10"/>
        <w:tblW w:w="0" w:type="auto"/>
        <w:tblInd w:w="108" w:type="dxa"/>
        <w:tblLayout w:type="fixed"/>
        <w:tblCellMar>
          <w:top w:w="0" w:type="dxa"/>
          <w:left w:w="108" w:type="dxa"/>
          <w:bottom w:w="0" w:type="dxa"/>
          <w:right w:w="108" w:type="dxa"/>
        </w:tblCellMar>
      </w:tblPr>
      <w:tblGrid>
        <w:gridCol w:w="2829"/>
        <w:gridCol w:w="1084"/>
        <w:gridCol w:w="5112"/>
      </w:tblGrid>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color w:val="000000"/>
                <w:kern w:val="0"/>
                <w:sz w:val="24"/>
                <w:szCs w:val="24"/>
              </w:rPr>
            </w:pPr>
            <w:r>
              <w:rPr>
                <w:rFonts w:hint="eastAsia" w:ascii="Times New Roman" w:hAnsi="Times New Roman"/>
                <w:b/>
                <w:color w:val="000000"/>
                <w:kern w:val="0"/>
                <w:sz w:val="24"/>
                <w:szCs w:val="24"/>
              </w:rPr>
              <w:t>资</w:t>
            </w:r>
            <w:r>
              <w:rPr>
                <w:rFonts w:ascii="Times New Roman" w:hAnsi="Times New Roman"/>
                <w:b/>
                <w:color w:val="000000"/>
                <w:kern w:val="0"/>
                <w:sz w:val="24"/>
                <w:szCs w:val="24"/>
              </w:rPr>
              <w:t xml:space="preserve"> </w:t>
            </w:r>
            <w:r>
              <w:rPr>
                <w:rFonts w:hint="eastAsia" w:ascii="Times New Roman" w:hAnsi="Times New Roman"/>
                <w:b/>
                <w:color w:val="000000"/>
                <w:kern w:val="0"/>
                <w:sz w:val="24"/>
                <w:szCs w:val="24"/>
              </w:rPr>
              <w:t>产</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color w:val="000000"/>
                <w:kern w:val="0"/>
                <w:sz w:val="24"/>
                <w:szCs w:val="24"/>
              </w:rPr>
            </w:pPr>
            <w:r>
              <w:rPr>
                <w:rFonts w:hint="eastAsia" w:ascii="Times New Roman" w:hAnsi="Times New Roman"/>
                <w:b/>
                <w:color w:val="000000"/>
                <w:kern w:val="0"/>
                <w:sz w:val="24"/>
                <w:szCs w:val="24"/>
              </w:rPr>
              <w:t>附注号</w:t>
            </w: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本期末</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b/>
                <w:color w:val="000000"/>
                <w:kern w:val="0"/>
                <w:sz w:val="24"/>
                <w:szCs w:val="24"/>
              </w:rPr>
            </w:pPr>
            <w:r>
              <w:rPr>
                <w:rFonts w:hint="eastAsia" w:ascii="Times New Roman" w:hAnsi="Times New Roman"/>
                <w:b/>
                <w:color w:val="000000"/>
                <w:kern w:val="0"/>
                <w:sz w:val="24"/>
                <w:szCs w:val="24"/>
              </w:rPr>
              <w:t>资</w:t>
            </w:r>
            <w:r>
              <w:rPr>
                <w:rFonts w:ascii="Times New Roman" w:hAnsi="Times New Roman"/>
                <w:b/>
                <w:color w:val="000000"/>
                <w:kern w:val="0"/>
                <w:sz w:val="24"/>
                <w:szCs w:val="24"/>
              </w:rPr>
              <w:t xml:space="preserve"> </w:t>
            </w:r>
            <w:r>
              <w:rPr>
                <w:rFonts w:hint="eastAsia" w:ascii="Times New Roman" w:hAnsi="Times New Roman"/>
                <w:b/>
                <w:color w:val="000000"/>
                <w:kern w:val="0"/>
                <w:sz w:val="24"/>
                <w:szCs w:val="24"/>
              </w:rPr>
              <w:t>产：</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银行存款</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w:t>
            </w: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21,104,169.43</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结算备付金</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3,260,186.65</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存出保证金</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141,348.67</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交易性金融资产</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7.4.7.2</w:t>
            </w: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1,006,616,698.41</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其中：股票投资</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44,905,328.81</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基金投资</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债券投资</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961,711,369.60</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资产支持证券投资</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贵金属投资</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衍生金融资产</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7.4.7.3</w:t>
            </w: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买入返售金融资产</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7.4.7.4</w:t>
            </w: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应收证券清算款</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6,357,114.48</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应收利息</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7.4.7.5</w:t>
            </w: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18,104,008.88</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应收股利</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应收申购款</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递延所得税资产</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其他资产</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7.4.7.6</w:t>
            </w: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资产总计</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1,055,583,526.52</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color w:val="000000"/>
                <w:kern w:val="0"/>
                <w:sz w:val="24"/>
                <w:szCs w:val="24"/>
              </w:rPr>
            </w:pPr>
            <w:r>
              <w:rPr>
                <w:rFonts w:hint="eastAsia" w:ascii="Times New Roman" w:hAnsi="Times New Roman"/>
                <w:b/>
                <w:color w:val="000000"/>
                <w:kern w:val="0"/>
                <w:sz w:val="24"/>
                <w:szCs w:val="24"/>
              </w:rPr>
              <w:t>负债和所有者权益</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color w:val="000000"/>
                <w:kern w:val="0"/>
                <w:sz w:val="24"/>
                <w:szCs w:val="24"/>
              </w:rPr>
            </w:pPr>
            <w:r>
              <w:rPr>
                <w:rFonts w:hint="eastAsia" w:ascii="Times New Roman" w:hAnsi="Times New Roman"/>
                <w:b/>
                <w:color w:val="000000"/>
                <w:kern w:val="0"/>
                <w:sz w:val="24"/>
                <w:szCs w:val="24"/>
              </w:rPr>
              <w:t>附注号</w:t>
            </w: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本期末</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b/>
                <w:color w:val="000000"/>
                <w:kern w:val="0"/>
                <w:sz w:val="24"/>
                <w:szCs w:val="24"/>
              </w:rPr>
            </w:pPr>
            <w:r>
              <w:rPr>
                <w:rFonts w:hint="eastAsia" w:ascii="Times New Roman" w:hAnsi="Times New Roman"/>
                <w:b/>
                <w:color w:val="000000"/>
                <w:kern w:val="0"/>
                <w:sz w:val="24"/>
                <w:szCs w:val="24"/>
              </w:rPr>
              <w:t>负</w:t>
            </w:r>
            <w:r>
              <w:rPr>
                <w:rFonts w:ascii="Times New Roman" w:hAnsi="Times New Roman"/>
                <w:b/>
                <w:color w:val="000000"/>
                <w:kern w:val="0"/>
                <w:sz w:val="24"/>
                <w:szCs w:val="24"/>
              </w:rPr>
              <w:t xml:space="preserve"> </w:t>
            </w:r>
            <w:r>
              <w:rPr>
                <w:rFonts w:hint="eastAsia" w:ascii="Times New Roman" w:hAnsi="Times New Roman"/>
                <w:b/>
                <w:color w:val="000000"/>
                <w:kern w:val="0"/>
                <w:sz w:val="24"/>
                <w:szCs w:val="24"/>
              </w:rPr>
              <w:t>债：</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短期借款</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交易性金融负债</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衍生金融负债</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7.4.7.3</w:t>
            </w: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卖出回购金融资产款</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259,749,210.37</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应付证券清算款</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144,908.51</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应付赎回款</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应付管理人报酬</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403,238.93</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应付托管费</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134,412.98</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应付销售服务费</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15.98</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应付交易费用</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7.4.7.7</w:t>
            </w: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187,936.68</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应交税费</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应付利息</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199,655.08</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应付利润</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递延所得税负债</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其他负债</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7.4.7.8</w:t>
            </w: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125,000.00</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负债合计</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260,944,378.53</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b/>
                <w:color w:val="000000"/>
                <w:kern w:val="0"/>
                <w:sz w:val="24"/>
                <w:szCs w:val="24"/>
              </w:rPr>
            </w:pPr>
            <w:r>
              <w:rPr>
                <w:rFonts w:hint="eastAsia" w:ascii="Times New Roman" w:hAnsi="Times New Roman"/>
                <w:b/>
                <w:color w:val="000000"/>
                <w:kern w:val="0"/>
                <w:sz w:val="24"/>
                <w:szCs w:val="24"/>
              </w:rPr>
              <w:t>所有者权益：</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实收基金</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7.4.7.9</w:t>
            </w: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800,197,271.53</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未分配利润</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7.4.7.10</w:t>
            </w: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-5,558,123.54</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所有者权益合计</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794,639,147.99</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负债和所有者权益总计</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1,055,583,526.52</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w:t>
      </w:r>
      <w:r>
        <w:rPr>
          <w:rFonts w:ascii="Times New Roman" w:hAnsi="Times New Roman"/>
          <w:color w:val="000000"/>
          <w:kern w:val="0"/>
          <w:szCs w:val="24"/>
        </w:rPr>
        <w:t>1.</w:t>
      </w:r>
      <w:r>
        <w:rPr>
          <w:rFonts w:hint="eastAsia" w:ascii="Times New Roman" w:hAnsi="Times New Roman"/>
          <w:color w:val="000000"/>
          <w:kern w:val="0"/>
          <w:szCs w:val="24"/>
        </w:rPr>
        <w:t>报告截止日</w:t>
      </w:r>
      <w:r>
        <w:rPr>
          <w:rFonts w:ascii="Times New Roman" w:hAnsi="Times New Roman"/>
          <w:color w:val="000000"/>
          <w:kern w:val="0"/>
          <w:szCs w:val="24"/>
        </w:rPr>
        <w:t>2016</w:t>
      </w:r>
      <w:r>
        <w:rPr>
          <w:rFonts w:hint="eastAsia" w:ascii="Times New Roman" w:hAnsi="Times New Roman"/>
          <w:color w:val="000000"/>
          <w:kern w:val="0"/>
          <w:szCs w:val="24"/>
        </w:rPr>
        <w:t>年</w:t>
      </w:r>
      <w:r>
        <w:rPr>
          <w:rFonts w:ascii="Times New Roman" w:hAnsi="Times New Roman"/>
          <w:color w:val="000000"/>
          <w:kern w:val="0"/>
          <w:szCs w:val="24"/>
        </w:rPr>
        <w:t>12</w:t>
      </w:r>
      <w:r>
        <w:rPr>
          <w:rFonts w:hint="eastAsia" w:ascii="Times New Roman" w:hAnsi="Times New Roman"/>
          <w:color w:val="000000"/>
          <w:kern w:val="0"/>
          <w:szCs w:val="24"/>
        </w:rPr>
        <w:t>月</w:t>
      </w:r>
      <w:r>
        <w:rPr>
          <w:rFonts w:ascii="Times New Roman" w:hAnsi="Times New Roman"/>
          <w:color w:val="000000"/>
          <w:kern w:val="0"/>
          <w:szCs w:val="24"/>
        </w:rPr>
        <w:t>31</w:t>
      </w:r>
      <w:r>
        <w:rPr>
          <w:rFonts w:hint="eastAsia" w:ascii="Times New Roman" w:hAnsi="Times New Roman"/>
          <w:color w:val="000000"/>
          <w:kern w:val="0"/>
          <w:szCs w:val="24"/>
        </w:rPr>
        <w:t>日，基金份额总额</w:t>
      </w:r>
      <w:r>
        <w:rPr>
          <w:rFonts w:ascii="Times New Roman" w:hAnsi="Times New Roman"/>
          <w:color w:val="000000"/>
          <w:kern w:val="0"/>
          <w:szCs w:val="24"/>
        </w:rPr>
        <w:t>800,197,271.53</w:t>
      </w:r>
      <w:r>
        <w:rPr>
          <w:rFonts w:hint="eastAsia" w:ascii="Times New Roman" w:hAnsi="Times New Roman"/>
          <w:color w:val="000000"/>
          <w:kern w:val="0"/>
          <w:szCs w:val="24"/>
        </w:rPr>
        <w:t>份，其中下属</w:t>
      </w:r>
      <w:r>
        <w:rPr>
          <w:rFonts w:ascii="Times New Roman" w:hAnsi="Times New Roman"/>
          <w:color w:val="000000"/>
          <w:kern w:val="0"/>
          <w:szCs w:val="24"/>
        </w:rPr>
        <w:t>A</w:t>
      </w:r>
      <w:r>
        <w:rPr>
          <w:rFonts w:hint="eastAsia" w:ascii="Times New Roman" w:hAnsi="Times New Roman"/>
          <w:color w:val="000000"/>
          <w:kern w:val="0"/>
          <w:szCs w:val="24"/>
        </w:rPr>
        <w:t>类基金份额</w:t>
      </w:r>
      <w:r>
        <w:rPr>
          <w:rFonts w:ascii="Times New Roman" w:hAnsi="Times New Roman"/>
          <w:color w:val="000000"/>
          <w:kern w:val="0"/>
          <w:szCs w:val="24"/>
        </w:rPr>
        <w:t>800,103,010.10</w:t>
      </w:r>
      <w:r>
        <w:rPr>
          <w:rFonts w:hint="eastAsia" w:ascii="Times New Roman" w:hAnsi="Times New Roman"/>
          <w:color w:val="000000"/>
          <w:kern w:val="0"/>
          <w:szCs w:val="24"/>
        </w:rPr>
        <w:t>份，</w:t>
      </w:r>
      <w:r>
        <w:rPr>
          <w:rFonts w:ascii="Times New Roman" w:hAnsi="Times New Roman"/>
          <w:color w:val="000000"/>
          <w:kern w:val="0"/>
          <w:szCs w:val="24"/>
        </w:rPr>
        <w:t>C</w:t>
      </w:r>
      <w:r>
        <w:rPr>
          <w:rFonts w:hint="eastAsia" w:ascii="Times New Roman" w:hAnsi="Times New Roman"/>
          <w:color w:val="000000"/>
          <w:kern w:val="0"/>
          <w:szCs w:val="24"/>
        </w:rPr>
        <w:t>类基金份额</w:t>
      </w:r>
      <w:r>
        <w:rPr>
          <w:rFonts w:ascii="Times New Roman" w:hAnsi="Times New Roman"/>
          <w:color w:val="000000"/>
          <w:kern w:val="0"/>
          <w:szCs w:val="24"/>
        </w:rPr>
        <w:t>94,261.43</w:t>
      </w:r>
      <w:r>
        <w:rPr>
          <w:rFonts w:hint="eastAsia" w:ascii="Times New Roman" w:hAnsi="Times New Roman"/>
          <w:color w:val="000000"/>
          <w:kern w:val="0"/>
          <w:szCs w:val="24"/>
        </w:rPr>
        <w:t>份。下属</w:t>
      </w:r>
      <w:r>
        <w:rPr>
          <w:rFonts w:ascii="Times New Roman" w:hAnsi="Times New Roman"/>
          <w:color w:val="000000"/>
          <w:kern w:val="0"/>
          <w:szCs w:val="24"/>
        </w:rPr>
        <w:t>A</w:t>
      </w:r>
      <w:r>
        <w:rPr>
          <w:rFonts w:hint="eastAsia" w:ascii="Times New Roman" w:hAnsi="Times New Roman"/>
          <w:color w:val="000000"/>
          <w:kern w:val="0"/>
          <w:szCs w:val="24"/>
        </w:rPr>
        <w:t>类基金份额净值</w:t>
      </w:r>
      <w:r>
        <w:rPr>
          <w:rFonts w:ascii="Times New Roman" w:hAnsi="Times New Roman"/>
          <w:color w:val="000000"/>
          <w:kern w:val="0"/>
          <w:szCs w:val="24"/>
        </w:rPr>
        <w:t>0.993</w:t>
      </w:r>
      <w:r>
        <w:rPr>
          <w:rFonts w:hint="eastAsia" w:ascii="Times New Roman" w:hAnsi="Times New Roman"/>
          <w:color w:val="000000"/>
          <w:kern w:val="0"/>
          <w:szCs w:val="24"/>
        </w:rPr>
        <w:t>元，</w:t>
      </w:r>
      <w:r>
        <w:rPr>
          <w:rFonts w:ascii="Times New Roman" w:hAnsi="Times New Roman"/>
          <w:color w:val="000000"/>
          <w:kern w:val="0"/>
          <w:szCs w:val="24"/>
        </w:rPr>
        <w:t>C</w:t>
      </w:r>
      <w:r>
        <w:rPr>
          <w:rFonts w:hint="eastAsia" w:ascii="Times New Roman" w:hAnsi="Times New Roman"/>
          <w:color w:val="000000"/>
          <w:kern w:val="0"/>
          <w:szCs w:val="24"/>
        </w:rPr>
        <w:t>类基金份额净值</w:t>
      </w:r>
      <w:r>
        <w:rPr>
          <w:rFonts w:ascii="Times New Roman" w:hAnsi="Times New Roman"/>
          <w:color w:val="000000"/>
          <w:kern w:val="0"/>
          <w:szCs w:val="24"/>
        </w:rPr>
        <w:t>0.992</w:t>
      </w:r>
      <w:r>
        <w:rPr>
          <w:rFonts w:hint="eastAsia" w:ascii="Times New Roman" w:hAnsi="Times New Roman"/>
          <w:color w:val="000000"/>
          <w:kern w:val="0"/>
          <w:szCs w:val="24"/>
        </w:rPr>
        <w:t>元。</w:t>
      </w:r>
    </w:p>
    <w:p>
      <w:pPr>
        <w:autoSpaceDE w:val="0"/>
        <w:autoSpaceDN w:val="0"/>
        <w:adjustRightInd w:val="0"/>
        <w:spacing w:before="29" w:line="288" w:lineRule="auto"/>
        <w:ind w:left="15"/>
        <w:jc w:val="left"/>
        <w:rPr>
          <w:rFonts w:ascii="Times New Roman" w:hAnsi="Times New Roman"/>
          <w:color w:val="000000"/>
          <w:kern w:val="0"/>
          <w:szCs w:val="24"/>
        </w:rPr>
      </w:pPr>
      <w:r>
        <w:rPr>
          <w:rFonts w:ascii="Times New Roman" w:hAnsi="Times New Roman"/>
          <w:color w:val="000000"/>
          <w:kern w:val="0"/>
          <w:szCs w:val="24"/>
        </w:rPr>
        <w:t>2.</w:t>
      </w:r>
      <w:r>
        <w:rPr>
          <w:rFonts w:hint="eastAsia" w:ascii="Times New Roman" w:hAnsi="Times New Roman"/>
          <w:color w:val="000000"/>
          <w:kern w:val="0"/>
          <w:szCs w:val="24"/>
        </w:rPr>
        <w:t>本财务报表的实际报告期间为</w:t>
      </w:r>
      <w:r>
        <w:rPr>
          <w:rFonts w:ascii="Times New Roman" w:hAnsi="Times New Roman"/>
          <w:color w:val="000000"/>
          <w:kern w:val="0"/>
          <w:szCs w:val="24"/>
        </w:rPr>
        <w:t>2016</w:t>
      </w:r>
      <w:r>
        <w:rPr>
          <w:rFonts w:hint="eastAsia" w:ascii="Times New Roman" w:hAnsi="Times New Roman"/>
          <w:color w:val="000000"/>
          <w:kern w:val="0"/>
          <w:szCs w:val="24"/>
        </w:rPr>
        <w:t>年</w:t>
      </w:r>
      <w:r>
        <w:rPr>
          <w:rFonts w:ascii="Times New Roman" w:hAnsi="Times New Roman"/>
          <w:color w:val="000000"/>
          <w:kern w:val="0"/>
          <w:szCs w:val="24"/>
        </w:rPr>
        <w:t>8</w:t>
      </w:r>
      <w:r>
        <w:rPr>
          <w:rFonts w:hint="eastAsia" w:ascii="Times New Roman" w:hAnsi="Times New Roman"/>
          <w:color w:val="000000"/>
          <w:kern w:val="0"/>
          <w:szCs w:val="24"/>
        </w:rPr>
        <w:t>月</w:t>
      </w:r>
      <w:r>
        <w:rPr>
          <w:rFonts w:ascii="Times New Roman" w:hAnsi="Times New Roman"/>
          <w:color w:val="000000"/>
          <w:kern w:val="0"/>
          <w:szCs w:val="24"/>
        </w:rPr>
        <w:t>30</w:t>
      </w:r>
      <w:r>
        <w:rPr>
          <w:rFonts w:hint="eastAsia" w:ascii="Times New Roman" w:hAnsi="Times New Roman"/>
          <w:color w:val="000000"/>
          <w:kern w:val="0"/>
          <w:szCs w:val="24"/>
        </w:rPr>
        <w:t>日</w:t>
      </w:r>
      <w:r>
        <w:rPr>
          <w:rFonts w:ascii="Times New Roman" w:hAnsi="Times New Roman"/>
          <w:color w:val="000000"/>
          <w:kern w:val="0"/>
          <w:szCs w:val="24"/>
        </w:rPr>
        <w:t>(</w:t>
      </w:r>
      <w:r>
        <w:rPr>
          <w:rFonts w:hint="eastAsia" w:ascii="Times New Roman" w:hAnsi="Times New Roman"/>
          <w:color w:val="000000"/>
          <w:kern w:val="0"/>
          <w:szCs w:val="24"/>
        </w:rPr>
        <w:t>基金合同生效日</w:t>
      </w:r>
      <w:r>
        <w:rPr>
          <w:rFonts w:ascii="Times New Roman" w:hAnsi="Times New Roman"/>
          <w:color w:val="000000"/>
          <w:kern w:val="0"/>
          <w:szCs w:val="24"/>
        </w:rPr>
        <w:t>)</w:t>
      </w:r>
      <w:r>
        <w:rPr>
          <w:rFonts w:hint="eastAsia" w:ascii="Times New Roman" w:hAnsi="Times New Roman"/>
          <w:color w:val="000000"/>
          <w:kern w:val="0"/>
          <w:szCs w:val="24"/>
        </w:rPr>
        <w:t>至</w:t>
      </w:r>
      <w:r>
        <w:rPr>
          <w:rFonts w:ascii="Times New Roman" w:hAnsi="Times New Roman"/>
          <w:color w:val="000000"/>
          <w:kern w:val="0"/>
          <w:szCs w:val="24"/>
        </w:rPr>
        <w:t>2016</w:t>
      </w:r>
      <w:r>
        <w:rPr>
          <w:rFonts w:hint="eastAsia" w:ascii="Times New Roman" w:hAnsi="Times New Roman"/>
          <w:color w:val="000000"/>
          <w:kern w:val="0"/>
          <w:szCs w:val="24"/>
        </w:rPr>
        <w:t>年</w:t>
      </w:r>
      <w:r>
        <w:rPr>
          <w:rFonts w:ascii="Times New Roman" w:hAnsi="Times New Roman"/>
          <w:color w:val="000000"/>
          <w:kern w:val="0"/>
          <w:szCs w:val="24"/>
        </w:rPr>
        <w:t>12</w:t>
      </w:r>
      <w:r>
        <w:rPr>
          <w:rFonts w:hint="eastAsia" w:ascii="Times New Roman" w:hAnsi="Times New Roman"/>
          <w:color w:val="000000"/>
          <w:kern w:val="0"/>
          <w:szCs w:val="24"/>
        </w:rPr>
        <w:t>月</w:t>
      </w:r>
      <w:r>
        <w:rPr>
          <w:rFonts w:ascii="Times New Roman" w:hAnsi="Times New Roman"/>
          <w:color w:val="000000"/>
          <w:kern w:val="0"/>
          <w:szCs w:val="24"/>
        </w:rPr>
        <w:t>31</w:t>
      </w:r>
      <w:r>
        <w:rPr>
          <w:rFonts w:hint="eastAsia" w:ascii="Times New Roman" w:hAnsi="Times New Roman"/>
          <w:color w:val="000000"/>
          <w:kern w:val="0"/>
          <w:szCs w:val="24"/>
        </w:rPr>
        <w:t>日。截至报告期末本基金合同生效未满</w:t>
      </w:r>
      <w:r>
        <w:rPr>
          <w:rFonts w:ascii="Times New Roman" w:hAnsi="Times New Roman"/>
          <w:color w:val="000000"/>
          <w:kern w:val="0"/>
          <w:szCs w:val="24"/>
        </w:rPr>
        <w:t>1</w:t>
      </w:r>
      <w:r>
        <w:rPr>
          <w:rFonts w:hint="eastAsia" w:ascii="Times New Roman" w:hAnsi="Times New Roman"/>
          <w:color w:val="000000"/>
          <w:kern w:val="0"/>
          <w:szCs w:val="24"/>
        </w:rPr>
        <w:t>年，本报告期的财务报表及报表附注均无同期对比数据。</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27" w:name="_Toc477955738"/>
      <w:r>
        <w:rPr>
          <w:rFonts w:ascii="Times New Roman" w:hAnsi="Times New Roman"/>
          <w:b/>
          <w:color w:val="000000"/>
          <w:kern w:val="0"/>
          <w:sz w:val="24"/>
          <w:szCs w:val="24"/>
        </w:rPr>
        <w:t xml:space="preserve">7.2 </w:t>
      </w:r>
      <w:r>
        <w:rPr>
          <w:rFonts w:hint="eastAsia" w:ascii="Times New Roman" w:hAnsi="Times New Roman"/>
          <w:b/>
          <w:color w:val="000000"/>
          <w:kern w:val="0"/>
          <w:sz w:val="24"/>
          <w:szCs w:val="24"/>
        </w:rPr>
        <w:t>利润表</w:t>
      </w:r>
      <w:bookmarkEnd w:id="27"/>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会计主体：创金合信鑫动力灵活配置混合型证券投资基金</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30</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10"/>
        <w:tblW w:w="0" w:type="auto"/>
        <w:tblInd w:w="108" w:type="dxa"/>
        <w:tblLayout w:type="fixed"/>
        <w:tblCellMar>
          <w:top w:w="0" w:type="dxa"/>
          <w:left w:w="108" w:type="dxa"/>
          <w:bottom w:w="0" w:type="dxa"/>
          <w:right w:w="108" w:type="dxa"/>
        </w:tblCellMar>
      </w:tblPr>
      <w:tblGrid>
        <w:gridCol w:w="3191"/>
        <w:gridCol w:w="1083"/>
        <w:gridCol w:w="4751"/>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color w:val="000000"/>
                <w:kern w:val="0"/>
                <w:sz w:val="24"/>
                <w:szCs w:val="24"/>
              </w:rPr>
            </w:pPr>
            <w:r>
              <w:rPr>
                <w:rFonts w:hint="eastAsia" w:ascii="Times New Roman" w:hAnsi="Times New Roman"/>
                <w:b/>
                <w:color w:val="000000"/>
                <w:kern w:val="0"/>
                <w:sz w:val="24"/>
                <w:szCs w:val="24"/>
              </w:rPr>
              <w:t>项</w:t>
            </w:r>
            <w:r>
              <w:rPr>
                <w:rFonts w:ascii="Times New Roman" w:hAnsi="Times New Roman"/>
                <w:b/>
                <w:color w:val="000000"/>
                <w:kern w:val="0"/>
                <w:sz w:val="24"/>
                <w:szCs w:val="24"/>
              </w:rPr>
              <w:t xml:space="preserve"> </w:t>
            </w:r>
            <w:r>
              <w:rPr>
                <w:rFonts w:hint="eastAsia" w:ascii="Times New Roman" w:hAnsi="Times New Roman"/>
                <w:b/>
                <w:color w:val="000000"/>
                <w:kern w:val="0"/>
                <w:sz w:val="24"/>
                <w:szCs w:val="24"/>
              </w:rPr>
              <w:t>目</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color w:val="000000"/>
                <w:kern w:val="0"/>
                <w:sz w:val="24"/>
                <w:szCs w:val="24"/>
              </w:rPr>
            </w:pPr>
            <w:r>
              <w:rPr>
                <w:rFonts w:hint="eastAsia" w:ascii="Times New Roman" w:hAnsi="Times New Roman"/>
                <w:b/>
                <w:color w:val="000000"/>
                <w:kern w:val="0"/>
                <w:sz w:val="24"/>
                <w:szCs w:val="24"/>
              </w:rPr>
              <w:t>附注号</w:t>
            </w: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30</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b/>
                <w:color w:val="000000"/>
                <w:kern w:val="0"/>
                <w:sz w:val="24"/>
                <w:szCs w:val="24"/>
              </w:rPr>
            </w:pPr>
            <w:r>
              <w:rPr>
                <w:rFonts w:hint="eastAsia" w:ascii="Times New Roman" w:hAnsi="Times New Roman"/>
                <w:b/>
                <w:color w:val="000000"/>
                <w:kern w:val="0"/>
                <w:sz w:val="24"/>
                <w:szCs w:val="24"/>
              </w:rPr>
              <w:t>一、收入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-1,803,293.30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w:t>
            </w:r>
            <w:r>
              <w:rPr>
                <w:rFonts w:hint="eastAsia" w:ascii="Times New Roman" w:hAnsi="Times New Roman"/>
                <w:color w:val="000000"/>
                <w:kern w:val="0"/>
                <w:sz w:val="24"/>
                <w:szCs w:val="24"/>
              </w:rPr>
              <w:t>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9,245,679.09</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其中：存款利息收入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7.4.7.11</w:t>
            </w: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497,630.20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债券利息收入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8,409,280.98</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资产支持证券利息收入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买入返售金融资产收入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338,767.91</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其他利息收入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2.</w:t>
            </w:r>
            <w:r>
              <w:rPr>
                <w:rFonts w:hint="eastAsia" w:ascii="Times New Roman" w:hAnsi="Times New Roman"/>
                <w:color w:val="000000"/>
                <w:kern w:val="0"/>
                <w:sz w:val="24"/>
                <w:szCs w:val="24"/>
              </w:rPr>
              <w:t>投资收益（损失以“</w:t>
            </w:r>
            <w:r>
              <w:rPr>
                <w:rFonts w:ascii="Times New Roman" w:hAnsi="Times New Roman"/>
                <w:color w:val="000000"/>
                <w:kern w:val="0"/>
                <w:sz w:val="24"/>
                <w:szCs w:val="24"/>
              </w:rPr>
              <w:t>-</w:t>
            </w:r>
            <w:r>
              <w:rPr>
                <w:rFonts w:hint="eastAsia" w:ascii="Times New Roman" w:hAnsi="Times New Roman"/>
                <w:color w:val="000000"/>
                <w:kern w:val="0"/>
                <w:sz w:val="24"/>
                <w:szCs w:val="24"/>
              </w:rPr>
              <w:t>”填列）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4"/>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-1,428,342.31</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其中：股票投资收益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7.4.7.12</w:t>
            </w: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1,047,576.28</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基金投资收益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债券投资收益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7.4.7.13</w:t>
            </w: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-2,563,997.09</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资产支持证券投资收益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贵金属投资收益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衍生工具收益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7.4.7.14</w:t>
            </w: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股利收益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7.4.7.15</w:t>
            </w: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88,078.50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3.</w:t>
            </w:r>
            <w:r>
              <w:rPr>
                <w:rFonts w:hint="eastAsia" w:ascii="Times New Roman" w:hAnsi="Times New Roman"/>
                <w:color w:val="000000"/>
                <w:kern w:val="0"/>
                <w:sz w:val="24"/>
                <w:szCs w:val="24"/>
              </w:rPr>
              <w:t>公允价值变动收益（损失以“</w:t>
            </w:r>
            <w:r>
              <w:rPr>
                <w:rFonts w:ascii="Times New Roman" w:hAnsi="Times New Roman"/>
                <w:color w:val="000000"/>
                <w:kern w:val="0"/>
                <w:sz w:val="24"/>
                <w:szCs w:val="24"/>
              </w:rPr>
              <w:t>-</w:t>
            </w:r>
            <w:r>
              <w:rPr>
                <w:rFonts w:hint="eastAsia" w:ascii="Times New Roman" w:hAnsi="Times New Roman"/>
                <w:color w:val="000000"/>
                <w:kern w:val="0"/>
                <w:sz w:val="24"/>
                <w:szCs w:val="24"/>
              </w:rPr>
              <w:t>”号填列）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7.4.7.16</w:t>
            </w: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-9,620,758.04</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4.</w:t>
            </w:r>
            <w:r>
              <w:rPr>
                <w:rFonts w:hint="eastAsia" w:ascii="Times New Roman" w:hAnsi="Times New Roman"/>
                <w:color w:val="000000"/>
                <w:kern w:val="0"/>
                <w:sz w:val="24"/>
                <w:szCs w:val="24"/>
              </w:rPr>
              <w:t>汇兑收益（损失以“－”号填列）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4"/>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5.</w:t>
            </w:r>
            <w:r>
              <w:rPr>
                <w:rFonts w:hint="eastAsia" w:ascii="Times New Roman" w:hAnsi="Times New Roman"/>
                <w:color w:val="000000"/>
                <w:kern w:val="0"/>
                <w:sz w:val="24"/>
                <w:szCs w:val="24"/>
              </w:rPr>
              <w:t>其他收入（损失以“</w:t>
            </w:r>
            <w:r>
              <w:rPr>
                <w:rFonts w:ascii="Times New Roman" w:hAnsi="Times New Roman"/>
                <w:color w:val="000000"/>
                <w:kern w:val="0"/>
                <w:sz w:val="24"/>
                <w:szCs w:val="24"/>
              </w:rPr>
              <w:t>-</w:t>
            </w:r>
            <w:r>
              <w:rPr>
                <w:rFonts w:hint="eastAsia" w:ascii="Times New Roman" w:hAnsi="Times New Roman"/>
                <w:color w:val="000000"/>
                <w:kern w:val="0"/>
                <w:sz w:val="24"/>
                <w:szCs w:val="24"/>
              </w:rPr>
              <w:t>”号填列）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7.4.7.17</w:t>
            </w: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127.96</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b/>
                <w:color w:val="000000"/>
                <w:kern w:val="0"/>
                <w:sz w:val="24"/>
                <w:szCs w:val="24"/>
              </w:rPr>
            </w:pPr>
            <w:r>
              <w:rPr>
                <w:rFonts w:hint="eastAsia" w:ascii="Times New Roman" w:hAnsi="Times New Roman"/>
                <w:b/>
                <w:color w:val="000000"/>
                <w:kern w:val="0"/>
                <w:sz w:val="24"/>
                <w:szCs w:val="24"/>
              </w:rPr>
              <w:t>减：二、费用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3,754,041.23</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w:t>
            </w:r>
            <w:r>
              <w:rPr>
                <w:rFonts w:hint="eastAsia" w:ascii="Times New Roman" w:hAnsi="Times New Roman"/>
                <w:color w:val="000000"/>
                <w:kern w:val="0"/>
                <w:sz w:val="24"/>
                <w:szCs w:val="24"/>
              </w:rPr>
              <w:t>．管理人报酬</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1,611,459.14</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2</w:t>
            </w:r>
            <w:r>
              <w:rPr>
                <w:rFonts w:hint="eastAsia" w:ascii="Times New Roman" w:hAnsi="Times New Roman"/>
                <w:color w:val="000000"/>
                <w:kern w:val="0"/>
                <w:sz w:val="24"/>
                <w:szCs w:val="24"/>
              </w:rPr>
              <w:t>．托管费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537,153.03</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3</w:t>
            </w:r>
            <w:r>
              <w:rPr>
                <w:rFonts w:hint="eastAsia" w:ascii="Times New Roman" w:hAnsi="Times New Roman"/>
                <w:color w:val="000000"/>
                <w:kern w:val="0"/>
                <w:sz w:val="24"/>
                <w:szCs w:val="24"/>
              </w:rPr>
              <w:t>．销售服务费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78.40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4</w:t>
            </w:r>
            <w:r>
              <w:rPr>
                <w:rFonts w:hint="eastAsia" w:ascii="Times New Roman" w:hAnsi="Times New Roman"/>
                <w:color w:val="000000"/>
                <w:kern w:val="0"/>
                <w:sz w:val="24"/>
                <w:szCs w:val="24"/>
              </w:rPr>
              <w:t>．交易费用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7.4.7.18</w:t>
            </w: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347,244.40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5</w:t>
            </w:r>
            <w:r>
              <w:rPr>
                <w:rFonts w:hint="eastAsia" w:ascii="Times New Roman" w:hAnsi="Times New Roman"/>
                <w:color w:val="000000"/>
                <w:kern w:val="0"/>
                <w:sz w:val="24"/>
                <w:szCs w:val="24"/>
              </w:rPr>
              <w:t>．利息支出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1,132,706.26</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其中：卖出回购金融资产支出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1,132,706.26</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w:t>
            </w:r>
            <w:r>
              <w:rPr>
                <w:rFonts w:hint="eastAsia" w:ascii="Times New Roman" w:hAnsi="Times New Roman"/>
                <w:color w:val="000000"/>
                <w:kern w:val="0"/>
                <w:sz w:val="24"/>
                <w:szCs w:val="24"/>
              </w:rPr>
              <w:t>．其他费用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7.4.7.19</w:t>
            </w: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125,400.00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b/>
                <w:color w:val="000000"/>
                <w:kern w:val="0"/>
                <w:sz w:val="24"/>
                <w:szCs w:val="24"/>
              </w:rPr>
            </w:pPr>
            <w:r>
              <w:rPr>
                <w:rFonts w:hint="eastAsia" w:ascii="Times New Roman" w:hAnsi="Times New Roman"/>
                <w:b/>
                <w:color w:val="000000"/>
                <w:kern w:val="0"/>
                <w:sz w:val="24"/>
                <w:szCs w:val="24"/>
              </w:rPr>
              <w:t>三、利润总额（亏损总额以“</w:t>
            </w:r>
            <w:r>
              <w:rPr>
                <w:rFonts w:ascii="Times New Roman" w:hAnsi="Times New Roman"/>
                <w:b/>
                <w:color w:val="000000"/>
                <w:kern w:val="0"/>
                <w:sz w:val="24"/>
                <w:szCs w:val="24"/>
              </w:rPr>
              <w:t>-</w:t>
            </w:r>
            <w:r>
              <w:rPr>
                <w:rFonts w:hint="eastAsia" w:ascii="Times New Roman" w:hAnsi="Times New Roman"/>
                <w:b/>
                <w:color w:val="000000"/>
                <w:kern w:val="0"/>
                <w:sz w:val="24"/>
                <w:szCs w:val="24"/>
              </w:rPr>
              <w:t>”号填列）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4"/>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-5,557,334.53</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减：所得税费用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b/>
                <w:color w:val="000000"/>
                <w:kern w:val="0"/>
                <w:sz w:val="24"/>
                <w:szCs w:val="24"/>
              </w:rPr>
            </w:pPr>
            <w:r>
              <w:rPr>
                <w:rFonts w:hint="eastAsia" w:ascii="Times New Roman" w:hAnsi="Times New Roman"/>
                <w:b/>
                <w:color w:val="000000"/>
                <w:kern w:val="0"/>
                <w:sz w:val="24"/>
                <w:szCs w:val="24"/>
              </w:rPr>
              <w:t>四、净利润（净亏损以“</w:t>
            </w:r>
            <w:r>
              <w:rPr>
                <w:rFonts w:ascii="Times New Roman" w:hAnsi="Times New Roman"/>
                <w:b/>
                <w:color w:val="000000"/>
                <w:kern w:val="0"/>
                <w:sz w:val="24"/>
                <w:szCs w:val="24"/>
              </w:rPr>
              <w:t>-</w:t>
            </w:r>
            <w:r>
              <w:rPr>
                <w:rFonts w:hint="eastAsia" w:ascii="Times New Roman" w:hAnsi="Times New Roman"/>
                <w:b/>
                <w:color w:val="000000"/>
                <w:kern w:val="0"/>
                <w:sz w:val="24"/>
                <w:szCs w:val="24"/>
              </w:rPr>
              <w:t>”号填列）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4"/>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-5,557,334.53</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注：本财务报表的实际编制报告期间为</w:t>
      </w:r>
      <w:r>
        <w:rPr>
          <w:rFonts w:ascii="Times New Roman" w:hAnsi="Times New Roman"/>
          <w:color w:val="000000"/>
          <w:kern w:val="0"/>
          <w:szCs w:val="24"/>
        </w:rPr>
        <w:t>2016</w:t>
      </w:r>
      <w:r>
        <w:rPr>
          <w:rFonts w:hint="eastAsia" w:ascii="Times New Roman" w:hAnsi="Times New Roman"/>
          <w:color w:val="000000"/>
          <w:kern w:val="0"/>
          <w:szCs w:val="24"/>
        </w:rPr>
        <w:t>年</w:t>
      </w:r>
      <w:r>
        <w:rPr>
          <w:rFonts w:ascii="Times New Roman" w:hAnsi="Times New Roman"/>
          <w:color w:val="000000"/>
          <w:kern w:val="0"/>
          <w:szCs w:val="24"/>
        </w:rPr>
        <w:t>8</w:t>
      </w:r>
      <w:r>
        <w:rPr>
          <w:rFonts w:hint="eastAsia" w:ascii="Times New Roman" w:hAnsi="Times New Roman"/>
          <w:color w:val="000000"/>
          <w:kern w:val="0"/>
          <w:szCs w:val="24"/>
        </w:rPr>
        <w:t>月</w:t>
      </w:r>
      <w:r>
        <w:rPr>
          <w:rFonts w:ascii="Times New Roman" w:hAnsi="Times New Roman"/>
          <w:color w:val="000000"/>
          <w:kern w:val="0"/>
          <w:szCs w:val="24"/>
        </w:rPr>
        <w:t>30</w:t>
      </w:r>
      <w:r>
        <w:rPr>
          <w:rFonts w:hint="eastAsia" w:ascii="Times New Roman" w:hAnsi="Times New Roman"/>
          <w:color w:val="000000"/>
          <w:kern w:val="0"/>
          <w:szCs w:val="24"/>
        </w:rPr>
        <w:t>日</w:t>
      </w:r>
      <w:r>
        <w:rPr>
          <w:rFonts w:ascii="Times New Roman" w:hAnsi="Times New Roman"/>
          <w:color w:val="000000"/>
          <w:kern w:val="0"/>
          <w:szCs w:val="24"/>
        </w:rPr>
        <w:t>(</w:t>
      </w:r>
      <w:r>
        <w:rPr>
          <w:rFonts w:hint="eastAsia" w:ascii="Times New Roman" w:hAnsi="Times New Roman"/>
          <w:color w:val="000000"/>
          <w:kern w:val="0"/>
          <w:szCs w:val="24"/>
        </w:rPr>
        <w:t>基金合同生效日</w:t>
      </w:r>
      <w:r>
        <w:rPr>
          <w:rFonts w:ascii="Times New Roman" w:hAnsi="Times New Roman"/>
          <w:color w:val="000000"/>
          <w:kern w:val="0"/>
          <w:szCs w:val="24"/>
        </w:rPr>
        <w:t>)</w:t>
      </w:r>
      <w:r>
        <w:rPr>
          <w:rFonts w:hint="eastAsia" w:ascii="Times New Roman" w:hAnsi="Times New Roman"/>
          <w:color w:val="000000"/>
          <w:kern w:val="0"/>
          <w:szCs w:val="24"/>
        </w:rPr>
        <w:t>至</w:t>
      </w:r>
      <w:r>
        <w:rPr>
          <w:rFonts w:ascii="Times New Roman" w:hAnsi="Times New Roman"/>
          <w:color w:val="000000"/>
          <w:kern w:val="0"/>
          <w:szCs w:val="24"/>
        </w:rPr>
        <w:t>2016</w:t>
      </w:r>
      <w:r>
        <w:rPr>
          <w:rFonts w:hint="eastAsia" w:ascii="Times New Roman" w:hAnsi="Times New Roman"/>
          <w:color w:val="000000"/>
          <w:kern w:val="0"/>
          <w:szCs w:val="24"/>
        </w:rPr>
        <w:t>年</w:t>
      </w:r>
      <w:r>
        <w:rPr>
          <w:rFonts w:ascii="Times New Roman" w:hAnsi="Times New Roman"/>
          <w:color w:val="000000"/>
          <w:kern w:val="0"/>
          <w:szCs w:val="24"/>
        </w:rPr>
        <w:t>12</w:t>
      </w:r>
      <w:r>
        <w:rPr>
          <w:rFonts w:hint="eastAsia" w:ascii="Times New Roman" w:hAnsi="Times New Roman"/>
          <w:color w:val="000000"/>
          <w:kern w:val="0"/>
          <w:szCs w:val="24"/>
        </w:rPr>
        <w:t>月</w:t>
      </w:r>
      <w:r>
        <w:rPr>
          <w:rFonts w:ascii="Times New Roman" w:hAnsi="Times New Roman"/>
          <w:color w:val="000000"/>
          <w:kern w:val="0"/>
          <w:szCs w:val="24"/>
        </w:rPr>
        <w:t>31</w:t>
      </w:r>
      <w:r>
        <w:rPr>
          <w:rFonts w:hint="eastAsia" w:ascii="Times New Roman" w:hAnsi="Times New Roman"/>
          <w:color w:val="000000"/>
          <w:kern w:val="0"/>
          <w:szCs w:val="24"/>
        </w:rPr>
        <w:t>日。截至报告期末本基金合同生效未满</w:t>
      </w:r>
      <w:r>
        <w:rPr>
          <w:rFonts w:ascii="Times New Roman" w:hAnsi="Times New Roman"/>
          <w:color w:val="000000"/>
          <w:kern w:val="0"/>
          <w:szCs w:val="24"/>
        </w:rPr>
        <w:t>1</w:t>
      </w:r>
      <w:r>
        <w:rPr>
          <w:rFonts w:hint="eastAsia" w:ascii="Times New Roman" w:hAnsi="Times New Roman"/>
          <w:color w:val="000000"/>
          <w:kern w:val="0"/>
          <w:szCs w:val="24"/>
        </w:rPr>
        <w:t>年，本报告期的财务报表及报表附注均无同期对比数据。</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28" w:name="_Toc477955739"/>
      <w:r>
        <w:rPr>
          <w:rFonts w:ascii="Times New Roman" w:hAnsi="Times New Roman"/>
          <w:b/>
          <w:color w:val="000000"/>
          <w:kern w:val="0"/>
          <w:sz w:val="24"/>
          <w:szCs w:val="24"/>
        </w:rPr>
        <w:t xml:space="preserve">7.3 </w:t>
      </w:r>
      <w:r>
        <w:rPr>
          <w:rFonts w:hint="eastAsia" w:ascii="Times New Roman" w:hAnsi="Times New Roman"/>
          <w:b/>
          <w:color w:val="000000"/>
          <w:kern w:val="0"/>
          <w:sz w:val="24"/>
          <w:szCs w:val="24"/>
        </w:rPr>
        <w:t>所有者权益（基金净值）变动表</w:t>
      </w:r>
      <w:bookmarkEnd w:id="28"/>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会计主体：创金合信鑫动力灵活配置混合型证券投资基金</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30</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10"/>
        <w:tblW w:w="0" w:type="auto"/>
        <w:tblInd w:w="108" w:type="dxa"/>
        <w:tblLayout w:type="fixed"/>
        <w:tblCellMar>
          <w:top w:w="0" w:type="dxa"/>
          <w:left w:w="108" w:type="dxa"/>
          <w:bottom w:w="0" w:type="dxa"/>
          <w:right w:w="108" w:type="dxa"/>
        </w:tblCellMar>
      </w:tblPr>
      <w:tblGrid>
        <w:gridCol w:w="3191"/>
        <w:gridCol w:w="2167"/>
        <w:gridCol w:w="1445"/>
        <w:gridCol w:w="2167"/>
      </w:tblGrid>
      <w:tr>
        <w:tblPrEx>
          <w:tblCellMar>
            <w:top w:w="0" w:type="dxa"/>
            <w:left w:w="108" w:type="dxa"/>
            <w:bottom w:w="0" w:type="dxa"/>
            <w:right w:w="108" w:type="dxa"/>
          </w:tblCellMar>
        </w:tblPrEx>
        <w:trPr>
          <w:wBefore w:w="0" w:type="auto"/>
        </w:trPr>
        <w:tc>
          <w:tcPr>
            <w:tcW w:w="3191"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color w:val="000000"/>
                <w:kern w:val="0"/>
                <w:sz w:val="24"/>
                <w:szCs w:val="24"/>
              </w:rPr>
            </w:pPr>
            <w:r>
              <w:rPr>
                <w:rFonts w:hint="eastAsia" w:ascii="Times New Roman" w:hAnsi="Times New Roman"/>
                <w:b/>
                <w:color w:val="000000"/>
                <w:kern w:val="0"/>
                <w:sz w:val="24"/>
                <w:szCs w:val="24"/>
              </w:rPr>
              <w:t>项</w:t>
            </w:r>
            <w:r>
              <w:rPr>
                <w:rFonts w:ascii="Times New Roman" w:hAnsi="Times New Roman"/>
                <w:b/>
                <w:color w:val="000000"/>
                <w:kern w:val="0"/>
                <w:sz w:val="24"/>
                <w:szCs w:val="24"/>
              </w:rPr>
              <w:t xml:space="preserve"> </w:t>
            </w:r>
            <w:r>
              <w:rPr>
                <w:rFonts w:hint="eastAsia" w:ascii="Times New Roman" w:hAnsi="Times New Roman"/>
                <w:b/>
                <w:color w:val="000000"/>
                <w:kern w:val="0"/>
                <w:sz w:val="24"/>
                <w:szCs w:val="24"/>
              </w:rPr>
              <w:t>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30</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实收基金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未分配利润</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所有者权益合计</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一、期初所有者权益（基金净值）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800,228,053.21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800,228,053.21</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二、本期经营活动产生的基金净值变动数（本期利润）</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-5,557,334.53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-5,557,334.53</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三、本期基金份额交易产生的基金净值变动数（净值减少以“</w:t>
            </w:r>
            <w:r>
              <w:rPr>
                <w:rFonts w:ascii="Times New Roman" w:hAnsi="Times New Roman"/>
                <w:color w:val="000000"/>
                <w:kern w:val="0"/>
                <w:sz w:val="24"/>
                <w:szCs w:val="24"/>
              </w:rPr>
              <w:t>-</w:t>
            </w:r>
            <w:r>
              <w:rPr>
                <w:rFonts w:hint="eastAsia" w:ascii="Times New Roman" w:hAnsi="Times New Roman"/>
                <w:color w:val="000000"/>
                <w:kern w:val="0"/>
                <w:sz w:val="24"/>
                <w:szCs w:val="24"/>
              </w:rPr>
              <w:t>”号填列）</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-30,781.68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-789.01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-31,570.69</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其中：</w:t>
            </w:r>
            <w:r>
              <w:rPr>
                <w:rFonts w:ascii="Times New Roman" w:hAnsi="Times New Roman"/>
                <w:color w:val="000000"/>
                <w:kern w:val="0"/>
                <w:sz w:val="24"/>
                <w:szCs w:val="24"/>
              </w:rPr>
              <w:t>1.</w:t>
            </w:r>
            <w:r>
              <w:rPr>
                <w:rFonts w:hint="eastAsia" w:ascii="Times New Roman" w:hAnsi="Times New Roman"/>
                <w:color w:val="000000"/>
                <w:kern w:val="0"/>
                <w:sz w:val="24"/>
                <w:szCs w:val="24"/>
              </w:rPr>
              <w:t>基金申购款</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50,897.24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-657.17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50,240.07</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2.</w:t>
            </w:r>
            <w:r>
              <w:rPr>
                <w:rFonts w:hint="eastAsia" w:ascii="Times New Roman" w:hAnsi="Times New Roman"/>
                <w:color w:val="000000"/>
                <w:kern w:val="0"/>
                <w:sz w:val="24"/>
                <w:szCs w:val="24"/>
              </w:rPr>
              <w:t>基金赎回款</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-81,678.92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-131.84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-81,810.76</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四、本期向基金份额持有人分配利润产生的基金净值变动（净值减少以“</w:t>
            </w:r>
            <w:r>
              <w:rPr>
                <w:rFonts w:ascii="Times New Roman" w:hAnsi="Times New Roman"/>
                <w:color w:val="000000"/>
                <w:kern w:val="0"/>
                <w:sz w:val="24"/>
                <w:szCs w:val="24"/>
              </w:rPr>
              <w:t>-</w:t>
            </w:r>
            <w:r>
              <w:rPr>
                <w:rFonts w:hint="eastAsia" w:ascii="Times New Roman" w:hAnsi="Times New Roman"/>
                <w:color w:val="000000"/>
                <w:kern w:val="0"/>
                <w:sz w:val="24"/>
                <w:szCs w:val="24"/>
              </w:rPr>
              <w:t>”号填列）</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五、期末所有者权益（基金净值）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800,197,271.53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-5,558,123.54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794,639,147.99</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注：本财务报表的实际报告期间为</w:t>
      </w:r>
      <w:r>
        <w:rPr>
          <w:rFonts w:ascii="Times New Roman" w:hAnsi="Times New Roman"/>
          <w:color w:val="000000"/>
          <w:kern w:val="0"/>
          <w:szCs w:val="24"/>
        </w:rPr>
        <w:t>2016</w:t>
      </w:r>
      <w:r>
        <w:rPr>
          <w:rFonts w:hint="eastAsia" w:ascii="Times New Roman" w:hAnsi="Times New Roman"/>
          <w:color w:val="000000"/>
          <w:kern w:val="0"/>
          <w:szCs w:val="24"/>
        </w:rPr>
        <w:t>年</w:t>
      </w:r>
      <w:r>
        <w:rPr>
          <w:rFonts w:ascii="Times New Roman" w:hAnsi="Times New Roman"/>
          <w:color w:val="000000"/>
          <w:kern w:val="0"/>
          <w:szCs w:val="24"/>
        </w:rPr>
        <w:t>8</w:t>
      </w:r>
      <w:r>
        <w:rPr>
          <w:rFonts w:hint="eastAsia" w:ascii="Times New Roman" w:hAnsi="Times New Roman"/>
          <w:color w:val="000000"/>
          <w:kern w:val="0"/>
          <w:szCs w:val="24"/>
        </w:rPr>
        <w:t>月</w:t>
      </w:r>
      <w:r>
        <w:rPr>
          <w:rFonts w:ascii="Times New Roman" w:hAnsi="Times New Roman"/>
          <w:color w:val="000000"/>
          <w:kern w:val="0"/>
          <w:szCs w:val="24"/>
        </w:rPr>
        <w:t>30</w:t>
      </w:r>
      <w:r>
        <w:rPr>
          <w:rFonts w:hint="eastAsia" w:ascii="Times New Roman" w:hAnsi="Times New Roman"/>
          <w:color w:val="000000"/>
          <w:kern w:val="0"/>
          <w:szCs w:val="24"/>
        </w:rPr>
        <w:t>日</w:t>
      </w:r>
      <w:r>
        <w:rPr>
          <w:rFonts w:ascii="Times New Roman" w:hAnsi="Times New Roman"/>
          <w:color w:val="000000"/>
          <w:kern w:val="0"/>
          <w:szCs w:val="24"/>
        </w:rPr>
        <w:t>(</w:t>
      </w:r>
      <w:r>
        <w:rPr>
          <w:rFonts w:hint="eastAsia" w:ascii="Times New Roman" w:hAnsi="Times New Roman"/>
          <w:color w:val="000000"/>
          <w:kern w:val="0"/>
          <w:szCs w:val="24"/>
        </w:rPr>
        <w:t>基金合同生效日</w:t>
      </w:r>
      <w:r>
        <w:rPr>
          <w:rFonts w:ascii="Times New Roman" w:hAnsi="Times New Roman"/>
          <w:color w:val="000000"/>
          <w:kern w:val="0"/>
          <w:szCs w:val="24"/>
        </w:rPr>
        <w:t>)</w:t>
      </w:r>
      <w:r>
        <w:rPr>
          <w:rFonts w:hint="eastAsia" w:ascii="Times New Roman" w:hAnsi="Times New Roman"/>
          <w:color w:val="000000"/>
          <w:kern w:val="0"/>
          <w:szCs w:val="24"/>
        </w:rPr>
        <w:t>至</w:t>
      </w:r>
      <w:r>
        <w:rPr>
          <w:rFonts w:ascii="Times New Roman" w:hAnsi="Times New Roman"/>
          <w:color w:val="000000"/>
          <w:kern w:val="0"/>
          <w:szCs w:val="24"/>
        </w:rPr>
        <w:t>2016</w:t>
      </w:r>
      <w:r>
        <w:rPr>
          <w:rFonts w:hint="eastAsia" w:ascii="Times New Roman" w:hAnsi="Times New Roman"/>
          <w:color w:val="000000"/>
          <w:kern w:val="0"/>
          <w:szCs w:val="24"/>
        </w:rPr>
        <w:t>年</w:t>
      </w:r>
      <w:r>
        <w:rPr>
          <w:rFonts w:ascii="Times New Roman" w:hAnsi="Times New Roman"/>
          <w:color w:val="000000"/>
          <w:kern w:val="0"/>
          <w:szCs w:val="24"/>
        </w:rPr>
        <w:t>12</w:t>
      </w:r>
      <w:r>
        <w:rPr>
          <w:rFonts w:hint="eastAsia" w:ascii="Times New Roman" w:hAnsi="Times New Roman"/>
          <w:color w:val="000000"/>
          <w:kern w:val="0"/>
          <w:szCs w:val="24"/>
        </w:rPr>
        <w:t>月</w:t>
      </w:r>
      <w:r>
        <w:rPr>
          <w:rFonts w:ascii="Times New Roman" w:hAnsi="Times New Roman"/>
          <w:color w:val="000000"/>
          <w:kern w:val="0"/>
          <w:szCs w:val="24"/>
        </w:rPr>
        <w:t>31</w:t>
      </w:r>
      <w:r>
        <w:rPr>
          <w:rFonts w:hint="eastAsia" w:ascii="Times New Roman" w:hAnsi="Times New Roman"/>
          <w:color w:val="000000"/>
          <w:kern w:val="0"/>
          <w:szCs w:val="24"/>
        </w:rPr>
        <w:t>日。截至报告期末本基金合同生效未满</w:t>
      </w:r>
      <w:r>
        <w:rPr>
          <w:rFonts w:ascii="Times New Roman" w:hAnsi="Times New Roman"/>
          <w:color w:val="000000"/>
          <w:kern w:val="0"/>
          <w:szCs w:val="24"/>
        </w:rPr>
        <w:t>1</w:t>
      </w:r>
      <w:r>
        <w:rPr>
          <w:rFonts w:hint="eastAsia" w:ascii="Times New Roman" w:hAnsi="Times New Roman"/>
          <w:color w:val="000000"/>
          <w:kern w:val="0"/>
          <w:szCs w:val="24"/>
        </w:rPr>
        <w:t>年，本报告期的财务报表及报表附注均无同期对比数据。</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报表附注为财务报表的组成部分。</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本报告</w:t>
      </w:r>
      <w:r>
        <w:rPr>
          <w:rFonts w:ascii="Times New Roman" w:hAnsi="Times New Roman"/>
          <w:color w:val="000000"/>
          <w:kern w:val="0"/>
          <w:sz w:val="24"/>
          <w:szCs w:val="24"/>
        </w:rPr>
        <w:t>7.1</w:t>
      </w:r>
      <w:r>
        <w:rPr>
          <w:rFonts w:hint="eastAsia" w:ascii="Times New Roman" w:hAnsi="Times New Roman"/>
          <w:color w:val="000000"/>
          <w:kern w:val="0"/>
          <w:sz w:val="24"/>
          <w:szCs w:val="24"/>
        </w:rPr>
        <w:t>至</w:t>
      </w:r>
      <w:r>
        <w:rPr>
          <w:rFonts w:ascii="Times New Roman" w:hAnsi="Times New Roman"/>
          <w:color w:val="000000"/>
          <w:kern w:val="0"/>
          <w:sz w:val="24"/>
          <w:szCs w:val="24"/>
        </w:rPr>
        <w:t>7.4</w:t>
      </w:r>
      <w:r>
        <w:rPr>
          <w:rFonts w:hint="eastAsia" w:ascii="Times New Roman" w:hAnsi="Times New Roman"/>
          <w:color w:val="000000"/>
          <w:kern w:val="0"/>
          <w:sz w:val="24"/>
          <w:szCs w:val="24"/>
        </w:rPr>
        <w:t>财务报表由下列负责人签署</w:t>
      </w:r>
      <w:r>
        <w:rPr>
          <w:rFonts w:ascii="Times New Roman" w:hAnsi="Times New Roman"/>
          <w:color w:val="000000"/>
          <w:kern w:val="0"/>
          <w:sz w:val="24"/>
          <w:szCs w:val="24"/>
        </w:rPr>
        <w:t>:</w:t>
      </w:r>
    </w:p>
    <w:tbl>
      <w:tblPr>
        <w:tblStyle w:val="10"/>
        <w:tblW w:w="0" w:type="auto"/>
        <w:tblInd w:w="108" w:type="dxa"/>
        <w:tblLayout w:type="fixed"/>
        <w:tblCellMar>
          <w:top w:w="0" w:type="dxa"/>
          <w:left w:w="108" w:type="dxa"/>
          <w:bottom w:w="0" w:type="dxa"/>
          <w:right w:w="108" w:type="dxa"/>
        </w:tblCellMar>
      </w:tblPr>
      <w:tblGrid>
        <w:gridCol w:w="3191"/>
        <w:gridCol w:w="2889"/>
        <w:gridCol w:w="2890"/>
      </w:tblGrid>
      <w:tr>
        <w:tblPrEx>
          <w:tblCellMar>
            <w:top w:w="0" w:type="dxa"/>
            <w:left w:w="108" w:type="dxa"/>
            <w:bottom w:w="0" w:type="dxa"/>
            <w:right w:w="108" w:type="dxa"/>
          </w:tblCellMar>
        </w:tblPrEx>
        <w:trPr>
          <w:wBefore w:w="0" w:type="auto"/>
        </w:trPr>
        <w:tc>
          <w:tcPr>
            <w:tcW w:w="3191" w:type="dxa"/>
            <w:tcBorders>
              <w:top w:val="nil"/>
              <w:left w:val="nil"/>
              <w:bottom w:val="nil"/>
              <w:right w:val="nil"/>
            </w:tcBorders>
            <w:noWrap w:val="0"/>
            <w:vAlign w:val="top"/>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苏彦祝</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基金管理人负责人</w:t>
            </w:r>
          </w:p>
        </w:tc>
        <w:tc>
          <w:tcPr>
            <w:tcW w:w="2889" w:type="dxa"/>
            <w:tcBorders>
              <w:top w:val="nil"/>
              <w:left w:val="nil"/>
              <w:bottom w:val="nil"/>
              <w:right w:val="nil"/>
            </w:tcBorders>
            <w:noWrap w:val="0"/>
            <w:vAlign w:val="top"/>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黄越岷</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主管会计工作负责人</w:t>
            </w:r>
          </w:p>
        </w:tc>
        <w:tc>
          <w:tcPr>
            <w:tcW w:w="2890" w:type="dxa"/>
            <w:tcBorders>
              <w:top w:val="nil"/>
              <w:left w:val="nil"/>
              <w:bottom w:val="nil"/>
              <w:right w:val="nil"/>
            </w:tcBorders>
            <w:noWrap w:val="0"/>
            <w:vAlign w:val="top"/>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安兆国</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会计机构负责人</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29" w:name="_Toc477955740"/>
      <w:r>
        <w:rPr>
          <w:rFonts w:ascii="Times New Roman" w:hAnsi="Times New Roman"/>
          <w:b/>
          <w:color w:val="000000"/>
          <w:kern w:val="0"/>
          <w:sz w:val="24"/>
          <w:szCs w:val="24"/>
        </w:rPr>
        <w:t xml:space="preserve">7.4 </w:t>
      </w:r>
      <w:r>
        <w:rPr>
          <w:rFonts w:hint="eastAsia" w:ascii="Times New Roman" w:hAnsi="Times New Roman"/>
          <w:b/>
          <w:color w:val="000000"/>
          <w:kern w:val="0"/>
          <w:sz w:val="24"/>
          <w:szCs w:val="24"/>
        </w:rPr>
        <w:t>报表附注</w:t>
      </w:r>
      <w:bookmarkEnd w:id="29"/>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 </w:t>
      </w:r>
      <w:r>
        <w:rPr>
          <w:rFonts w:hint="eastAsia" w:ascii="Times New Roman" w:hAnsi="Times New Roman"/>
          <w:b/>
          <w:color w:val="000000"/>
          <w:kern w:val="0"/>
          <w:sz w:val="24"/>
          <w:szCs w:val="24"/>
        </w:rPr>
        <w:t>基金基本情况</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创金合信鑫动力灵活配置混合型证券投资基金</w:t>
      </w:r>
      <w:r>
        <w:rPr>
          <w:rFonts w:ascii="Times New Roman" w:hAnsi="Times New Roman"/>
          <w:color w:val="000000"/>
          <w:kern w:val="0"/>
          <w:sz w:val="24"/>
          <w:szCs w:val="24"/>
        </w:rPr>
        <w:t>(</w:t>
      </w:r>
      <w:r>
        <w:rPr>
          <w:rFonts w:hint="eastAsia" w:ascii="Times New Roman" w:hAnsi="Times New Roman"/>
          <w:color w:val="000000"/>
          <w:kern w:val="0"/>
          <w:sz w:val="24"/>
          <w:szCs w:val="24"/>
        </w:rPr>
        <w:t>以下简称</w:t>
      </w:r>
      <w:r>
        <w:rPr>
          <w:rFonts w:ascii="Times New Roman" w:hAnsi="Times New Roman"/>
          <w:color w:val="000000"/>
          <w:kern w:val="0"/>
          <w:sz w:val="24"/>
          <w:szCs w:val="24"/>
        </w:rPr>
        <w:t>"</w:t>
      </w:r>
      <w:r>
        <w:rPr>
          <w:rFonts w:hint="eastAsia" w:ascii="Times New Roman" w:hAnsi="Times New Roman"/>
          <w:color w:val="000000"/>
          <w:kern w:val="0"/>
          <w:sz w:val="24"/>
          <w:szCs w:val="24"/>
        </w:rPr>
        <w:t>本基金</w:t>
      </w:r>
      <w:r>
        <w:rPr>
          <w:rFonts w:ascii="Times New Roman" w:hAnsi="Times New Roman"/>
          <w:color w:val="000000"/>
          <w:kern w:val="0"/>
          <w:sz w:val="24"/>
          <w:szCs w:val="24"/>
        </w:rPr>
        <w:t>")</w:t>
      </w:r>
      <w:r>
        <w:rPr>
          <w:rFonts w:hint="eastAsia" w:ascii="Times New Roman" w:hAnsi="Times New Roman"/>
          <w:color w:val="000000"/>
          <w:kern w:val="0"/>
          <w:sz w:val="24"/>
          <w:szCs w:val="24"/>
        </w:rPr>
        <w:t>经中国证券监督管理委员会</w:t>
      </w:r>
      <w:r>
        <w:rPr>
          <w:rFonts w:ascii="Times New Roman" w:hAnsi="Times New Roman"/>
          <w:color w:val="000000"/>
          <w:kern w:val="0"/>
          <w:sz w:val="24"/>
          <w:szCs w:val="24"/>
        </w:rPr>
        <w:t>(</w:t>
      </w:r>
      <w:r>
        <w:rPr>
          <w:rFonts w:hint="eastAsia" w:ascii="Times New Roman" w:hAnsi="Times New Roman"/>
          <w:color w:val="000000"/>
          <w:kern w:val="0"/>
          <w:sz w:val="24"/>
          <w:szCs w:val="24"/>
        </w:rPr>
        <w:t>以下简称</w:t>
      </w:r>
      <w:r>
        <w:rPr>
          <w:rFonts w:ascii="Times New Roman" w:hAnsi="Times New Roman"/>
          <w:color w:val="000000"/>
          <w:kern w:val="0"/>
          <w:sz w:val="24"/>
          <w:szCs w:val="24"/>
        </w:rPr>
        <w:t>"</w:t>
      </w:r>
      <w:r>
        <w:rPr>
          <w:rFonts w:hint="eastAsia" w:ascii="Times New Roman" w:hAnsi="Times New Roman"/>
          <w:color w:val="000000"/>
          <w:kern w:val="0"/>
          <w:sz w:val="24"/>
          <w:szCs w:val="24"/>
        </w:rPr>
        <w:t>中国证监会</w:t>
      </w:r>
      <w:r>
        <w:rPr>
          <w:rFonts w:ascii="Times New Roman" w:hAnsi="Times New Roman"/>
          <w:color w:val="000000"/>
          <w:kern w:val="0"/>
          <w:sz w:val="24"/>
          <w:szCs w:val="24"/>
        </w:rPr>
        <w:t>")</w:t>
      </w:r>
      <w:r>
        <w:rPr>
          <w:rFonts w:hint="eastAsia" w:ascii="Times New Roman" w:hAnsi="Times New Roman"/>
          <w:color w:val="000000"/>
          <w:kern w:val="0"/>
          <w:sz w:val="24"/>
          <w:szCs w:val="24"/>
        </w:rPr>
        <w:t>证监许可</w:t>
      </w:r>
      <w:r>
        <w:rPr>
          <w:rFonts w:ascii="Times New Roman" w:hAnsi="Times New Roman"/>
          <w:color w:val="000000"/>
          <w:kern w:val="0"/>
          <w:sz w:val="24"/>
          <w:szCs w:val="24"/>
        </w:rPr>
        <w:t xml:space="preserve"> [2015]</w:t>
      </w:r>
      <w:r>
        <w:rPr>
          <w:rFonts w:hint="eastAsia" w:ascii="Times New Roman" w:hAnsi="Times New Roman"/>
          <w:color w:val="000000"/>
          <w:kern w:val="0"/>
          <w:sz w:val="24"/>
          <w:szCs w:val="24"/>
        </w:rPr>
        <w:t>第</w:t>
      </w:r>
      <w:r>
        <w:rPr>
          <w:rFonts w:ascii="Times New Roman" w:hAnsi="Times New Roman"/>
          <w:color w:val="000000"/>
          <w:kern w:val="0"/>
          <w:sz w:val="24"/>
          <w:szCs w:val="24"/>
        </w:rPr>
        <w:t>2099</w:t>
      </w:r>
      <w:r>
        <w:rPr>
          <w:rFonts w:hint="eastAsia" w:ascii="Times New Roman" w:hAnsi="Times New Roman"/>
          <w:color w:val="000000"/>
          <w:kern w:val="0"/>
          <w:sz w:val="24"/>
          <w:szCs w:val="24"/>
        </w:rPr>
        <w:t>号《关于准予创金合信鑫动力灵活配置混合型证券投资基金注册的批复》核准，由创金合信基金管理有限公司依照《中华人民共和国证券投资基金法》和《创金合信鑫动力灵活配置混合型证券投资基金基金合同》负责公开募集。本基金为契约型开放式，存续期限不定，首次设立募集不包括认购资金利息共募集人民币</w:t>
      </w:r>
      <w:r>
        <w:rPr>
          <w:rFonts w:ascii="Times New Roman" w:hAnsi="Times New Roman"/>
          <w:color w:val="000000"/>
          <w:kern w:val="0"/>
          <w:sz w:val="24"/>
          <w:szCs w:val="24"/>
        </w:rPr>
        <w:t>800,214,719.75</w:t>
      </w:r>
      <w:r>
        <w:rPr>
          <w:rFonts w:hint="eastAsia" w:ascii="Times New Roman" w:hAnsi="Times New Roman"/>
          <w:color w:val="000000"/>
          <w:kern w:val="0"/>
          <w:sz w:val="24"/>
          <w:szCs w:val="24"/>
        </w:rPr>
        <w:t>元，已经普华永道中天会计师事务所</w:t>
      </w:r>
      <w:r>
        <w:rPr>
          <w:rFonts w:ascii="Times New Roman" w:hAnsi="Times New Roman"/>
          <w:color w:val="000000"/>
          <w:kern w:val="0"/>
          <w:sz w:val="24"/>
          <w:szCs w:val="24"/>
        </w:rPr>
        <w:t>(</w:t>
      </w:r>
      <w:r>
        <w:rPr>
          <w:rFonts w:hint="eastAsia" w:ascii="Times New Roman" w:hAnsi="Times New Roman"/>
          <w:color w:val="000000"/>
          <w:kern w:val="0"/>
          <w:sz w:val="24"/>
          <w:szCs w:val="24"/>
        </w:rPr>
        <w:t>特殊普通合伙</w:t>
      </w:r>
      <w:r>
        <w:rPr>
          <w:rFonts w:ascii="Times New Roman" w:hAnsi="Times New Roman"/>
          <w:color w:val="000000"/>
          <w:kern w:val="0"/>
          <w:sz w:val="24"/>
          <w:szCs w:val="24"/>
        </w:rPr>
        <w:t>)</w:t>
      </w:r>
      <w:r>
        <w:rPr>
          <w:rFonts w:hint="eastAsia" w:ascii="Times New Roman" w:hAnsi="Times New Roman"/>
          <w:color w:val="000000"/>
          <w:kern w:val="0"/>
          <w:sz w:val="24"/>
          <w:szCs w:val="24"/>
        </w:rPr>
        <w:t>普华永道中天验字</w:t>
      </w:r>
      <w:r>
        <w:rPr>
          <w:rFonts w:ascii="Times New Roman" w:hAnsi="Times New Roman"/>
          <w:color w:val="000000"/>
          <w:kern w:val="0"/>
          <w:sz w:val="24"/>
          <w:szCs w:val="24"/>
        </w:rPr>
        <w:t>(2016)</w:t>
      </w:r>
      <w:r>
        <w:rPr>
          <w:rFonts w:hint="eastAsia" w:ascii="Times New Roman" w:hAnsi="Times New Roman"/>
          <w:color w:val="000000"/>
          <w:kern w:val="0"/>
          <w:sz w:val="24"/>
          <w:szCs w:val="24"/>
        </w:rPr>
        <w:t>第</w:t>
      </w:r>
      <w:r>
        <w:rPr>
          <w:rFonts w:ascii="Times New Roman" w:hAnsi="Times New Roman"/>
          <w:color w:val="000000"/>
          <w:kern w:val="0"/>
          <w:sz w:val="24"/>
          <w:szCs w:val="24"/>
        </w:rPr>
        <w:t>1131</w:t>
      </w:r>
      <w:r>
        <w:rPr>
          <w:rFonts w:hint="eastAsia" w:ascii="Times New Roman" w:hAnsi="Times New Roman"/>
          <w:color w:val="000000"/>
          <w:kern w:val="0"/>
          <w:sz w:val="24"/>
          <w:szCs w:val="24"/>
        </w:rPr>
        <w:t>号验资报告予以验证。经向中国证监会备案，《创金合信鑫动力灵活配置混合型证券投资基金基金合同》于</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8</w:t>
      </w:r>
      <w:r>
        <w:rPr>
          <w:rFonts w:hint="eastAsia" w:ascii="Times New Roman" w:hAnsi="Times New Roman"/>
          <w:color w:val="000000"/>
          <w:kern w:val="0"/>
          <w:sz w:val="24"/>
          <w:szCs w:val="24"/>
        </w:rPr>
        <w:t>月</w:t>
      </w:r>
      <w:r>
        <w:rPr>
          <w:rFonts w:ascii="Times New Roman" w:hAnsi="Times New Roman"/>
          <w:color w:val="000000"/>
          <w:kern w:val="0"/>
          <w:sz w:val="24"/>
          <w:szCs w:val="24"/>
        </w:rPr>
        <w:t>30</w:t>
      </w:r>
      <w:r>
        <w:rPr>
          <w:rFonts w:hint="eastAsia" w:ascii="Times New Roman" w:hAnsi="Times New Roman"/>
          <w:color w:val="000000"/>
          <w:kern w:val="0"/>
          <w:sz w:val="24"/>
          <w:szCs w:val="24"/>
        </w:rPr>
        <w:t>日正式生效，基金合同生效日的基金份额总额为</w:t>
      </w:r>
      <w:r>
        <w:rPr>
          <w:rFonts w:ascii="Times New Roman" w:hAnsi="Times New Roman"/>
          <w:color w:val="000000"/>
          <w:kern w:val="0"/>
          <w:sz w:val="24"/>
          <w:szCs w:val="24"/>
        </w:rPr>
        <w:t>800,228,053.21</w:t>
      </w:r>
      <w:r>
        <w:rPr>
          <w:rFonts w:hint="eastAsia" w:ascii="Times New Roman" w:hAnsi="Times New Roman"/>
          <w:color w:val="000000"/>
          <w:kern w:val="0"/>
          <w:sz w:val="24"/>
          <w:szCs w:val="24"/>
        </w:rPr>
        <w:t>份基金份额，其中认购资金利息折合</w:t>
      </w:r>
      <w:r>
        <w:rPr>
          <w:rFonts w:ascii="Times New Roman" w:hAnsi="Times New Roman"/>
          <w:color w:val="000000"/>
          <w:kern w:val="0"/>
          <w:sz w:val="24"/>
          <w:szCs w:val="24"/>
        </w:rPr>
        <w:t>13,333.46</w:t>
      </w:r>
      <w:r>
        <w:rPr>
          <w:rFonts w:hint="eastAsia" w:ascii="Times New Roman" w:hAnsi="Times New Roman"/>
          <w:color w:val="000000"/>
          <w:kern w:val="0"/>
          <w:sz w:val="24"/>
          <w:szCs w:val="24"/>
        </w:rPr>
        <w:t>份基金份额。本基金的基金管理人为创金合信基金管理有限公司，基金托管人为中国邮政储蓄银行股份有限公司</w:t>
      </w:r>
      <w:r>
        <w:rPr>
          <w:rFonts w:ascii="Times New Roman" w:hAnsi="Times New Roman"/>
          <w:color w:val="000000"/>
          <w:kern w:val="0"/>
          <w:sz w:val="24"/>
          <w:szCs w:val="24"/>
        </w:rPr>
        <w:t>(</w:t>
      </w:r>
      <w:r>
        <w:rPr>
          <w:rFonts w:hint="eastAsia" w:ascii="Times New Roman" w:hAnsi="Times New Roman"/>
          <w:color w:val="000000"/>
          <w:kern w:val="0"/>
          <w:sz w:val="24"/>
          <w:szCs w:val="24"/>
        </w:rPr>
        <w:t>以下简称</w:t>
      </w:r>
      <w:r>
        <w:rPr>
          <w:rFonts w:ascii="Times New Roman" w:hAnsi="Times New Roman"/>
          <w:color w:val="000000"/>
          <w:kern w:val="0"/>
          <w:sz w:val="24"/>
          <w:szCs w:val="24"/>
        </w:rPr>
        <w:t>"</w:t>
      </w:r>
      <w:r>
        <w:rPr>
          <w:rFonts w:hint="eastAsia" w:ascii="Times New Roman" w:hAnsi="Times New Roman"/>
          <w:color w:val="000000"/>
          <w:kern w:val="0"/>
          <w:sz w:val="24"/>
          <w:szCs w:val="24"/>
        </w:rPr>
        <w:t>邮储银行</w:t>
      </w:r>
      <w:r>
        <w:rPr>
          <w:rFonts w:ascii="Times New Roman" w:hAnsi="Times New Roman"/>
          <w:color w:val="000000"/>
          <w:kern w:val="0"/>
          <w:sz w:val="24"/>
          <w:szCs w:val="24"/>
        </w:rPr>
        <w:t>")</w:t>
      </w:r>
      <w:r>
        <w:rPr>
          <w:rFonts w:hint="eastAsia" w:ascii="Times New Roman" w:hAnsi="Times New Roman"/>
          <w:color w:val="000000"/>
          <w:kern w:val="0"/>
          <w:sz w:val="24"/>
          <w:szCs w:val="24"/>
        </w:rPr>
        <w:t>。</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根据《中华人民共和国证券投资基金法》和《创金合信鑫动力灵活配置混合型证券投资基金基金合同》的有关规定，本基金的投资范围包括国内依法发行上市的股票（包括创业板、中小板以及其他经中国证监会允许基金投资的股票）、债券（包括国债、央行票据、地方政府债、金融债、企业债、公司债、中小企业私募债、次级债、中期票据、短期融资券、可转换债券、可交换债券等）、资产支持证券、债券回购、银行存款、金融衍生品（包括权证、股指期货等）及法律法规或中国证监会允许基金投资的其他金融工具</w:t>
      </w:r>
      <w:r>
        <w:rPr>
          <w:rFonts w:ascii="Times New Roman" w:hAnsi="Times New Roman"/>
          <w:color w:val="000000"/>
          <w:kern w:val="0"/>
          <w:sz w:val="24"/>
          <w:szCs w:val="24"/>
        </w:rPr>
        <w:t>(</w:t>
      </w:r>
      <w:r>
        <w:rPr>
          <w:rFonts w:hint="eastAsia" w:ascii="Times New Roman" w:hAnsi="Times New Roman"/>
          <w:color w:val="000000"/>
          <w:kern w:val="0"/>
          <w:sz w:val="24"/>
          <w:szCs w:val="24"/>
        </w:rPr>
        <w:t>但须符合中国证监会相关规定</w:t>
      </w:r>
      <w:r>
        <w:rPr>
          <w:rFonts w:ascii="Times New Roman" w:hAnsi="Times New Roman"/>
          <w:color w:val="000000"/>
          <w:kern w:val="0"/>
          <w:sz w:val="24"/>
          <w:szCs w:val="24"/>
        </w:rPr>
        <w:t>)</w:t>
      </w:r>
      <w:r>
        <w:rPr>
          <w:rFonts w:hint="eastAsia" w:ascii="Times New Roman" w:hAnsi="Times New Roman"/>
          <w:color w:val="000000"/>
          <w:kern w:val="0"/>
          <w:sz w:val="24"/>
          <w:szCs w:val="24"/>
        </w:rPr>
        <w:t>。</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7.4.2 </w:t>
      </w:r>
      <w:r>
        <w:rPr>
          <w:rFonts w:hint="eastAsia" w:ascii="Times New Roman" w:hAnsi="Times New Roman"/>
          <w:b/>
          <w:color w:val="000000"/>
          <w:kern w:val="0"/>
          <w:sz w:val="24"/>
          <w:szCs w:val="24"/>
        </w:rPr>
        <w:t>会计报表的编制基础</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本基金的财务报表按照财政部于</w:t>
      </w:r>
      <w:r>
        <w:rPr>
          <w:rFonts w:ascii="Times New Roman" w:hAnsi="Times New Roman"/>
          <w:color w:val="000000"/>
          <w:kern w:val="0"/>
          <w:sz w:val="24"/>
          <w:szCs w:val="24"/>
        </w:rPr>
        <w:t>2006</w:t>
      </w:r>
      <w:r>
        <w:rPr>
          <w:rFonts w:hint="eastAsia" w:ascii="Times New Roman" w:hAnsi="Times New Roman"/>
          <w:color w:val="000000"/>
          <w:kern w:val="0"/>
          <w:sz w:val="24"/>
          <w:szCs w:val="24"/>
        </w:rPr>
        <w:t>年</w:t>
      </w:r>
      <w:r>
        <w:rPr>
          <w:rFonts w:ascii="Times New Roman" w:hAnsi="Times New Roman"/>
          <w:color w:val="000000"/>
          <w:kern w:val="0"/>
          <w:sz w:val="24"/>
          <w:szCs w:val="24"/>
        </w:rPr>
        <w:t>2</w:t>
      </w:r>
      <w:r>
        <w:rPr>
          <w:rFonts w:hint="eastAsia" w:ascii="Times New Roman" w:hAnsi="Times New Roman"/>
          <w:color w:val="000000"/>
          <w:kern w:val="0"/>
          <w:sz w:val="24"/>
          <w:szCs w:val="24"/>
        </w:rPr>
        <w:t>月</w:t>
      </w:r>
      <w:r>
        <w:rPr>
          <w:rFonts w:ascii="Times New Roman" w:hAnsi="Times New Roman"/>
          <w:color w:val="000000"/>
          <w:kern w:val="0"/>
          <w:sz w:val="24"/>
          <w:szCs w:val="24"/>
        </w:rPr>
        <w:t>15</w:t>
      </w:r>
      <w:r>
        <w:rPr>
          <w:rFonts w:hint="eastAsia" w:ascii="Times New Roman" w:hAnsi="Times New Roman"/>
          <w:color w:val="000000"/>
          <w:kern w:val="0"/>
          <w:sz w:val="24"/>
          <w:szCs w:val="24"/>
        </w:rPr>
        <w:t>日及以后期间颁布的《企业会计准则－基本准则》、各项具体会计准则及相关规定</w:t>
      </w:r>
      <w:r>
        <w:rPr>
          <w:rFonts w:ascii="Times New Roman" w:hAnsi="Times New Roman"/>
          <w:color w:val="000000"/>
          <w:kern w:val="0"/>
          <w:sz w:val="24"/>
          <w:szCs w:val="24"/>
        </w:rPr>
        <w:t>(</w:t>
      </w:r>
      <w:r>
        <w:rPr>
          <w:rFonts w:hint="eastAsia" w:ascii="Times New Roman" w:hAnsi="Times New Roman"/>
          <w:color w:val="000000"/>
          <w:kern w:val="0"/>
          <w:sz w:val="24"/>
          <w:szCs w:val="24"/>
        </w:rPr>
        <w:t>以下合称</w:t>
      </w:r>
      <w:r>
        <w:rPr>
          <w:rFonts w:ascii="Times New Roman" w:hAnsi="Times New Roman"/>
          <w:color w:val="000000"/>
          <w:kern w:val="0"/>
          <w:sz w:val="24"/>
          <w:szCs w:val="24"/>
        </w:rPr>
        <w:t>"</w:t>
      </w:r>
      <w:r>
        <w:rPr>
          <w:rFonts w:hint="eastAsia" w:ascii="Times New Roman" w:hAnsi="Times New Roman"/>
          <w:color w:val="000000"/>
          <w:kern w:val="0"/>
          <w:sz w:val="24"/>
          <w:szCs w:val="24"/>
        </w:rPr>
        <w:t>企业会计准则</w:t>
      </w:r>
      <w:r>
        <w:rPr>
          <w:rFonts w:ascii="Times New Roman" w:hAnsi="Times New Roman"/>
          <w:color w:val="000000"/>
          <w:kern w:val="0"/>
          <w:sz w:val="24"/>
          <w:szCs w:val="24"/>
        </w:rPr>
        <w:t>")</w:t>
      </w:r>
      <w:r>
        <w:rPr>
          <w:rFonts w:hint="eastAsia" w:ascii="Times New Roman" w:hAnsi="Times New Roman"/>
          <w:color w:val="000000"/>
          <w:kern w:val="0"/>
          <w:sz w:val="24"/>
          <w:szCs w:val="24"/>
        </w:rPr>
        <w:t>、中国证监会颁布的《证券投资基金信息披露</w:t>
      </w:r>
      <w:r>
        <w:rPr>
          <w:rFonts w:ascii="Times New Roman" w:hAnsi="Times New Roman"/>
          <w:color w:val="000000"/>
          <w:kern w:val="0"/>
          <w:sz w:val="24"/>
          <w:szCs w:val="24"/>
        </w:rPr>
        <w:t>XBRL</w:t>
      </w:r>
      <w:r>
        <w:rPr>
          <w:rFonts w:hint="eastAsia" w:ascii="Times New Roman" w:hAnsi="Times New Roman"/>
          <w:color w:val="000000"/>
          <w:kern w:val="0"/>
          <w:sz w:val="24"/>
          <w:szCs w:val="24"/>
        </w:rPr>
        <w:t>模板第</w:t>
      </w:r>
      <w:r>
        <w:rPr>
          <w:rFonts w:ascii="Times New Roman" w:hAnsi="Times New Roman"/>
          <w:color w:val="000000"/>
          <w:kern w:val="0"/>
          <w:sz w:val="24"/>
          <w:szCs w:val="24"/>
        </w:rPr>
        <w:t>3</w:t>
      </w:r>
      <w:r>
        <w:rPr>
          <w:rFonts w:hint="eastAsia" w:ascii="Times New Roman" w:hAnsi="Times New Roman"/>
          <w:color w:val="000000"/>
          <w:kern w:val="0"/>
          <w:sz w:val="24"/>
          <w:szCs w:val="24"/>
        </w:rPr>
        <w:t>号</w:t>
      </w:r>
      <w:r>
        <w:rPr>
          <w:rFonts w:ascii="Times New Roman" w:hAnsi="Times New Roman"/>
          <w:color w:val="000000"/>
          <w:kern w:val="0"/>
          <w:sz w:val="24"/>
          <w:szCs w:val="24"/>
        </w:rPr>
        <w:t>&lt;</w:t>
      </w:r>
      <w:r>
        <w:rPr>
          <w:rFonts w:hint="eastAsia" w:ascii="Times New Roman" w:hAnsi="Times New Roman"/>
          <w:color w:val="000000"/>
          <w:kern w:val="0"/>
          <w:sz w:val="24"/>
          <w:szCs w:val="24"/>
        </w:rPr>
        <w:t>年度报告和半年度报告</w:t>
      </w:r>
      <w:r>
        <w:rPr>
          <w:rFonts w:ascii="Times New Roman" w:hAnsi="Times New Roman"/>
          <w:color w:val="000000"/>
          <w:kern w:val="0"/>
          <w:sz w:val="24"/>
          <w:szCs w:val="24"/>
        </w:rPr>
        <w:t>&gt;</w:t>
      </w:r>
      <w:r>
        <w:rPr>
          <w:rFonts w:hint="eastAsia" w:ascii="Times New Roman" w:hAnsi="Times New Roman"/>
          <w:color w:val="000000"/>
          <w:kern w:val="0"/>
          <w:sz w:val="24"/>
          <w:szCs w:val="24"/>
        </w:rPr>
        <w:t>》、中国证券投资基金业协会</w:t>
      </w:r>
      <w:r>
        <w:rPr>
          <w:rFonts w:ascii="Times New Roman" w:hAnsi="Times New Roman"/>
          <w:color w:val="000000"/>
          <w:kern w:val="0"/>
          <w:sz w:val="24"/>
          <w:szCs w:val="24"/>
        </w:rPr>
        <w:t>(</w:t>
      </w:r>
      <w:r>
        <w:rPr>
          <w:rFonts w:hint="eastAsia" w:ascii="Times New Roman" w:hAnsi="Times New Roman"/>
          <w:color w:val="000000"/>
          <w:kern w:val="0"/>
          <w:sz w:val="24"/>
          <w:szCs w:val="24"/>
        </w:rPr>
        <w:t>以下简称</w:t>
      </w:r>
      <w:r>
        <w:rPr>
          <w:rFonts w:ascii="Times New Roman" w:hAnsi="Times New Roman"/>
          <w:color w:val="000000"/>
          <w:kern w:val="0"/>
          <w:sz w:val="24"/>
          <w:szCs w:val="24"/>
        </w:rPr>
        <w:t>"</w:t>
      </w:r>
      <w:r>
        <w:rPr>
          <w:rFonts w:hint="eastAsia" w:ascii="Times New Roman" w:hAnsi="Times New Roman"/>
          <w:color w:val="000000"/>
          <w:kern w:val="0"/>
          <w:sz w:val="24"/>
          <w:szCs w:val="24"/>
        </w:rPr>
        <w:t>中国基金业协会</w:t>
      </w:r>
      <w:r>
        <w:rPr>
          <w:rFonts w:ascii="Times New Roman" w:hAnsi="Times New Roman"/>
          <w:color w:val="000000"/>
          <w:kern w:val="0"/>
          <w:sz w:val="24"/>
          <w:szCs w:val="24"/>
        </w:rPr>
        <w:t>")</w:t>
      </w:r>
      <w:r>
        <w:rPr>
          <w:rFonts w:hint="eastAsia" w:ascii="Times New Roman" w:hAnsi="Times New Roman"/>
          <w:color w:val="000000"/>
          <w:kern w:val="0"/>
          <w:sz w:val="24"/>
          <w:szCs w:val="24"/>
        </w:rPr>
        <w:t>颁布的《证券投资基金会计核算业务指引》、《创金合信鑫动力灵活配置混合型证券投资基金基金合同》和在财务报表附注</w:t>
      </w:r>
      <w:r>
        <w:rPr>
          <w:rFonts w:ascii="Times New Roman" w:hAnsi="Times New Roman"/>
          <w:color w:val="000000"/>
          <w:kern w:val="0"/>
          <w:sz w:val="24"/>
          <w:szCs w:val="24"/>
        </w:rPr>
        <w:t>7.4.4</w:t>
      </w:r>
      <w:r>
        <w:rPr>
          <w:rFonts w:hint="eastAsia" w:ascii="Times New Roman" w:hAnsi="Times New Roman"/>
          <w:color w:val="000000"/>
          <w:kern w:val="0"/>
          <w:sz w:val="24"/>
          <w:szCs w:val="24"/>
        </w:rPr>
        <w:t>所列示的中国证监会、中国基金业协会发布的有关规定及允许的基金行业实务操作编制。</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7.4.3 </w:t>
      </w:r>
      <w:r>
        <w:rPr>
          <w:rFonts w:hint="eastAsia" w:ascii="Times New Roman" w:hAnsi="Times New Roman"/>
          <w:b/>
          <w:color w:val="000000"/>
          <w:kern w:val="0"/>
          <w:sz w:val="24"/>
          <w:szCs w:val="24"/>
        </w:rPr>
        <w:t>遵循企业会计准则及其他有关规定的声明</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本基金</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8</w:t>
      </w:r>
      <w:r>
        <w:rPr>
          <w:rFonts w:hint="eastAsia" w:ascii="Times New Roman" w:hAnsi="Times New Roman"/>
          <w:color w:val="000000"/>
          <w:kern w:val="0"/>
          <w:sz w:val="24"/>
          <w:szCs w:val="24"/>
        </w:rPr>
        <w:t>月</w:t>
      </w:r>
      <w:r>
        <w:rPr>
          <w:rFonts w:ascii="Times New Roman" w:hAnsi="Times New Roman"/>
          <w:color w:val="000000"/>
          <w:kern w:val="0"/>
          <w:sz w:val="24"/>
          <w:szCs w:val="24"/>
        </w:rPr>
        <w:t>30</w:t>
      </w:r>
      <w:r>
        <w:rPr>
          <w:rFonts w:hint="eastAsia" w:ascii="Times New Roman" w:hAnsi="Times New Roman"/>
          <w:color w:val="000000"/>
          <w:kern w:val="0"/>
          <w:sz w:val="24"/>
          <w:szCs w:val="24"/>
        </w:rPr>
        <w:t>日</w:t>
      </w:r>
      <w:r>
        <w:rPr>
          <w:rFonts w:ascii="Times New Roman" w:hAnsi="Times New Roman"/>
          <w:color w:val="000000"/>
          <w:kern w:val="0"/>
          <w:sz w:val="24"/>
          <w:szCs w:val="24"/>
        </w:rPr>
        <w:t>(</w:t>
      </w:r>
      <w:r>
        <w:rPr>
          <w:rFonts w:hint="eastAsia" w:ascii="Times New Roman" w:hAnsi="Times New Roman"/>
          <w:color w:val="000000"/>
          <w:kern w:val="0"/>
          <w:sz w:val="24"/>
          <w:szCs w:val="24"/>
        </w:rPr>
        <w:t>基金合同生效日</w:t>
      </w:r>
      <w:r>
        <w:rPr>
          <w:rFonts w:ascii="Times New Roman" w:hAnsi="Times New Roman"/>
          <w:color w:val="000000"/>
          <w:kern w:val="0"/>
          <w:sz w:val="24"/>
          <w:szCs w:val="24"/>
        </w:rPr>
        <w:t>)</w:t>
      </w:r>
      <w:r>
        <w:rPr>
          <w:rFonts w:hint="eastAsia" w:ascii="Times New Roman" w:hAnsi="Times New Roman"/>
          <w:color w:val="000000"/>
          <w:kern w:val="0"/>
          <w:sz w:val="24"/>
          <w:szCs w:val="24"/>
        </w:rPr>
        <w:t>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日止期间财务报表符合企业会计准则的要求，真实、完整地反映了本基金</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日的财务状况以及</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8</w:t>
      </w:r>
      <w:r>
        <w:rPr>
          <w:rFonts w:hint="eastAsia" w:ascii="Times New Roman" w:hAnsi="Times New Roman"/>
          <w:color w:val="000000"/>
          <w:kern w:val="0"/>
          <w:sz w:val="24"/>
          <w:szCs w:val="24"/>
        </w:rPr>
        <w:t>月</w:t>
      </w:r>
      <w:r>
        <w:rPr>
          <w:rFonts w:ascii="Times New Roman" w:hAnsi="Times New Roman"/>
          <w:color w:val="000000"/>
          <w:kern w:val="0"/>
          <w:sz w:val="24"/>
          <w:szCs w:val="24"/>
        </w:rPr>
        <w:t>30</w:t>
      </w:r>
      <w:r>
        <w:rPr>
          <w:rFonts w:hint="eastAsia" w:ascii="Times New Roman" w:hAnsi="Times New Roman"/>
          <w:color w:val="000000"/>
          <w:kern w:val="0"/>
          <w:sz w:val="24"/>
          <w:szCs w:val="24"/>
        </w:rPr>
        <w:t>日</w:t>
      </w:r>
      <w:r>
        <w:rPr>
          <w:rFonts w:ascii="Times New Roman" w:hAnsi="Times New Roman"/>
          <w:color w:val="000000"/>
          <w:kern w:val="0"/>
          <w:sz w:val="24"/>
          <w:szCs w:val="24"/>
        </w:rPr>
        <w:t>(</w:t>
      </w:r>
      <w:r>
        <w:rPr>
          <w:rFonts w:hint="eastAsia" w:ascii="Times New Roman" w:hAnsi="Times New Roman"/>
          <w:color w:val="000000"/>
          <w:kern w:val="0"/>
          <w:sz w:val="24"/>
          <w:szCs w:val="24"/>
        </w:rPr>
        <w:t>基金合同生效日</w:t>
      </w:r>
      <w:r>
        <w:rPr>
          <w:rFonts w:ascii="Times New Roman" w:hAnsi="Times New Roman"/>
          <w:color w:val="000000"/>
          <w:kern w:val="0"/>
          <w:sz w:val="24"/>
          <w:szCs w:val="24"/>
        </w:rPr>
        <w:t>)</w:t>
      </w:r>
      <w:r>
        <w:rPr>
          <w:rFonts w:hint="eastAsia" w:ascii="Times New Roman" w:hAnsi="Times New Roman"/>
          <w:color w:val="000000"/>
          <w:kern w:val="0"/>
          <w:sz w:val="24"/>
          <w:szCs w:val="24"/>
        </w:rPr>
        <w:t>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日止期间的经营成果和基金净值变动情况等有关信息。</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7.4.4 </w:t>
      </w:r>
      <w:r>
        <w:rPr>
          <w:rFonts w:hint="eastAsia" w:ascii="Times New Roman" w:hAnsi="Times New Roman"/>
          <w:b/>
          <w:color w:val="000000"/>
          <w:kern w:val="0"/>
          <w:sz w:val="24"/>
          <w:szCs w:val="24"/>
        </w:rPr>
        <w:t>重要会计政策和会计估计</w:t>
      </w:r>
    </w:p>
    <w:p>
      <w:pPr>
        <w:autoSpaceDE w:val="0"/>
        <w:autoSpaceDN w:val="0"/>
        <w:adjustRightInd w:val="0"/>
        <w:spacing w:line="288" w:lineRule="auto"/>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7.4.4.1 </w:t>
      </w:r>
      <w:r>
        <w:rPr>
          <w:rFonts w:hint="eastAsia" w:ascii="Times New Roman" w:hAnsi="Times New Roman"/>
          <w:b/>
          <w:color w:val="000000"/>
          <w:kern w:val="0"/>
          <w:sz w:val="24"/>
          <w:szCs w:val="24"/>
        </w:rPr>
        <w:t>会计年度</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本基金会计年度为公历</w:t>
      </w:r>
      <w:r>
        <w:rPr>
          <w:rFonts w:ascii="Times New Roman" w:hAnsi="Times New Roman"/>
          <w:color w:val="000000"/>
          <w:kern w:val="0"/>
          <w:sz w:val="24"/>
          <w:szCs w:val="24"/>
        </w:rPr>
        <w:t>1</w:t>
      </w:r>
      <w:r>
        <w:rPr>
          <w:rFonts w:hint="eastAsia" w:ascii="Times New Roman" w:hAnsi="Times New Roman"/>
          <w:color w:val="000000"/>
          <w:kern w:val="0"/>
          <w:sz w:val="24"/>
          <w:szCs w:val="24"/>
        </w:rPr>
        <w:t>月</w:t>
      </w:r>
      <w:r>
        <w:rPr>
          <w:rFonts w:ascii="Times New Roman" w:hAnsi="Times New Roman"/>
          <w:color w:val="000000"/>
          <w:kern w:val="0"/>
          <w:sz w:val="24"/>
          <w:szCs w:val="24"/>
        </w:rPr>
        <w:t>1</w:t>
      </w:r>
      <w:r>
        <w:rPr>
          <w:rFonts w:hint="eastAsia" w:ascii="Times New Roman" w:hAnsi="Times New Roman"/>
          <w:color w:val="000000"/>
          <w:kern w:val="0"/>
          <w:sz w:val="24"/>
          <w:szCs w:val="24"/>
        </w:rPr>
        <w:t>日起至</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日止。本期财务报表的实际编制期间为</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8</w:t>
      </w:r>
      <w:r>
        <w:rPr>
          <w:rFonts w:hint="eastAsia" w:ascii="Times New Roman" w:hAnsi="Times New Roman"/>
          <w:color w:val="000000"/>
          <w:kern w:val="0"/>
          <w:sz w:val="24"/>
          <w:szCs w:val="24"/>
        </w:rPr>
        <w:t>月</w:t>
      </w:r>
      <w:r>
        <w:rPr>
          <w:rFonts w:ascii="Times New Roman" w:hAnsi="Times New Roman"/>
          <w:color w:val="000000"/>
          <w:kern w:val="0"/>
          <w:sz w:val="24"/>
          <w:szCs w:val="24"/>
        </w:rPr>
        <w:t>30</w:t>
      </w:r>
      <w:r>
        <w:rPr>
          <w:rFonts w:hint="eastAsia" w:ascii="Times New Roman" w:hAnsi="Times New Roman"/>
          <w:color w:val="000000"/>
          <w:kern w:val="0"/>
          <w:sz w:val="24"/>
          <w:szCs w:val="24"/>
        </w:rPr>
        <w:t>日</w:t>
      </w:r>
      <w:r>
        <w:rPr>
          <w:rFonts w:ascii="Times New Roman" w:hAnsi="Times New Roman"/>
          <w:color w:val="000000"/>
          <w:kern w:val="0"/>
          <w:sz w:val="24"/>
          <w:szCs w:val="24"/>
        </w:rPr>
        <w:t>(</w:t>
      </w:r>
      <w:r>
        <w:rPr>
          <w:rFonts w:hint="eastAsia" w:ascii="Times New Roman" w:hAnsi="Times New Roman"/>
          <w:color w:val="000000"/>
          <w:kern w:val="0"/>
          <w:sz w:val="24"/>
          <w:szCs w:val="24"/>
        </w:rPr>
        <w:t>基金合同生效日</w:t>
      </w:r>
      <w:r>
        <w:rPr>
          <w:rFonts w:ascii="Times New Roman" w:hAnsi="Times New Roman"/>
          <w:color w:val="000000"/>
          <w:kern w:val="0"/>
          <w:sz w:val="24"/>
          <w:szCs w:val="24"/>
        </w:rPr>
        <w:t>)</w:t>
      </w:r>
      <w:r>
        <w:rPr>
          <w:rFonts w:hint="eastAsia" w:ascii="Times New Roman" w:hAnsi="Times New Roman"/>
          <w:color w:val="000000"/>
          <w:kern w:val="0"/>
          <w:sz w:val="24"/>
          <w:szCs w:val="24"/>
        </w:rPr>
        <w:t>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日止期间。</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7.4.4.2 </w:t>
      </w:r>
      <w:r>
        <w:rPr>
          <w:rFonts w:hint="eastAsia" w:ascii="Times New Roman" w:hAnsi="Times New Roman"/>
          <w:b/>
          <w:color w:val="000000"/>
          <w:kern w:val="0"/>
          <w:sz w:val="24"/>
          <w:szCs w:val="24"/>
        </w:rPr>
        <w:t>记账本位币</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本基金的记账本位币为人民币。</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7.4.4.3 </w:t>
      </w:r>
      <w:r>
        <w:rPr>
          <w:rFonts w:hint="eastAsia" w:ascii="Times New Roman" w:hAnsi="Times New Roman"/>
          <w:b/>
          <w:color w:val="000000"/>
          <w:kern w:val="0"/>
          <w:sz w:val="24"/>
          <w:szCs w:val="24"/>
        </w:rPr>
        <w:t>金融资产和金融负债的分类</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(1)</w:t>
      </w:r>
      <w:r>
        <w:rPr>
          <w:rFonts w:hint="eastAsia" w:ascii="Times New Roman" w:hAnsi="Times New Roman"/>
          <w:color w:val="000000"/>
          <w:kern w:val="0"/>
          <w:sz w:val="24"/>
          <w:szCs w:val="24"/>
        </w:rPr>
        <w:t>金融资产的分类</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金融资产于初始确认时分类为：以公允价值计量且其变动计入当期损益的金融资产、应收款项、可供出售金融资产及持有至到期投资。金融资产的分类取决于本基金对金融资产的持有意图和持有能力。本基金现无金融资产分类为可供出售金融资产及持有至到期投资。</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本基金目前以交易目的持有的股票投资、债券投资和衍生工具</w:t>
      </w:r>
      <w:r>
        <w:rPr>
          <w:rFonts w:ascii="Times New Roman" w:hAnsi="Times New Roman"/>
          <w:color w:val="000000"/>
          <w:kern w:val="0"/>
          <w:sz w:val="24"/>
          <w:szCs w:val="24"/>
        </w:rPr>
        <w:t>(</w:t>
      </w:r>
      <w:r>
        <w:rPr>
          <w:rFonts w:hint="eastAsia" w:ascii="Times New Roman" w:hAnsi="Times New Roman"/>
          <w:color w:val="000000"/>
          <w:kern w:val="0"/>
          <w:sz w:val="24"/>
          <w:szCs w:val="24"/>
        </w:rPr>
        <w:t>主要为权证投资</w:t>
      </w:r>
      <w:r>
        <w:rPr>
          <w:rFonts w:ascii="Times New Roman" w:hAnsi="Times New Roman"/>
          <w:color w:val="000000"/>
          <w:kern w:val="0"/>
          <w:sz w:val="24"/>
          <w:szCs w:val="24"/>
        </w:rPr>
        <w:t>)</w:t>
      </w:r>
      <w:r>
        <w:rPr>
          <w:rFonts w:hint="eastAsia" w:ascii="Times New Roman" w:hAnsi="Times New Roman"/>
          <w:color w:val="000000"/>
          <w:kern w:val="0"/>
          <w:sz w:val="24"/>
          <w:szCs w:val="24"/>
        </w:rPr>
        <w:t>分类为以公允价值计量且其变动计入当期损益的金融资产。除衍生工具所产生的金融资产在资产负债表中以衍生金融资产列示外，以公允价值计量且其公允价值变动计入损益的金融资产在资产负债表中以交易性金融资产列示。</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本基金持有的其他金融资产分类为应收款项，包括银行存款、买入返售金融资产和其他各类应收款项等。应收款项是指在活跃市场中没有报价、回收金额固定或可确定的非衍生金融资产。</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(2)</w:t>
      </w:r>
      <w:r>
        <w:rPr>
          <w:rFonts w:hint="eastAsia" w:ascii="Times New Roman" w:hAnsi="Times New Roman"/>
          <w:color w:val="000000"/>
          <w:kern w:val="0"/>
          <w:sz w:val="24"/>
          <w:szCs w:val="24"/>
        </w:rPr>
        <w:t>金融负债的分类</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金融负债于初始确认时分类为：以公允价值计量且其变动计入当期损益的金融负债及其他金融负债。本基金目前暂无金融负债分类为以公允价值计量且其变动计入当期损益的金融负债。本基金持有的其他金融负债包括卖出回购金融资产款和其他各类应付款项等。</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7.4.4.4 </w:t>
      </w:r>
      <w:r>
        <w:rPr>
          <w:rFonts w:hint="eastAsia" w:ascii="Times New Roman" w:hAnsi="Times New Roman"/>
          <w:b/>
          <w:color w:val="000000"/>
          <w:kern w:val="0"/>
          <w:sz w:val="24"/>
          <w:szCs w:val="24"/>
        </w:rPr>
        <w:t>金融资产和金融负债的初始确认、后续计量和终止确认</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金融资产或金融负债于本基金成为金融工具合同的一方时，按公允价值在资产负债表内确认。以公允价值计量且其变动计入当期损益的金融资产，取得时发生的相关交易费用计入当期损益；对于支付的价款中包含的债券起息日或上次除息日至购买日止的利息，单独确认为应收项目。应收款项和其他金融负债的相关交易费用计入初始确认金额。</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对于以公允价值计量且其变动计入当期损益的金融资产，按照公允价值进行后续计量；对于应收款项和其他金融负债采用实际利率法，以摊余成本进行后续计量。</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金融资产满足下列条件之一的，予以终止确认：</w:t>
      </w:r>
      <w:r>
        <w:rPr>
          <w:rFonts w:ascii="Times New Roman" w:hAnsi="Times New Roman"/>
          <w:color w:val="000000"/>
          <w:kern w:val="0"/>
          <w:sz w:val="24"/>
          <w:szCs w:val="24"/>
        </w:rPr>
        <w:t xml:space="preserve">(1) </w:t>
      </w:r>
      <w:r>
        <w:rPr>
          <w:rFonts w:hint="eastAsia" w:ascii="Times New Roman" w:hAnsi="Times New Roman"/>
          <w:color w:val="000000"/>
          <w:kern w:val="0"/>
          <w:sz w:val="24"/>
          <w:szCs w:val="24"/>
        </w:rPr>
        <w:t>收取该金融资产现金流量的合同权利终止；</w:t>
      </w:r>
      <w:r>
        <w:rPr>
          <w:rFonts w:ascii="Times New Roman" w:hAnsi="Times New Roman"/>
          <w:color w:val="000000"/>
          <w:kern w:val="0"/>
          <w:sz w:val="24"/>
          <w:szCs w:val="24"/>
        </w:rPr>
        <w:t xml:space="preserve">(2) </w:t>
      </w:r>
      <w:r>
        <w:rPr>
          <w:rFonts w:hint="eastAsia" w:ascii="Times New Roman" w:hAnsi="Times New Roman"/>
          <w:color w:val="000000"/>
          <w:kern w:val="0"/>
          <w:sz w:val="24"/>
          <w:szCs w:val="24"/>
        </w:rPr>
        <w:t>该金融资产已转移，且本基金将金融资产所有权上几乎所有的风险和报酬转移给转入方；或者</w:t>
      </w:r>
      <w:r>
        <w:rPr>
          <w:rFonts w:ascii="Times New Roman" w:hAnsi="Times New Roman"/>
          <w:color w:val="000000"/>
          <w:kern w:val="0"/>
          <w:sz w:val="24"/>
          <w:szCs w:val="24"/>
        </w:rPr>
        <w:t xml:space="preserve">(3) </w:t>
      </w:r>
      <w:r>
        <w:rPr>
          <w:rFonts w:hint="eastAsia" w:ascii="Times New Roman" w:hAnsi="Times New Roman"/>
          <w:color w:val="000000"/>
          <w:kern w:val="0"/>
          <w:sz w:val="24"/>
          <w:szCs w:val="24"/>
        </w:rPr>
        <w:t>该金融资产已转移，虽然本基金既没有转移也没有保留金融资产所有权上几乎所有的风险和报酬，但是放弃了对该金融资产控制。</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金融资产终止确认时，其账面价值与收到的对价的差额，计入当期损益。</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当金融负债的现时义务全部或部分已经解除时，终止确认该金融负债或义务已解除的部分。终止确认部分的账面价值与支付的对价之间的差额，计入当期损益。</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7.4.4.5 </w:t>
      </w:r>
      <w:r>
        <w:rPr>
          <w:rFonts w:hint="eastAsia" w:ascii="Times New Roman" w:hAnsi="Times New Roman"/>
          <w:b/>
          <w:color w:val="000000"/>
          <w:kern w:val="0"/>
          <w:sz w:val="24"/>
          <w:szCs w:val="24"/>
        </w:rPr>
        <w:t>金融资产和金融负债的估值原则</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本基金持有的股票投资、债券投资和衍生工具</w:t>
      </w:r>
      <w:r>
        <w:rPr>
          <w:rFonts w:ascii="Times New Roman" w:hAnsi="Times New Roman"/>
          <w:color w:val="000000"/>
          <w:kern w:val="0"/>
          <w:sz w:val="24"/>
          <w:szCs w:val="24"/>
        </w:rPr>
        <w:t>(</w:t>
      </w:r>
      <w:r>
        <w:rPr>
          <w:rFonts w:hint="eastAsia" w:ascii="Times New Roman" w:hAnsi="Times New Roman"/>
          <w:color w:val="000000"/>
          <w:kern w:val="0"/>
          <w:sz w:val="24"/>
          <w:szCs w:val="24"/>
        </w:rPr>
        <w:t>主要为权证投资</w:t>
      </w:r>
      <w:r>
        <w:rPr>
          <w:rFonts w:ascii="Times New Roman" w:hAnsi="Times New Roman"/>
          <w:color w:val="000000"/>
          <w:kern w:val="0"/>
          <w:sz w:val="24"/>
          <w:szCs w:val="24"/>
        </w:rPr>
        <w:t>)</w:t>
      </w:r>
      <w:r>
        <w:rPr>
          <w:rFonts w:hint="eastAsia" w:ascii="Times New Roman" w:hAnsi="Times New Roman"/>
          <w:color w:val="000000"/>
          <w:kern w:val="0"/>
          <w:sz w:val="24"/>
          <w:szCs w:val="24"/>
        </w:rPr>
        <w:t>按如下原则确定公允价值并进行估值：</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w:t>
      </w:r>
      <w:r>
        <w:rPr>
          <w:rFonts w:hint="eastAsia" w:ascii="Times New Roman" w:hAnsi="Times New Roman"/>
          <w:color w:val="000000"/>
          <w:kern w:val="0"/>
          <w:sz w:val="24"/>
          <w:szCs w:val="24"/>
        </w:rPr>
        <w:t>存在活跃市场的金融工具按其估值日的市场交易价格确定公允价值；估值日无交易，但最近交易日后经济环境未发生重大变化且证券发行机构未发生影响证券价格的重大事件的，按最近交易日的市场交易价格确定公允价值。</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(2)</w:t>
      </w:r>
      <w:r>
        <w:rPr>
          <w:rFonts w:hint="eastAsia" w:ascii="Times New Roman" w:hAnsi="Times New Roman"/>
          <w:color w:val="000000"/>
          <w:kern w:val="0"/>
          <w:sz w:val="24"/>
          <w:szCs w:val="24"/>
        </w:rPr>
        <w:t>存在活跃市场的金融工具，如估值日无交易且最近交易日后经济环境发生了重大变化，参考类似投资品种的现行市价及重大变化等因素，调整最近交易市价以确定公允价值。</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(3)</w:t>
      </w:r>
      <w:r>
        <w:rPr>
          <w:rFonts w:hint="eastAsia" w:ascii="Times New Roman" w:hAnsi="Times New Roman"/>
          <w:color w:val="000000"/>
          <w:kern w:val="0"/>
          <w:sz w:val="24"/>
          <w:szCs w:val="24"/>
        </w:rPr>
        <w:t>当金融工具不存在活跃市场，采用市场参与者普遍认同且被以往市场实际交易价格验证具有可靠性的估值技术确定公允价值。估值技术包括参考熟悉情况并自愿交易的各方最近进行的市场交易中使用的价格、参照实质上相同的其他金融工具的当前公允价值、现金流量折现法和期权定价模型等。采用估值技术时，尽可能最大程度使用市场参数，减少使用与本基金特定相关的参数。</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7.4.4.6 </w:t>
      </w:r>
      <w:r>
        <w:rPr>
          <w:rFonts w:hint="eastAsia" w:ascii="Times New Roman" w:hAnsi="Times New Roman"/>
          <w:b/>
          <w:color w:val="000000"/>
          <w:kern w:val="0"/>
          <w:sz w:val="24"/>
          <w:szCs w:val="24"/>
        </w:rPr>
        <w:t>金融资产和金融负债的抵销</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本基金持有的资产和承担的负债基本为金融资产和金融负债。当本基金</w:t>
      </w:r>
      <w:r>
        <w:rPr>
          <w:rFonts w:ascii="Times New Roman" w:hAnsi="Times New Roman"/>
          <w:color w:val="000000"/>
          <w:kern w:val="0"/>
          <w:sz w:val="24"/>
          <w:szCs w:val="24"/>
        </w:rPr>
        <w:t xml:space="preserve">1) </w:t>
      </w:r>
      <w:r>
        <w:rPr>
          <w:rFonts w:hint="eastAsia" w:ascii="Times New Roman" w:hAnsi="Times New Roman"/>
          <w:color w:val="000000"/>
          <w:kern w:val="0"/>
          <w:sz w:val="24"/>
          <w:szCs w:val="24"/>
        </w:rPr>
        <w:t>具有抵销已确认金额的法定权利且该种法定权利现在是可执行的；且</w:t>
      </w:r>
      <w:r>
        <w:rPr>
          <w:rFonts w:ascii="Times New Roman" w:hAnsi="Times New Roman"/>
          <w:color w:val="000000"/>
          <w:kern w:val="0"/>
          <w:sz w:val="24"/>
          <w:szCs w:val="24"/>
        </w:rPr>
        <w:t xml:space="preserve">2) </w:t>
      </w:r>
      <w:r>
        <w:rPr>
          <w:rFonts w:hint="eastAsia" w:ascii="Times New Roman" w:hAnsi="Times New Roman"/>
          <w:color w:val="000000"/>
          <w:kern w:val="0"/>
          <w:sz w:val="24"/>
          <w:szCs w:val="24"/>
        </w:rPr>
        <w:t>交易双方准备按净额结算时，金融资产与金融负债按抵销后的净额在资产负债表中列示。</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7.4.4.7 </w:t>
      </w:r>
      <w:r>
        <w:rPr>
          <w:rFonts w:hint="eastAsia" w:ascii="Times New Roman" w:hAnsi="Times New Roman"/>
          <w:b/>
          <w:color w:val="000000"/>
          <w:kern w:val="0"/>
          <w:sz w:val="24"/>
          <w:szCs w:val="24"/>
        </w:rPr>
        <w:t>实收基金</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实收基金为对外发行基金份额所募集的总金额在扣除损益平准金分摊部分后的余额。由于申购和赎回引起的实收基金变动分别于基金申购确认日及基金赎回确认日确认。</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7.4.4.8 </w:t>
      </w:r>
      <w:r>
        <w:rPr>
          <w:rFonts w:hint="eastAsia" w:ascii="Times New Roman" w:hAnsi="Times New Roman"/>
          <w:b/>
          <w:color w:val="000000"/>
          <w:kern w:val="0"/>
          <w:sz w:val="24"/>
          <w:szCs w:val="24"/>
        </w:rPr>
        <w:t>损益平准金</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损益平准金包括已实现平准金和未实现平准金。已实现平准金指在申购或赎回基金份额时，申购或赎回款项中包含的按累计未分配的已实现损益占基金净值比例计算的金额。未实现平准金指在申购或赎回基金份额时，申购或赎回款项中包含的按累计未实现损益占基金净值比例计算的金额。损益平准金于基金申购确认日或基金赎回确认日确认，并于期末全额转入未分配利润</w:t>
      </w:r>
      <w:r>
        <w:rPr>
          <w:rFonts w:ascii="Times New Roman" w:hAnsi="Times New Roman"/>
          <w:color w:val="000000"/>
          <w:kern w:val="0"/>
          <w:sz w:val="24"/>
          <w:szCs w:val="24"/>
        </w:rPr>
        <w:t>/(</w:t>
      </w:r>
      <w:r>
        <w:rPr>
          <w:rFonts w:hint="eastAsia" w:ascii="Times New Roman" w:hAnsi="Times New Roman"/>
          <w:color w:val="000000"/>
          <w:kern w:val="0"/>
          <w:sz w:val="24"/>
          <w:szCs w:val="24"/>
        </w:rPr>
        <w:t>累计亏损</w:t>
      </w:r>
      <w:r>
        <w:rPr>
          <w:rFonts w:ascii="Times New Roman" w:hAnsi="Times New Roman"/>
          <w:color w:val="000000"/>
          <w:kern w:val="0"/>
          <w:sz w:val="24"/>
          <w:szCs w:val="24"/>
        </w:rPr>
        <w:t>)</w:t>
      </w:r>
      <w:r>
        <w:rPr>
          <w:rFonts w:hint="eastAsia" w:ascii="Times New Roman" w:hAnsi="Times New Roman"/>
          <w:color w:val="000000"/>
          <w:kern w:val="0"/>
          <w:sz w:val="24"/>
          <w:szCs w:val="24"/>
        </w:rPr>
        <w:t>。</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7.4.4.9 </w:t>
      </w:r>
      <w:r>
        <w:rPr>
          <w:rFonts w:hint="eastAsia" w:ascii="Times New Roman" w:hAnsi="Times New Roman"/>
          <w:b/>
          <w:color w:val="000000"/>
          <w:kern w:val="0"/>
          <w:sz w:val="24"/>
          <w:szCs w:val="24"/>
        </w:rPr>
        <w:t>收入</w:t>
      </w:r>
      <w:r>
        <w:rPr>
          <w:rFonts w:ascii="Times New Roman" w:hAnsi="Times New Roman"/>
          <w:b/>
          <w:color w:val="000000"/>
          <w:kern w:val="0"/>
          <w:sz w:val="24"/>
          <w:szCs w:val="24"/>
        </w:rPr>
        <w:t>/</w:t>
      </w:r>
      <w:r>
        <w:rPr>
          <w:rFonts w:hint="eastAsia" w:ascii="Times New Roman" w:hAnsi="Times New Roman"/>
          <w:b/>
          <w:color w:val="000000"/>
          <w:kern w:val="0"/>
          <w:sz w:val="24"/>
          <w:szCs w:val="24"/>
        </w:rPr>
        <w:t>（损失）的确认和计量</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股票投资在持有期间应取得的现金股利扣除由上市公司代扣代缴的个人所得税后的净额确认为投资收益。债券投资在持有期间应取得的按票面利率或者发行价计算的利息扣除在适用情况下由债券发行企业代扣代缴的个人所得税后的净额确认为利息收入。</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以公允价值计量且其变动计入当期损益的金融资产在持有期间的公允价值变动确认为公允价值变动损益；于处置时，其处置价格与初始确认金额之间的差额确认为投资收益，其中包括从公允价值变动损益结转的公允价值累计变动额。</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应收款项在持有期间确认的利息收入按实际利率法计算，实际利率法与直线法差异较小的则按直线法计算。</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7.4.4.10 </w:t>
      </w:r>
      <w:r>
        <w:rPr>
          <w:rFonts w:hint="eastAsia" w:ascii="Times New Roman" w:hAnsi="Times New Roman"/>
          <w:b/>
          <w:color w:val="000000"/>
          <w:kern w:val="0"/>
          <w:sz w:val="24"/>
          <w:szCs w:val="24"/>
        </w:rPr>
        <w:t>费用的确认和计量</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本基金的管理人报酬、托管费和销售服务费在费用涵盖期间按基金合同约定的费率和计算方法逐日确认。</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其他金融负债在持有期间确认的利息支出按实际利率法计算，实际利率法与直线法差异较小的则按直线法计算。</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7.4.4.11 </w:t>
      </w:r>
      <w:r>
        <w:rPr>
          <w:rFonts w:hint="eastAsia" w:ascii="Times New Roman" w:hAnsi="Times New Roman"/>
          <w:b/>
          <w:color w:val="000000"/>
          <w:kern w:val="0"/>
          <w:sz w:val="24"/>
          <w:szCs w:val="24"/>
        </w:rPr>
        <w:t>基金的收益分配政策</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本基金的收益分配政策为：</w:t>
      </w:r>
      <w:r>
        <w:rPr>
          <w:rFonts w:ascii="Times New Roman" w:hAnsi="Times New Roman"/>
          <w:color w:val="000000"/>
          <w:kern w:val="0"/>
          <w:sz w:val="24"/>
          <w:szCs w:val="24"/>
        </w:rPr>
        <w:t>1</w:t>
      </w:r>
      <w:r>
        <w:rPr>
          <w:rFonts w:hint="eastAsia" w:ascii="Times New Roman" w:hAnsi="Times New Roman"/>
          <w:color w:val="000000"/>
          <w:kern w:val="0"/>
          <w:sz w:val="24"/>
          <w:szCs w:val="24"/>
        </w:rPr>
        <w:t>、在符合有关基金分红条件的前提下，本基金每年收益分配次数最多为</w:t>
      </w:r>
      <w:r>
        <w:rPr>
          <w:rFonts w:ascii="Times New Roman" w:hAnsi="Times New Roman"/>
          <w:color w:val="000000"/>
          <w:kern w:val="0"/>
          <w:sz w:val="24"/>
          <w:szCs w:val="24"/>
        </w:rPr>
        <w:t>12</w:t>
      </w:r>
      <w:r>
        <w:rPr>
          <w:rFonts w:hint="eastAsia" w:ascii="Times New Roman" w:hAnsi="Times New Roman"/>
          <w:color w:val="000000"/>
          <w:kern w:val="0"/>
          <w:sz w:val="24"/>
          <w:szCs w:val="24"/>
        </w:rPr>
        <w:t>次，每份基金份额每次收益分配比例不得低于收益分配基准日每份基金份额该次可供分配利润的</w:t>
      </w:r>
      <w:r>
        <w:rPr>
          <w:rFonts w:ascii="Times New Roman" w:hAnsi="Times New Roman"/>
          <w:color w:val="000000"/>
          <w:kern w:val="0"/>
          <w:sz w:val="24"/>
          <w:szCs w:val="24"/>
        </w:rPr>
        <w:t>10%</w:t>
      </w:r>
      <w:r>
        <w:rPr>
          <w:rFonts w:hint="eastAsia" w:ascii="Times New Roman" w:hAnsi="Times New Roman"/>
          <w:color w:val="000000"/>
          <w:kern w:val="0"/>
          <w:sz w:val="24"/>
          <w:szCs w:val="24"/>
        </w:rPr>
        <w:t>，若《基金合同》生效不满</w:t>
      </w:r>
      <w:r>
        <w:rPr>
          <w:rFonts w:ascii="Times New Roman" w:hAnsi="Times New Roman"/>
          <w:color w:val="000000"/>
          <w:kern w:val="0"/>
          <w:sz w:val="24"/>
          <w:szCs w:val="24"/>
        </w:rPr>
        <w:t>3</w:t>
      </w:r>
      <w:r>
        <w:rPr>
          <w:rFonts w:hint="eastAsia" w:ascii="Times New Roman" w:hAnsi="Times New Roman"/>
          <w:color w:val="000000"/>
          <w:kern w:val="0"/>
          <w:sz w:val="24"/>
          <w:szCs w:val="24"/>
        </w:rPr>
        <w:t>个月可不进行收益分配；</w:t>
      </w:r>
      <w:r>
        <w:rPr>
          <w:rFonts w:ascii="Times New Roman" w:hAnsi="Times New Roman"/>
          <w:color w:val="000000"/>
          <w:kern w:val="0"/>
          <w:sz w:val="24"/>
          <w:szCs w:val="24"/>
        </w:rPr>
        <w:t>2</w:t>
      </w:r>
      <w:r>
        <w:rPr>
          <w:rFonts w:hint="eastAsia" w:ascii="Times New Roman" w:hAnsi="Times New Roman"/>
          <w:color w:val="000000"/>
          <w:kern w:val="0"/>
          <w:sz w:val="24"/>
          <w:szCs w:val="24"/>
        </w:rPr>
        <w:t>、本基金收益分配方式分两种：现金分红与红利再投资，投资者可选择现金红利或将现金红利自动转为基金份额进行再投资；若投资者不选择，本基金默认的收益分配方式是现金分红；</w:t>
      </w:r>
      <w:r>
        <w:rPr>
          <w:rFonts w:ascii="Times New Roman" w:hAnsi="Times New Roman"/>
          <w:color w:val="000000"/>
          <w:kern w:val="0"/>
          <w:sz w:val="24"/>
          <w:szCs w:val="24"/>
        </w:rPr>
        <w:t>3</w:t>
      </w:r>
      <w:r>
        <w:rPr>
          <w:rFonts w:hint="eastAsia" w:ascii="Times New Roman" w:hAnsi="Times New Roman"/>
          <w:color w:val="000000"/>
          <w:kern w:val="0"/>
          <w:sz w:val="24"/>
          <w:szCs w:val="24"/>
        </w:rPr>
        <w:t>、基金收益分配后基金份额净值不能低于面值；即基金收益分配基准日的基金份额净值减去每单位基金份额收益分配金额后不能低于面值；</w:t>
      </w:r>
      <w:r>
        <w:rPr>
          <w:rFonts w:ascii="Times New Roman" w:hAnsi="Times New Roman"/>
          <w:color w:val="000000"/>
          <w:kern w:val="0"/>
          <w:sz w:val="24"/>
          <w:szCs w:val="24"/>
        </w:rPr>
        <w:t>4</w:t>
      </w:r>
      <w:r>
        <w:rPr>
          <w:rFonts w:hint="eastAsia" w:ascii="Times New Roman" w:hAnsi="Times New Roman"/>
          <w:color w:val="000000"/>
          <w:kern w:val="0"/>
          <w:sz w:val="24"/>
          <w:szCs w:val="24"/>
        </w:rPr>
        <w:t>、同一类别的每一基金份额享有同等分配权。由于本基金</w:t>
      </w:r>
      <w:r>
        <w:rPr>
          <w:rFonts w:ascii="Times New Roman" w:hAnsi="Times New Roman"/>
          <w:color w:val="000000"/>
          <w:kern w:val="0"/>
          <w:sz w:val="24"/>
          <w:szCs w:val="24"/>
        </w:rPr>
        <w:t>A</w:t>
      </w:r>
      <w:r>
        <w:rPr>
          <w:rFonts w:hint="eastAsia" w:ascii="Times New Roman" w:hAnsi="Times New Roman"/>
          <w:color w:val="000000"/>
          <w:kern w:val="0"/>
          <w:sz w:val="24"/>
          <w:szCs w:val="24"/>
        </w:rPr>
        <w:t>类基金份额与</w:t>
      </w:r>
      <w:r>
        <w:rPr>
          <w:rFonts w:ascii="Times New Roman" w:hAnsi="Times New Roman"/>
          <w:color w:val="000000"/>
          <w:kern w:val="0"/>
          <w:sz w:val="24"/>
          <w:szCs w:val="24"/>
        </w:rPr>
        <w:t>C</w:t>
      </w:r>
      <w:r>
        <w:rPr>
          <w:rFonts w:hint="eastAsia" w:ascii="Times New Roman" w:hAnsi="Times New Roman"/>
          <w:color w:val="000000"/>
          <w:kern w:val="0"/>
          <w:sz w:val="24"/>
          <w:szCs w:val="24"/>
        </w:rPr>
        <w:t>类基金份额的基金费用不同，不同类别的基金份额对应的可供分配利润或将不同；</w:t>
      </w:r>
      <w:r>
        <w:rPr>
          <w:rFonts w:ascii="Times New Roman" w:hAnsi="Times New Roman"/>
          <w:color w:val="000000"/>
          <w:kern w:val="0"/>
          <w:sz w:val="24"/>
          <w:szCs w:val="24"/>
        </w:rPr>
        <w:t>5</w:t>
      </w:r>
      <w:r>
        <w:rPr>
          <w:rFonts w:hint="eastAsia" w:ascii="Times New Roman" w:hAnsi="Times New Roman"/>
          <w:color w:val="000000"/>
          <w:kern w:val="0"/>
          <w:sz w:val="24"/>
          <w:szCs w:val="24"/>
        </w:rPr>
        <w:t>、法律法规或监管机关另有规定的，从其规定。</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7.4.4.12 </w:t>
      </w:r>
      <w:r>
        <w:rPr>
          <w:rFonts w:hint="eastAsia" w:ascii="Times New Roman" w:hAnsi="Times New Roman"/>
          <w:b/>
          <w:color w:val="000000"/>
          <w:kern w:val="0"/>
          <w:sz w:val="24"/>
          <w:szCs w:val="24"/>
        </w:rPr>
        <w:t>分部报告</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本基金以内部组织结构、管理要求、内部报告制度为依据确定经营分部，以经营分部为基础确定报告分部并披露分部信息。经营分部是指本基金内同时满足下列条件的组成部分：</w:t>
      </w:r>
      <w:r>
        <w:rPr>
          <w:rFonts w:ascii="Times New Roman" w:hAnsi="Times New Roman"/>
          <w:color w:val="000000"/>
          <w:kern w:val="0"/>
          <w:sz w:val="24"/>
          <w:szCs w:val="24"/>
        </w:rPr>
        <w:t xml:space="preserve">(1) </w:t>
      </w:r>
      <w:r>
        <w:rPr>
          <w:rFonts w:hint="eastAsia" w:ascii="Times New Roman" w:hAnsi="Times New Roman"/>
          <w:color w:val="000000"/>
          <w:kern w:val="0"/>
          <w:sz w:val="24"/>
          <w:szCs w:val="24"/>
        </w:rPr>
        <w:t>该组成部分能够在日常活动中产生收入、发生费用；</w:t>
      </w:r>
      <w:r>
        <w:rPr>
          <w:rFonts w:ascii="Times New Roman" w:hAnsi="Times New Roman"/>
          <w:color w:val="000000"/>
          <w:kern w:val="0"/>
          <w:sz w:val="24"/>
          <w:szCs w:val="24"/>
        </w:rPr>
        <w:t xml:space="preserve">(2) </w:t>
      </w:r>
      <w:r>
        <w:rPr>
          <w:rFonts w:hint="eastAsia" w:ascii="Times New Roman" w:hAnsi="Times New Roman"/>
          <w:color w:val="000000"/>
          <w:kern w:val="0"/>
          <w:sz w:val="24"/>
          <w:szCs w:val="24"/>
        </w:rPr>
        <w:t>本基金的基金管理人能够定期评价该组成部分的经营成果，以决定向其配置资源、评价其业绩；</w:t>
      </w:r>
      <w:r>
        <w:rPr>
          <w:rFonts w:ascii="Times New Roman" w:hAnsi="Times New Roman"/>
          <w:color w:val="000000"/>
          <w:kern w:val="0"/>
          <w:sz w:val="24"/>
          <w:szCs w:val="24"/>
        </w:rPr>
        <w:t xml:space="preserve">(3) </w:t>
      </w:r>
      <w:r>
        <w:rPr>
          <w:rFonts w:hint="eastAsia" w:ascii="Times New Roman" w:hAnsi="Times New Roman"/>
          <w:color w:val="000000"/>
          <w:kern w:val="0"/>
          <w:sz w:val="24"/>
          <w:szCs w:val="24"/>
        </w:rPr>
        <w:t>本基金能够取得该组成部分的财务状况、经营成果和现金流量等有关会计信息。如果两个或多个经营分部具有相似的经济特征，并且满足一定条件的，则合并为一个经营分部。</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本基金目前以一个单一的经营分部运作，不需要披露分部信息。</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7.4.4.13 </w:t>
      </w:r>
      <w:r>
        <w:rPr>
          <w:rFonts w:hint="eastAsia" w:ascii="Times New Roman" w:hAnsi="Times New Roman"/>
          <w:b/>
          <w:color w:val="000000"/>
          <w:kern w:val="0"/>
          <w:sz w:val="24"/>
          <w:szCs w:val="24"/>
        </w:rPr>
        <w:t>其他重要的会计政策和会计估计</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根据本基金的估值原则和中国证监会允许的基金行业估值实务操作，本基金确定以下类别股票投资和债券投资的公允价值时采用的估值方法及其关键假设如下：</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w:t>
      </w:r>
      <w:r>
        <w:rPr>
          <w:rFonts w:hint="eastAsia" w:ascii="Times New Roman" w:hAnsi="Times New Roman"/>
          <w:color w:val="000000"/>
          <w:kern w:val="0"/>
          <w:sz w:val="24"/>
          <w:szCs w:val="24"/>
        </w:rPr>
        <w:t>对于证券交易所上市的股票和债券，若出现重大事项停牌或交易不活跃</w:t>
      </w:r>
      <w:r>
        <w:rPr>
          <w:rFonts w:ascii="Times New Roman" w:hAnsi="Times New Roman"/>
          <w:color w:val="000000"/>
          <w:kern w:val="0"/>
          <w:sz w:val="24"/>
          <w:szCs w:val="24"/>
        </w:rPr>
        <w:t>(</w:t>
      </w:r>
      <w:r>
        <w:rPr>
          <w:rFonts w:hint="eastAsia" w:ascii="Times New Roman" w:hAnsi="Times New Roman"/>
          <w:color w:val="000000"/>
          <w:kern w:val="0"/>
          <w:sz w:val="24"/>
          <w:szCs w:val="24"/>
        </w:rPr>
        <w:t>包括涨跌停时的交易不活跃</w:t>
      </w:r>
      <w:r>
        <w:rPr>
          <w:rFonts w:ascii="Times New Roman" w:hAnsi="Times New Roman"/>
          <w:color w:val="000000"/>
          <w:kern w:val="0"/>
          <w:sz w:val="24"/>
          <w:szCs w:val="24"/>
        </w:rPr>
        <w:t>)</w:t>
      </w:r>
      <w:r>
        <w:rPr>
          <w:rFonts w:hint="eastAsia" w:ascii="Times New Roman" w:hAnsi="Times New Roman"/>
          <w:color w:val="000000"/>
          <w:kern w:val="0"/>
          <w:sz w:val="24"/>
          <w:szCs w:val="24"/>
        </w:rPr>
        <w:t>等情况，本基金根据中国证监会公告</w:t>
      </w:r>
      <w:r>
        <w:rPr>
          <w:rFonts w:ascii="Times New Roman" w:hAnsi="Times New Roman"/>
          <w:color w:val="000000"/>
          <w:kern w:val="0"/>
          <w:sz w:val="24"/>
          <w:szCs w:val="24"/>
        </w:rPr>
        <w:t>[2008]38</w:t>
      </w:r>
      <w:r>
        <w:rPr>
          <w:rFonts w:hint="eastAsia" w:ascii="Times New Roman" w:hAnsi="Times New Roman"/>
          <w:color w:val="000000"/>
          <w:kern w:val="0"/>
          <w:sz w:val="24"/>
          <w:szCs w:val="24"/>
        </w:rPr>
        <w:t>号《关于进一步规范证券投资基金估值业务的指导意见》，根据具体情况采用《关于发布中基协</w:t>
      </w:r>
      <w:r>
        <w:rPr>
          <w:rFonts w:ascii="Times New Roman" w:hAnsi="Times New Roman"/>
          <w:color w:val="000000"/>
          <w:kern w:val="0"/>
          <w:sz w:val="24"/>
          <w:szCs w:val="24"/>
        </w:rPr>
        <w:t>(AMAC)</w:t>
      </w:r>
      <w:r>
        <w:rPr>
          <w:rFonts w:hint="eastAsia" w:ascii="Times New Roman" w:hAnsi="Times New Roman"/>
          <w:color w:val="000000"/>
          <w:kern w:val="0"/>
          <w:sz w:val="24"/>
          <w:szCs w:val="24"/>
        </w:rPr>
        <w:t>基金行业股票估值指数的通知》提供的指数收益法等估值技术进行估值。</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(2)</w:t>
      </w:r>
      <w:r>
        <w:rPr>
          <w:rFonts w:hint="eastAsia" w:ascii="Times New Roman" w:hAnsi="Times New Roman"/>
          <w:color w:val="000000"/>
          <w:kern w:val="0"/>
          <w:sz w:val="24"/>
          <w:szCs w:val="24"/>
        </w:rPr>
        <w:t>在银行间同业市场交易的债券品种，根据中国证监会证监会计字</w:t>
      </w:r>
      <w:r>
        <w:rPr>
          <w:rFonts w:ascii="Times New Roman" w:hAnsi="Times New Roman"/>
          <w:color w:val="000000"/>
          <w:kern w:val="0"/>
          <w:sz w:val="24"/>
          <w:szCs w:val="24"/>
        </w:rPr>
        <w:t>[2007]21</w:t>
      </w:r>
      <w:r>
        <w:rPr>
          <w:rFonts w:hint="eastAsia" w:ascii="Times New Roman" w:hAnsi="Times New Roman"/>
          <w:color w:val="000000"/>
          <w:kern w:val="0"/>
          <w:sz w:val="24"/>
          <w:szCs w:val="24"/>
        </w:rPr>
        <w:t>号《关于证券投资基金执行</w:t>
      </w:r>
      <w:r>
        <w:rPr>
          <w:rFonts w:ascii="Times New Roman" w:hAnsi="Times New Roman"/>
          <w:color w:val="000000"/>
          <w:kern w:val="0"/>
          <w:sz w:val="24"/>
          <w:szCs w:val="24"/>
        </w:rPr>
        <w:t>&lt;</w:t>
      </w:r>
      <w:r>
        <w:rPr>
          <w:rFonts w:hint="eastAsia" w:ascii="Times New Roman" w:hAnsi="Times New Roman"/>
          <w:color w:val="000000"/>
          <w:kern w:val="0"/>
          <w:sz w:val="24"/>
          <w:szCs w:val="24"/>
        </w:rPr>
        <w:t>企业会计准则</w:t>
      </w:r>
      <w:r>
        <w:rPr>
          <w:rFonts w:ascii="Times New Roman" w:hAnsi="Times New Roman"/>
          <w:color w:val="000000"/>
          <w:kern w:val="0"/>
          <w:sz w:val="24"/>
          <w:szCs w:val="24"/>
        </w:rPr>
        <w:t>&gt;</w:t>
      </w:r>
      <w:r>
        <w:rPr>
          <w:rFonts w:hint="eastAsia" w:ascii="Times New Roman" w:hAnsi="Times New Roman"/>
          <w:color w:val="000000"/>
          <w:kern w:val="0"/>
          <w:sz w:val="24"/>
          <w:szCs w:val="24"/>
        </w:rPr>
        <w:t>估值业务及份额净值计价有关事项的通知》采用估值技术确定公允价值。本基金持有的银行间同业市场债券按现金流量折现法估值，具体估值模型、参数及结果由中央国债登记结算有限责任公司独立提供。</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(3)</w:t>
      </w:r>
      <w:r>
        <w:rPr>
          <w:rFonts w:hint="eastAsia" w:ascii="Times New Roman" w:hAnsi="Times New Roman"/>
          <w:color w:val="000000"/>
          <w:kern w:val="0"/>
          <w:sz w:val="24"/>
          <w:szCs w:val="24"/>
        </w:rPr>
        <w:t>对于在证券交易所上市或挂牌转让的固定收益品种</w:t>
      </w:r>
      <w:r>
        <w:rPr>
          <w:rFonts w:ascii="Times New Roman" w:hAnsi="Times New Roman"/>
          <w:color w:val="000000"/>
          <w:kern w:val="0"/>
          <w:sz w:val="24"/>
          <w:szCs w:val="24"/>
        </w:rPr>
        <w:t>(</w:t>
      </w:r>
      <w:r>
        <w:rPr>
          <w:rFonts w:hint="eastAsia" w:ascii="Times New Roman" w:hAnsi="Times New Roman"/>
          <w:color w:val="000000"/>
          <w:kern w:val="0"/>
          <w:sz w:val="24"/>
          <w:szCs w:val="24"/>
        </w:rPr>
        <w:t>可转换债券、资产支持证券和私募债券除外</w:t>
      </w:r>
      <w:r>
        <w:rPr>
          <w:rFonts w:ascii="Times New Roman" w:hAnsi="Times New Roman"/>
          <w:color w:val="000000"/>
          <w:kern w:val="0"/>
          <w:sz w:val="24"/>
          <w:szCs w:val="24"/>
        </w:rPr>
        <w:t>)</w:t>
      </w:r>
      <w:r>
        <w:rPr>
          <w:rFonts w:hint="eastAsia" w:ascii="Times New Roman" w:hAnsi="Times New Roman"/>
          <w:color w:val="000000"/>
          <w:kern w:val="0"/>
          <w:sz w:val="24"/>
          <w:szCs w:val="24"/>
        </w:rPr>
        <w:t>，按照中证指数有限公司根据《中国证券投资基金业协会估值核算工作小组关于</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w:t>
      </w:r>
      <w:r>
        <w:rPr>
          <w:rFonts w:hint="eastAsia" w:ascii="Times New Roman" w:hAnsi="Times New Roman"/>
          <w:color w:val="000000"/>
          <w:kern w:val="0"/>
          <w:sz w:val="24"/>
          <w:szCs w:val="24"/>
        </w:rPr>
        <w:t>季度固定收益品种的估值处理标准》所独立提供的债券估值结果确定公允价值。</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7.4.5 </w:t>
      </w:r>
      <w:r>
        <w:rPr>
          <w:rFonts w:hint="eastAsia" w:ascii="Times New Roman" w:hAnsi="Times New Roman"/>
          <w:b/>
          <w:color w:val="000000"/>
          <w:kern w:val="0"/>
          <w:sz w:val="24"/>
          <w:szCs w:val="24"/>
        </w:rPr>
        <w:t>会计政策和会计估计变更以及差错更正的说明</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7.4.5.1 </w:t>
      </w:r>
      <w:r>
        <w:rPr>
          <w:rFonts w:hint="eastAsia" w:ascii="Times New Roman" w:hAnsi="Times New Roman"/>
          <w:b/>
          <w:color w:val="000000"/>
          <w:kern w:val="0"/>
          <w:sz w:val="24"/>
          <w:szCs w:val="24"/>
        </w:rPr>
        <w:t>会计政策变更的说明</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本基金本报告期未发生会计政策变更。</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7.4.5.2 </w:t>
      </w:r>
      <w:r>
        <w:rPr>
          <w:rFonts w:hint="eastAsia" w:ascii="Times New Roman" w:hAnsi="Times New Roman"/>
          <w:b/>
          <w:color w:val="000000"/>
          <w:kern w:val="0"/>
          <w:sz w:val="24"/>
          <w:szCs w:val="24"/>
        </w:rPr>
        <w:t>会计估计变更的说明</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本基金本报告期未发生会计估计变更。</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7.4.5.3 </w:t>
      </w:r>
      <w:r>
        <w:rPr>
          <w:rFonts w:hint="eastAsia" w:ascii="Times New Roman" w:hAnsi="Times New Roman"/>
          <w:b/>
          <w:color w:val="000000"/>
          <w:kern w:val="0"/>
          <w:sz w:val="24"/>
          <w:szCs w:val="24"/>
        </w:rPr>
        <w:t>差错更正的说明</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本基金在本报告期间无须说明的会计差错更正。</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7.4.6 </w:t>
      </w:r>
      <w:r>
        <w:rPr>
          <w:rFonts w:hint="eastAsia" w:ascii="Times New Roman" w:hAnsi="Times New Roman"/>
          <w:b/>
          <w:color w:val="000000"/>
          <w:kern w:val="0"/>
          <w:sz w:val="24"/>
          <w:szCs w:val="24"/>
        </w:rPr>
        <w:t>税项</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根据财政部、国家税务总局财税</w:t>
      </w:r>
      <w:r>
        <w:rPr>
          <w:rFonts w:ascii="Times New Roman" w:hAnsi="Times New Roman"/>
          <w:color w:val="000000"/>
          <w:kern w:val="0"/>
          <w:sz w:val="24"/>
          <w:szCs w:val="24"/>
        </w:rPr>
        <w:t>[2004]78</w:t>
      </w:r>
      <w:r>
        <w:rPr>
          <w:rFonts w:hint="eastAsia" w:ascii="Times New Roman" w:hAnsi="Times New Roman"/>
          <w:color w:val="000000"/>
          <w:kern w:val="0"/>
          <w:sz w:val="24"/>
          <w:szCs w:val="24"/>
        </w:rPr>
        <w:t>号《财政部、国家税务总局关于证券投资基金税收政策的通知》、财税</w:t>
      </w:r>
      <w:r>
        <w:rPr>
          <w:rFonts w:ascii="Times New Roman" w:hAnsi="Times New Roman"/>
          <w:color w:val="000000"/>
          <w:kern w:val="0"/>
          <w:sz w:val="24"/>
          <w:szCs w:val="24"/>
        </w:rPr>
        <w:t>[2008]1</w:t>
      </w:r>
      <w:r>
        <w:rPr>
          <w:rFonts w:hint="eastAsia" w:ascii="Times New Roman" w:hAnsi="Times New Roman"/>
          <w:color w:val="000000"/>
          <w:kern w:val="0"/>
          <w:sz w:val="24"/>
          <w:szCs w:val="24"/>
        </w:rPr>
        <w:t>号《关于企业所得税若干优惠政策的通知》、财税</w:t>
      </w:r>
      <w:r>
        <w:rPr>
          <w:rFonts w:ascii="Times New Roman" w:hAnsi="Times New Roman"/>
          <w:color w:val="000000"/>
          <w:kern w:val="0"/>
          <w:sz w:val="24"/>
          <w:szCs w:val="24"/>
        </w:rPr>
        <w:t>[2012]85</w:t>
      </w:r>
      <w:r>
        <w:rPr>
          <w:rFonts w:hint="eastAsia" w:ascii="Times New Roman" w:hAnsi="Times New Roman"/>
          <w:color w:val="000000"/>
          <w:kern w:val="0"/>
          <w:sz w:val="24"/>
          <w:szCs w:val="24"/>
        </w:rPr>
        <w:t>号《关于实施上市公司股息红利差别化个人所得税政策有关问题的通知》、财税</w:t>
      </w:r>
      <w:r>
        <w:rPr>
          <w:rFonts w:ascii="Times New Roman" w:hAnsi="Times New Roman"/>
          <w:color w:val="000000"/>
          <w:kern w:val="0"/>
          <w:sz w:val="24"/>
          <w:szCs w:val="24"/>
        </w:rPr>
        <w:t>[2015]101</w:t>
      </w:r>
      <w:r>
        <w:rPr>
          <w:rFonts w:hint="eastAsia" w:ascii="Times New Roman" w:hAnsi="Times New Roman"/>
          <w:color w:val="000000"/>
          <w:kern w:val="0"/>
          <w:sz w:val="24"/>
          <w:szCs w:val="24"/>
        </w:rPr>
        <w:t>号《关于上市公司股息红利差别化个人所得税政策有关问题的通知》、财税</w:t>
      </w:r>
      <w:r>
        <w:rPr>
          <w:rFonts w:ascii="Times New Roman" w:hAnsi="Times New Roman"/>
          <w:color w:val="000000"/>
          <w:kern w:val="0"/>
          <w:sz w:val="24"/>
          <w:szCs w:val="24"/>
        </w:rPr>
        <w:t>[2016]36</w:t>
      </w:r>
      <w:r>
        <w:rPr>
          <w:rFonts w:hint="eastAsia" w:ascii="Times New Roman" w:hAnsi="Times New Roman"/>
          <w:color w:val="000000"/>
          <w:kern w:val="0"/>
          <w:sz w:val="24"/>
          <w:szCs w:val="24"/>
        </w:rPr>
        <w:t>号《关于全面推开营业税改征增值税试点的通知》、财税</w:t>
      </w:r>
      <w:r>
        <w:rPr>
          <w:rFonts w:ascii="Times New Roman" w:hAnsi="Times New Roman"/>
          <w:color w:val="000000"/>
          <w:kern w:val="0"/>
          <w:sz w:val="24"/>
          <w:szCs w:val="24"/>
        </w:rPr>
        <w:t>[2016]46</w:t>
      </w:r>
      <w:r>
        <w:rPr>
          <w:rFonts w:hint="eastAsia" w:ascii="Times New Roman" w:hAnsi="Times New Roman"/>
          <w:color w:val="000000"/>
          <w:kern w:val="0"/>
          <w:sz w:val="24"/>
          <w:szCs w:val="24"/>
        </w:rPr>
        <w:t>号《关于进一步明确全面推开营改增试点金融业有关政策的通知》、财税</w:t>
      </w:r>
      <w:r>
        <w:rPr>
          <w:rFonts w:ascii="Times New Roman" w:hAnsi="Times New Roman"/>
          <w:color w:val="000000"/>
          <w:kern w:val="0"/>
          <w:sz w:val="24"/>
          <w:szCs w:val="24"/>
        </w:rPr>
        <w:t>[2016]70</w:t>
      </w:r>
      <w:r>
        <w:rPr>
          <w:rFonts w:hint="eastAsia" w:ascii="Times New Roman" w:hAnsi="Times New Roman"/>
          <w:color w:val="000000"/>
          <w:kern w:val="0"/>
          <w:sz w:val="24"/>
          <w:szCs w:val="24"/>
        </w:rPr>
        <w:t>号《关于金融机构同业往来等增值税政策的补充通知》及其他相关财税法规和实务操作，主要税项列示如下：</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(1) </w:t>
      </w:r>
      <w:r>
        <w:rPr>
          <w:rFonts w:hint="eastAsia" w:ascii="Times New Roman" w:hAnsi="Times New Roman"/>
          <w:color w:val="000000"/>
          <w:kern w:val="0"/>
          <w:sz w:val="24"/>
          <w:szCs w:val="24"/>
        </w:rPr>
        <w:t>于</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5</w:t>
      </w:r>
      <w:r>
        <w:rPr>
          <w:rFonts w:hint="eastAsia" w:ascii="Times New Roman" w:hAnsi="Times New Roman"/>
          <w:color w:val="000000"/>
          <w:kern w:val="0"/>
          <w:sz w:val="24"/>
          <w:szCs w:val="24"/>
        </w:rPr>
        <w:t>月</w:t>
      </w:r>
      <w:r>
        <w:rPr>
          <w:rFonts w:ascii="Times New Roman" w:hAnsi="Times New Roman"/>
          <w:color w:val="000000"/>
          <w:kern w:val="0"/>
          <w:sz w:val="24"/>
          <w:szCs w:val="24"/>
        </w:rPr>
        <w:t>1</w:t>
      </w:r>
      <w:r>
        <w:rPr>
          <w:rFonts w:hint="eastAsia" w:ascii="Times New Roman" w:hAnsi="Times New Roman"/>
          <w:color w:val="000000"/>
          <w:kern w:val="0"/>
          <w:sz w:val="24"/>
          <w:szCs w:val="24"/>
        </w:rPr>
        <w:t>日前，以发行基金方式募集资金不属于营业税征收范围，不征收营业税。对证券投资基金管理人运用基金买卖股票、债券的差价收入免征营业税。自</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5</w:t>
      </w:r>
      <w:r>
        <w:rPr>
          <w:rFonts w:hint="eastAsia" w:ascii="Times New Roman" w:hAnsi="Times New Roman"/>
          <w:color w:val="000000"/>
          <w:kern w:val="0"/>
          <w:sz w:val="24"/>
          <w:szCs w:val="24"/>
        </w:rPr>
        <w:t>月</w:t>
      </w:r>
      <w:r>
        <w:rPr>
          <w:rFonts w:ascii="Times New Roman" w:hAnsi="Times New Roman"/>
          <w:color w:val="000000"/>
          <w:kern w:val="0"/>
          <w:sz w:val="24"/>
          <w:szCs w:val="24"/>
        </w:rPr>
        <w:t>1</w:t>
      </w:r>
      <w:r>
        <w:rPr>
          <w:rFonts w:hint="eastAsia" w:ascii="Times New Roman" w:hAnsi="Times New Roman"/>
          <w:color w:val="000000"/>
          <w:kern w:val="0"/>
          <w:sz w:val="24"/>
          <w:szCs w:val="24"/>
        </w:rPr>
        <w:t>日起，金融业由缴纳营业税改为缴纳增值税。对证券投资基金管理人运用基金买卖股票、债券的转让收入免征增值税，对国债、地方政府债以及金融同业往来利息收入亦免征增值税</w:t>
      </w: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(2) </w:t>
      </w:r>
      <w:r>
        <w:rPr>
          <w:rFonts w:hint="eastAsia" w:ascii="Times New Roman" w:hAnsi="Times New Roman"/>
          <w:color w:val="000000"/>
          <w:kern w:val="0"/>
          <w:sz w:val="24"/>
          <w:szCs w:val="24"/>
        </w:rPr>
        <w:t>对基金从证券市场中取得的收入，包括买卖股票、债券的差价收入，股票的股息、红利收入，债券的利息收入及其他收入，暂不征收企业所得税。</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(3) </w:t>
      </w:r>
      <w:r>
        <w:rPr>
          <w:rFonts w:hint="eastAsia" w:ascii="Times New Roman" w:hAnsi="Times New Roman"/>
          <w:color w:val="000000"/>
          <w:kern w:val="0"/>
          <w:sz w:val="24"/>
          <w:szCs w:val="24"/>
        </w:rPr>
        <w:t>对基金取得的企业债券利息收入，应由发行债券的企业在向基金支付利息时代扣代缴</w:t>
      </w:r>
      <w:r>
        <w:rPr>
          <w:rFonts w:ascii="Times New Roman" w:hAnsi="Times New Roman"/>
          <w:color w:val="000000"/>
          <w:kern w:val="0"/>
          <w:sz w:val="24"/>
          <w:szCs w:val="24"/>
        </w:rPr>
        <w:t>20%</w:t>
      </w:r>
      <w:r>
        <w:rPr>
          <w:rFonts w:hint="eastAsia" w:ascii="Times New Roman" w:hAnsi="Times New Roman"/>
          <w:color w:val="000000"/>
          <w:kern w:val="0"/>
          <w:sz w:val="24"/>
          <w:szCs w:val="24"/>
        </w:rPr>
        <w:t>的个人所得税。对基金从上市公司取得的股息红利所得，持股期限在</w:t>
      </w:r>
      <w:r>
        <w:rPr>
          <w:rFonts w:ascii="Times New Roman" w:hAnsi="Times New Roman"/>
          <w:color w:val="000000"/>
          <w:kern w:val="0"/>
          <w:sz w:val="24"/>
          <w:szCs w:val="24"/>
        </w:rPr>
        <w:t>1</w:t>
      </w:r>
      <w:r>
        <w:rPr>
          <w:rFonts w:hint="eastAsia" w:ascii="Times New Roman" w:hAnsi="Times New Roman"/>
          <w:color w:val="000000"/>
          <w:kern w:val="0"/>
          <w:sz w:val="24"/>
          <w:szCs w:val="24"/>
        </w:rPr>
        <w:t>个月以内</w:t>
      </w:r>
      <w:r>
        <w:rPr>
          <w:rFonts w:ascii="Times New Roman" w:hAnsi="Times New Roman"/>
          <w:color w:val="000000"/>
          <w:kern w:val="0"/>
          <w:sz w:val="24"/>
          <w:szCs w:val="24"/>
        </w:rPr>
        <w:t>(</w:t>
      </w:r>
      <w:r>
        <w:rPr>
          <w:rFonts w:hint="eastAsia" w:ascii="Times New Roman" w:hAnsi="Times New Roman"/>
          <w:color w:val="000000"/>
          <w:kern w:val="0"/>
          <w:sz w:val="24"/>
          <w:szCs w:val="24"/>
        </w:rPr>
        <w:t>含</w:t>
      </w:r>
      <w:r>
        <w:rPr>
          <w:rFonts w:ascii="Times New Roman" w:hAnsi="Times New Roman"/>
          <w:color w:val="000000"/>
          <w:kern w:val="0"/>
          <w:sz w:val="24"/>
          <w:szCs w:val="24"/>
        </w:rPr>
        <w:t>1</w:t>
      </w:r>
      <w:r>
        <w:rPr>
          <w:rFonts w:hint="eastAsia" w:ascii="Times New Roman" w:hAnsi="Times New Roman"/>
          <w:color w:val="000000"/>
          <w:kern w:val="0"/>
          <w:sz w:val="24"/>
          <w:szCs w:val="24"/>
        </w:rPr>
        <w:t>个月</w:t>
      </w:r>
      <w:r>
        <w:rPr>
          <w:rFonts w:ascii="Times New Roman" w:hAnsi="Times New Roman"/>
          <w:color w:val="000000"/>
          <w:kern w:val="0"/>
          <w:sz w:val="24"/>
          <w:szCs w:val="24"/>
        </w:rPr>
        <w:t>)</w:t>
      </w:r>
      <w:r>
        <w:rPr>
          <w:rFonts w:hint="eastAsia" w:ascii="Times New Roman" w:hAnsi="Times New Roman"/>
          <w:color w:val="000000"/>
          <w:kern w:val="0"/>
          <w:sz w:val="24"/>
          <w:szCs w:val="24"/>
        </w:rPr>
        <w:t>的，其股息红利所得全额计入应纳税所得额；持股期限在</w:t>
      </w:r>
      <w:r>
        <w:rPr>
          <w:rFonts w:ascii="Times New Roman" w:hAnsi="Times New Roman"/>
          <w:color w:val="000000"/>
          <w:kern w:val="0"/>
          <w:sz w:val="24"/>
          <w:szCs w:val="24"/>
        </w:rPr>
        <w:t>1</w:t>
      </w:r>
      <w:r>
        <w:rPr>
          <w:rFonts w:hint="eastAsia" w:ascii="Times New Roman" w:hAnsi="Times New Roman"/>
          <w:color w:val="000000"/>
          <w:kern w:val="0"/>
          <w:sz w:val="24"/>
          <w:szCs w:val="24"/>
        </w:rPr>
        <w:t>个月以上至</w:t>
      </w:r>
      <w:r>
        <w:rPr>
          <w:rFonts w:ascii="Times New Roman" w:hAnsi="Times New Roman"/>
          <w:color w:val="000000"/>
          <w:kern w:val="0"/>
          <w:sz w:val="24"/>
          <w:szCs w:val="24"/>
        </w:rPr>
        <w:t>1</w:t>
      </w:r>
      <w:r>
        <w:rPr>
          <w:rFonts w:hint="eastAsia" w:ascii="Times New Roman" w:hAnsi="Times New Roman"/>
          <w:color w:val="000000"/>
          <w:kern w:val="0"/>
          <w:sz w:val="24"/>
          <w:szCs w:val="24"/>
        </w:rPr>
        <w:t>年</w:t>
      </w:r>
      <w:r>
        <w:rPr>
          <w:rFonts w:ascii="Times New Roman" w:hAnsi="Times New Roman"/>
          <w:color w:val="000000"/>
          <w:kern w:val="0"/>
          <w:sz w:val="24"/>
          <w:szCs w:val="24"/>
        </w:rPr>
        <w:t>(</w:t>
      </w:r>
      <w:r>
        <w:rPr>
          <w:rFonts w:hint="eastAsia" w:ascii="Times New Roman" w:hAnsi="Times New Roman"/>
          <w:color w:val="000000"/>
          <w:kern w:val="0"/>
          <w:sz w:val="24"/>
          <w:szCs w:val="24"/>
        </w:rPr>
        <w:t>含</w:t>
      </w:r>
      <w:r>
        <w:rPr>
          <w:rFonts w:ascii="Times New Roman" w:hAnsi="Times New Roman"/>
          <w:color w:val="000000"/>
          <w:kern w:val="0"/>
          <w:sz w:val="24"/>
          <w:szCs w:val="24"/>
        </w:rPr>
        <w:t>1</w:t>
      </w:r>
      <w:r>
        <w:rPr>
          <w:rFonts w:hint="eastAsia" w:ascii="Times New Roman" w:hAnsi="Times New Roman"/>
          <w:color w:val="000000"/>
          <w:kern w:val="0"/>
          <w:sz w:val="24"/>
          <w:szCs w:val="24"/>
        </w:rPr>
        <w:t>年</w:t>
      </w:r>
      <w:r>
        <w:rPr>
          <w:rFonts w:ascii="Times New Roman" w:hAnsi="Times New Roman"/>
          <w:color w:val="000000"/>
          <w:kern w:val="0"/>
          <w:sz w:val="24"/>
          <w:szCs w:val="24"/>
        </w:rPr>
        <w:t>)</w:t>
      </w:r>
      <w:r>
        <w:rPr>
          <w:rFonts w:hint="eastAsia" w:ascii="Times New Roman" w:hAnsi="Times New Roman"/>
          <w:color w:val="000000"/>
          <w:kern w:val="0"/>
          <w:sz w:val="24"/>
          <w:szCs w:val="24"/>
        </w:rPr>
        <w:t>的，暂减按</w:t>
      </w:r>
      <w:r>
        <w:rPr>
          <w:rFonts w:ascii="Times New Roman" w:hAnsi="Times New Roman"/>
          <w:color w:val="000000"/>
          <w:kern w:val="0"/>
          <w:sz w:val="24"/>
          <w:szCs w:val="24"/>
        </w:rPr>
        <w:t>50%</w:t>
      </w:r>
      <w:r>
        <w:rPr>
          <w:rFonts w:hint="eastAsia" w:ascii="Times New Roman" w:hAnsi="Times New Roman"/>
          <w:color w:val="000000"/>
          <w:kern w:val="0"/>
          <w:sz w:val="24"/>
          <w:szCs w:val="24"/>
        </w:rPr>
        <w:t>计入应纳税所得额；持股期限超过</w:t>
      </w:r>
      <w:r>
        <w:rPr>
          <w:rFonts w:ascii="Times New Roman" w:hAnsi="Times New Roman"/>
          <w:color w:val="000000"/>
          <w:kern w:val="0"/>
          <w:sz w:val="24"/>
          <w:szCs w:val="24"/>
        </w:rPr>
        <w:t>1</w:t>
      </w:r>
      <w:r>
        <w:rPr>
          <w:rFonts w:hint="eastAsia" w:ascii="Times New Roman" w:hAnsi="Times New Roman"/>
          <w:color w:val="000000"/>
          <w:kern w:val="0"/>
          <w:sz w:val="24"/>
          <w:szCs w:val="24"/>
        </w:rPr>
        <w:t>年的，暂免征收个人所得税。对基金持有的上市公司限售股，解禁后取得的股息、红利收入，按照上述规定计算纳税，持股时间自解禁日起计算；解禁前取得的股息、红利收入继续暂减按</w:t>
      </w:r>
      <w:r>
        <w:rPr>
          <w:rFonts w:ascii="Times New Roman" w:hAnsi="Times New Roman"/>
          <w:color w:val="000000"/>
          <w:kern w:val="0"/>
          <w:sz w:val="24"/>
          <w:szCs w:val="24"/>
        </w:rPr>
        <w:t>50%</w:t>
      </w:r>
      <w:r>
        <w:rPr>
          <w:rFonts w:hint="eastAsia" w:ascii="Times New Roman" w:hAnsi="Times New Roman"/>
          <w:color w:val="000000"/>
          <w:kern w:val="0"/>
          <w:sz w:val="24"/>
          <w:szCs w:val="24"/>
        </w:rPr>
        <w:t>计入应纳税所得额。上述所得统一适用</w:t>
      </w:r>
      <w:r>
        <w:rPr>
          <w:rFonts w:ascii="Times New Roman" w:hAnsi="Times New Roman"/>
          <w:color w:val="000000"/>
          <w:kern w:val="0"/>
          <w:sz w:val="24"/>
          <w:szCs w:val="24"/>
        </w:rPr>
        <w:t>20%</w:t>
      </w:r>
      <w:r>
        <w:rPr>
          <w:rFonts w:hint="eastAsia" w:ascii="Times New Roman" w:hAnsi="Times New Roman"/>
          <w:color w:val="000000"/>
          <w:kern w:val="0"/>
          <w:sz w:val="24"/>
          <w:szCs w:val="24"/>
        </w:rPr>
        <w:t>的税率计征个人所得税。</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(4) </w:t>
      </w:r>
      <w:r>
        <w:rPr>
          <w:rFonts w:hint="eastAsia" w:ascii="Times New Roman" w:hAnsi="Times New Roman"/>
          <w:color w:val="000000"/>
          <w:kern w:val="0"/>
          <w:sz w:val="24"/>
          <w:szCs w:val="24"/>
        </w:rPr>
        <w:t>基金卖出股票按</w:t>
      </w:r>
      <w:r>
        <w:rPr>
          <w:rFonts w:ascii="Times New Roman" w:hAnsi="Times New Roman"/>
          <w:color w:val="000000"/>
          <w:kern w:val="0"/>
          <w:sz w:val="24"/>
          <w:szCs w:val="24"/>
        </w:rPr>
        <w:t>0.1%</w:t>
      </w:r>
      <w:r>
        <w:rPr>
          <w:rFonts w:hint="eastAsia" w:ascii="Times New Roman" w:hAnsi="Times New Roman"/>
          <w:color w:val="000000"/>
          <w:kern w:val="0"/>
          <w:sz w:val="24"/>
          <w:szCs w:val="24"/>
        </w:rPr>
        <w:t>的税率缴纳股票交易印花税，买入股票不征收股票交易印花税。</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 </w:t>
      </w:r>
      <w:r>
        <w:rPr>
          <w:rFonts w:hint="eastAsia" w:ascii="Times New Roman" w:hAnsi="Times New Roman"/>
          <w:b/>
          <w:color w:val="000000"/>
          <w:kern w:val="0"/>
          <w:sz w:val="24"/>
          <w:szCs w:val="24"/>
        </w:rPr>
        <w:t>重要财务报表项目的说明</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 </w:t>
      </w:r>
      <w:r>
        <w:rPr>
          <w:rFonts w:hint="eastAsia" w:ascii="Times New Roman" w:hAnsi="Times New Roman"/>
          <w:b/>
          <w:color w:val="000000"/>
          <w:kern w:val="0"/>
          <w:sz w:val="24"/>
          <w:szCs w:val="24"/>
        </w:rPr>
        <w:t>银行存款</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10"/>
        <w:tblW w:w="0" w:type="auto"/>
        <w:tblInd w:w="108" w:type="dxa"/>
        <w:tblLayout w:type="fixed"/>
        <w:tblCellMar>
          <w:top w:w="0" w:type="dxa"/>
          <w:left w:w="108" w:type="dxa"/>
          <w:bottom w:w="0" w:type="dxa"/>
          <w:right w:w="108" w:type="dxa"/>
        </w:tblCellMar>
      </w:tblPr>
      <w:tblGrid>
        <w:gridCol w:w="3191"/>
        <w:gridCol w:w="5834"/>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本期末</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活期存款</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21,104,169.43</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定期存款</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其中：存款期限</w:t>
            </w:r>
            <w:r>
              <w:rPr>
                <w:rFonts w:ascii="Times New Roman" w:hAnsi="Times New Roman"/>
                <w:color w:val="000000"/>
                <w:kern w:val="0"/>
                <w:sz w:val="24"/>
                <w:szCs w:val="24"/>
              </w:rPr>
              <w:t>1-3</w:t>
            </w:r>
            <w:r>
              <w:rPr>
                <w:rFonts w:hint="eastAsia" w:ascii="Times New Roman" w:hAnsi="Times New Roman"/>
                <w:color w:val="000000"/>
                <w:kern w:val="0"/>
                <w:sz w:val="24"/>
                <w:szCs w:val="24"/>
              </w:rPr>
              <w:t>个月</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其他存款</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21,104,169.43</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7.4.7.2 </w:t>
      </w:r>
      <w:r>
        <w:rPr>
          <w:rFonts w:hint="eastAsia" w:ascii="Times New Roman" w:hAnsi="Times New Roman"/>
          <w:b/>
          <w:color w:val="000000"/>
          <w:kern w:val="0"/>
          <w:sz w:val="24"/>
          <w:szCs w:val="24"/>
        </w:rPr>
        <w:t>交易性金融资产</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10"/>
        <w:tblW w:w="0" w:type="auto"/>
        <w:tblInd w:w="108" w:type="dxa"/>
        <w:tblLayout w:type="fixed"/>
        <w:tblCellMar>
          <w:top w:w="0" w:type="dxa"/>
          <w:left w:w="108" w:type="dxa"/>
          <w:bottom w:w="0" w:type="dxa"/>
          <w:right w:w="108" w:type="dxa"/>
        </w:tblCellMar>
      </w:tblPr>
      <w:tblGrid>
        <w:gridCol w:w="662"/>
        <w:gridCol w:w="1445"/>
        <w:gridCol w:w="2167"/>
        <w:gridCol w:w="2529"/>
        <w:gridCol w:w="2167"/>
      </w:tblGrid>
      <w:tr>
        <w:tblPrEx>
          <w:tblCellMar>
            <w:top w:w="0" w:type="dxa"/>
            <w:left w:w="108" w:type="dxa"/>
            <w:bottom w:w="0" w:type="dxa"/>
            <w:right w:w="108" w:type="dxa"/>
          </w:tblCellMar>
        </w:tblPrEx>
        <w:trPr>
          <w:wBefore w:w="0" w:type="auto"/>
        </w:trPr>
        <w:tc>
          <w:tcPr>
            <w:tcW w:w="2107"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6863" w:type="dxa"/>
            <w:gridSpan w:val="3"/>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本期末</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2107" w:type="dxa"/>
            <w:gridSpan w:val="2"/>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成本</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公允价值变动</w:t>
            </w:r>
          </w:p>
        </w:tc>
      </w:tr>
      <w:tr>
        <w:tblPrEx>
          <w:tblCellMar>
            <w:top w:w="0" w:type="dxa"/>
            <w:left w:w="108" w:type="dxa"/>
            <w:bottom w:w="0" w:type="dxa"/>
            <w:right w:w="108" w:type="dxa"/>
          </w:tblCellMar>
        </w:tblPrEx>
        <w:trPr>
          <w:wBefore w:w="0" w:type="auto"/>
        </w:trPr>
        <w:tc>
          <w:tcPr>
            <w:tcW w:w="2107"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股票</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48,242,888.66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44,905,328.81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-3,337,559.85</w:t>
            </w:r>
          </w:p>
        </w:tc>
      </w:tr>
      <w:tr>
        <w:tblPrEx>
          <w:tblCellMar>
            <w:top w:w="0" w:type="dxa"/>
            <w:left w:w="108" w:type="dxa"/>
            <w:bottom w:w="0" w:type="dxa"/>
            <w:right w:w="108" w:type="dxa"/>
          </w:tblCellMar>
        </w:tblPrEx>
        <w:trPr>
          <w:wBefore w:w="0" w:type="auto"/>
        </w:trPr>
        <w:tc>
          <w:tcPr>
            <w:tcW w:w="2107"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贵金属投资</w:t>
            </w:r>
            <w:r>
              <w:rPr>
                <w:rFonts w:ascii="Times New Roman" w:hAnsi="Times New Roman"/>
                <w:color w:val="000000"/>
                <w:kern w:val="0"/>
                <w:sz w:val="24"/>
                <w:szCs w:val="24"/>
              </w:rPr>
              <w:t>-</w:t>
            </w:r>
            <w:r>
              <w:rPr>
                <w:rFonts w:hint="eastAsia" w:ascii="Times New Roman" w:hAnsi="Times New Roman"/>
                <w:color w:val="000000"/>
                <w:kern w:val="0"/>
                <w:sz w:val="24"/>
                <w:szCs w:val="24"/>
              </w:rPr>
              <w:t>金交所黄金合约</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债券</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交易所市场</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40,215,164.93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39,576,369.60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-638,795.33</w:t>
            </w:r>
          </w:p>
        </w:tc>
      </w:tr>
      <w:tr>
        <w:tblPrEx>
          <w:tblCellMar>
            <w:top w:w="0" w:type="dxa"/>
            <w:left w:w="108" w:type="dxa"/>
            <w:bottom w:w="0" w:type="dxa"/>
            <w:right w:w="108" w:type="dxa"/>
          </w:tblCellMar>
        </w:tblPrEx>
        <w:trPr>
          <w:wBefore w:w="0" w:type="auto"/>
        </w:trPr>
        <w:tc>
          <w:tcPr>
            <w:tcW w:w="662"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银行间市场</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927,779,402.86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922,135,000.00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-5,644,402.86</w:t>
            </w:r>
          </w:p>
        </w:tc>
      </w:tr>
      <w:tr>
        <w:tblPrEx>
          <w:tblCellMar>
            <w:top w:w="0" w:type="dxa"/>
            <w:left w:w="108" w:type="dxa"/>
            <w:bottom w:w="0" w:type="dxa"/>
            <w:right w:w="108" w:type="dxa"/>
          </w:tblCellMar>
        </w:tblPrEx>
        <w:trPr>
          <w:wBefore w:w="0" w:type="auto"/>
        </w:trPr>
        <w:tc>
          <w:tcPr>
            <w:tcW w:w="662"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967,994,567.79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961,711,369.60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-6,283,198.19</w:t>
            </w:r>
          </w:p>
        </w:tc>
      </w:tr>
      <w:tr>
        <w:tblPrEx>
          <w:tblCellMar>
            <w:top w:w="0" w:type="dxa"/>
            <w:left w:w="108" w:type="dxa"/>
            <w:bottom w:w="0" w:type="dxa"/>
            <w:right w:w="108" w:type="dxa"/>
          </w:tblCellMar>
        </w:tblPrEx>
        <w:trPr>
          <w:wBefore w:w="0" w:type="auto"/>
        </w:trPr>
        <w:tc>
          <w:tcPr>
            <w:tcW w:w="2107"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资产支持证券</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107"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107"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其他</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107"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1,016,237,456.45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1,006,616,698.41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-9,620,758.04</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7.4.7.3 </w:t>
      </w:r>
      <w:r>
        <w:rPr>
          <w:rFonts w:hint="eastAsia" w:ascii="Times New Roman" w:hAnsi="Times New Roman"/>
          <w:b/>
          <w:color w:val="000000"/>
          <w:kern w:val="0"/>
          <w:sz w:val="24"/>
          <w:szCs w:val="24"/>
        </w:rPr>
        <w:t>衍生金融资产</w:t>
      </w:r>
      <w:r>
        <w:rPr>
          <w:rFonts w:ascii="Times New Roman" w:hAnsi="Times New Roman"/>
          <w:b/>
          <w:color w:val="000000"/>
          <w:kern w:val="0"/>
          <w:sz w:val="24"/>
          <w:szCs w:val="24"/>
        </w:rPr>
        <w:t>/</w:t>
      </w:r>
      <w:r>
        <w:rPr>
          <w:rFonts w:hint="eastAsia" w:ascii="Times New Roman" w:hAnsi="Times New Roman"/>
          <w:b/>
          <w:color w:val="000000"/>
          <w:kern w:val="0"/>
          <w:sz w:val="24"/>
          <w:szCs w:val="24"/>
        </w:rPr>
        <w:t>负债</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本基金于本期末未持有衍生金融资产</w:t>
      </w:r>
      <w:r>
        <w:rPr>
          <w:rFonts w:ascii="Times New Roman" w:hAnsi="Times New Roman"/>
          <w:color w:val="000000"/>
          <w:kern w:val="0"/>
          <w:sz w:val="24"/>
          <w:szCs w:val="24"/>
        </w:rPr>
        <w:t>/</w:t>
      </w:r>
      <w:r>
        <w:rPr>
          <w:rFonts w:hint="eastAsia" w:ascii="Times New Roman" w:hAnsi="Times New Roman"/>
          <w:color w:val="000000"/>
          <w:kern w:val="0"/>
          <w:sz w:val="24"/>
          <w:szCs w:val="24"/>
        </w:rPr>
        <w:t>负债。</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7.4.7.4 </w:t>
      </w:r>
      <w:r>
        <w:rPr>
          <w:rFonts w:hint="eastAsia" w:ascii="Times New Roman" w:hAnsi="Times New Roman"/>
          <w:b/>
          <w:color w:val="000000"/>
          <w:kern w:val="0"/>
          <w:sz w:val="24"/>
          <w:szCs w:val="24"/>
        </w:rPr>
        <w:t>买入返售金融资产</w:t>
      </w: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7.4.7.4.1 </w:t>
      </w:r>
      <w:r>
        <w:rPr>
          <w:rFonts w:hint="eastAsia" w:ascii="Times New Roman" w:hAnsi="Times New Roman" w:cs="宋体"/>
          <w:b/>
          <w:bCs/>
          <w:color w:val="000000"/>
          <w:kern w:val="0"/>
          <w:sz w:val="24"/>
          <w:szCs w:val="24"/>
        </w:rPr>
        <w:t>各项买入返售金融资产期末余额</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本基金于本期末未持有买入返售金融资产。</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7.4.7.4.</w:t>
      </w:r>
      <w:r>
        <w:rPr>
          <w:rFonts w:hint="eastAsia" w:ascii="Times New Roman" w:hAnsi="Times New Roman"/>
          <w:b/>
          <w:color w:val="000000"/>
          <w:kern w:val="0"/>
          <w:sz w:val="24"/>
          <w:szCs w:val="24"/>
        </w:rPr>
        <w:t>2</w:t>
      </w:r>
      <w:r>
        <w:rPr>
          <w:rFonts w:ascii="Times New Roman" w:hAnsi="Times New Roman"/>
          <w:b/>
          <w:color w:val="000000"/>
          <w:kern w:val="0"/>
          <w:sz w:val="24"/>
          <w:szCs w:val="24"/>
        </w:rPr>
        <w:t xml:space="preserve"> </w:t>
      </w:r>
      <w:r>
        <w:rPr>
          <w:rFonts w:hint="eastAsia" w:ascii="Times New Roman" w:hAnsi="Times New Roman"/>
          <w:b/>
          <w:color w:val="000000"/>
          <w:kern w:val="0"/>
          <w:sz w:val="24"/>
          <w:szCs w:val="24"/>
        </w:rPr>
        <w:t>期末买断式逆回购交易中取得的债券</w:t>
      </w:r>
    </w:p>
    <w:p>
      <w:pPr>
        <w:autoSpaceDE w:val="0"/>
        <w:autoSpaceDN w:val="0"/>
        <w:adjustRightInd w:val="0"/>
        <w:spacing w:before="29" w:line="288" w:lineRule="auto"/>
        <w:jc w:val="left"/>
        <w:rPr>
          <w:rFonts w:ascii="Times New Roman" w:hAnsi="Times New Roman"/>
          <w:color w:val="000000"/>
          <w:kern w:val="0"/>
          <w:szCs w:val="24"/>
        </w:rPr>
      </w:pPr>
      <w:r>
        <w:rPr>
          <w:rFonts w:hint="eastAsia" w:ascii="Times New Roman" w:hAnsi="Times New Roman"/>
          <w:color w:val="000000"/>
          <w:kern w:val="0"/>
          <w:sz w:val="24"/>
          <w:szCs w:val="24"/>
        </w:rPr>
        <w:t>本基金本期末未持有买断式逆回购交易中取得的债券。</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7.4.7.5 </w:t>
      </w:r>
      <w:r>
        <w:rPr>
          <w:rFonts w:hint="eastAsia" w:ascii="Times New Roman" w:hAnsi="Times New Roman"/>
          <w:b/>
          <w:color w:val="000000"/>
          <w:kern w:val="0"/>
          <w:sz w:val="24"/>
          <w:szCs w:val="24"/>
        </w:rPr>
        <w:t>应收利息</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10"/>
        <w:tblW w:w="0" w:type="auto"/>
        <w:tblInd w:w="108" w:type="dxa"/>
        <w:tblLayout w:type="fixed"/>
        <w:tblCellMar>
          <w:top w:w="0" w:type="dxa"/>
          <w:left w:w="108" w:type="dxa"/>
          <w:bottom w:w="0" w:type="dxa"/>
          <w:right w:w="108" w:type="dxa"/>
        </w:tblCellMar>
      </w:tblPr>
      <w:tblGrid>
        <w:gridCol w:w="3191"/>
        <w:gridCol w:w="5834"/>
      </w:tblGrid>
      <w:tr>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本期末</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应收活期存款利息</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2,574.69</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应收定期存款利息</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应收其他存款利息</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应收结算备付金利息</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1,613.81</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应收债券利息</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18,099,750.42</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应收买入返售证券利息</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应收申购款利息</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应收黄金合约拆借孳息</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其他</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69.96</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18,104,008.88</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7.4.7.6 </w:t>
      </w:r>
      <w:r>
        <w:rPr>
          <w:rFonts w:hint="eastAsia" w:ascii="Times New Roman" w:hAnsi="Times New Roman"/>
          <w:b/>
          <w:color w:val="000000"/>
          <w:kern w:val="0"/>
          <w:sz w:val="24"/>
          <w:szCs w:val="24"/>
        </w:rPr>
        <w:t>其他资产</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本基金本报告期末未持有其他资产。</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7.4.7.7 </w:t>
      </w:r>
      <w:r>
        <w:rPr>
          <w:rFonts w:hint="eastAsia" w:ascii="Times New Roman" w:hAnsi="Times New Roman"/>
          <w:b/>
          <w:color w:val="000000"/>
          <w:kern w:val="0"/>
          <w:sz w:val="24"/>
          <w:szCs w:val="24"/>
        </w:rPr>
        <w:t>应付交易费用</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10"/>
        <w:tblW w:w="0" w:type="auto"/>
        <w:tblInd w:w="108" w:type="dxa"/>
        <w:tblLayout w:type="fixed"/>
        <w:tblCellMar>
          <w:top w:w="0" w:type="dxa"/>
          <w:left w:w="108" w:type="dxa"/>
          <w:bottom w:w="0" w:type="dxa"/>
          <w:right w:w="108" w:type="dxa"/>
        </w:tblCellMar>
      </w:tblPr>
      <w:tblGrid>
        <w:gridCol w:w="3191"/>
        <w:gridCol w:w="5834"/>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本期末</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交易所市场应付交易费用</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162,495.72</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银行间市场应付交易费用</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25,440.96</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187,936.68</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7.4.7.8 </w:t>
      </w:r>
      <w:r>
        <w:rPr>
          <w:rFonts w:hint="eastAsia" w:ascii="Times New Roman" w:hAnsi="Times New Roman"/>
          <w:b/>
          <w:color w:val="000000"/>
          <w:kern w:val="0"/>
          <w:sz w:val="24"/>
          <w:szCs w:val="24"/>
        </w:rPr>
        <w:t>其他负债</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10"/>
        <w:tblW w:w="0" w:type="auto"/>
        <w:tblInd w:w="108" w:type="dxa"/>
        <w:tblLayout w:type="fixed"/>
        <w:tblCellMar>
          <w:top w:w="0" w:type="dxa"/>
          <w:left w:w="108" w:type="dxa"/>
          <w:bottom w:w="0" w:type="dxa"/>
          <w:right w:w="108" w:type="dxa"/>
        </w:tblCellMar>
      </w:tblPr>
      <w:tblGrid>
        <w:gridCol w:w="3191"/>
        <w:gridCol w:w="5834"/>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本期末</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应付券商交易单元保证金</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应付赎回费</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预提费用</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125,000.00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125,000.00</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7.4.7.9 </w:t>
      </w:r>
      <w:r>
        <w:rPr>
          <w:rFonts w:hint="eastAsia" w:ascii="Times New Roman" w:hAnsi="Times New Roman"/>
          <w:b/>
          <w:color w:val="000000"/>
          <w:kern w:val="0"/>
          <w:sz w:val="24"/>
          <w:szCs w:val="24"/>
        </w:rPr>
        <w:t>实收基金</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10"/>
        <w:tblW w:w="0" w:type="auto"/>
        <w:tblInd w:w="108" w:type="dxa"/>
        <w:tblLayout w:type="fixed"/>
        <w:tblCellMar>
          <w:top w:w="0" w:type="dxa"/>
          <w:left w:w="108" w:type="dxa"/>
          <w:bottom w:w="0" w:type="dxa"/>
          <w:right w:w="108" w:type="dxa"/>
        </w:tblCellMar>
      </w:tblPr>
      <w:tblGrid>
        <w:gridCol w:w="3191"/>
        <w:gridCol w:w="2889"/>
        <w:gridCol w:w="2890"/>
      </w:tblGrid>
      <w:tr>
        <w:tblPrEx>
          <w:tblCellMar>
            <w:top w:w="0" w:type="dxa"/>
            <w:left w:w="108" w:type="dxa"/>
            <w:bottom w:w="0" w:type="dxa"/>
            <w:right w:w="108" w:type="dxa"/>
          </w:tblCellMar>
        </w:tblPrEx>
        <w:trPr>
          <w:wBefore w:w="0" w:type="auto"/>
        </w:trPr>
        <w:tc>
          <w:tcPr>
            <w:tcW w:w="3191"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w:t>
            </w:r>
            <w:r>
              <w:rPr>
                <w:rFonts w:hint="eastAsia" w:ascii="Times New Roman" w:hAnsi="Times New Roman"/>
                <w:color w:val="000000"/>
                <w:kern w:val="0"/>
                <w:sz w:val="24"/>
                <w:szCs w:val="24"/>
              </w:rPr>
              <w:t>创金合信鑫动力混合</w:t>
            </w:r>
            <w:r>
              <w:rPr>
                <w:rFonts w:ascii="Times New Roman" w:hAnsi="Times New Roman"/>
                <w:color w:val="000000"/>
                <w:kern w:val="0"/>
                <w:sz w:val="24"/>
                <w:szCs w:val="24"/>
              </w:rPr>
              <w:t>A)</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30</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账面金额</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基金合同生效日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800,103,491.18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800,103,491.18</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50,597.84</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50,597.84</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本期赎回（以“</w:t>
            </w:r>
            <w:r>
              <w:rPr>
                <w:rFonts w:ascii="Times New Roman" w:hAnsi="Times New Roman"/>
                <w:color w:val="000000"/>
                <w:kern w:val="0"/>
                <w:sz w:val="24"/>
                <w:szCs w:val="24"/>
              </w:rPr>
              <w:t>-</w:t>
            </w:r>
            <w:r>
              <w:rPr>
                <w:rFonts w:hint="eastAsia" w:ascii="Times New Roman" w:hAnsi="Times New Roman"/>
                <w:color w:val="000000"/>
                <w:kern w:val="0"/>
                <w:sz w:val="24"/>
                <w:szCs w:val="24"/>
              </w:rPr>
              <w:t>”号填列）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-51,078.92</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-51,078.92</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800,103,010.10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800,103,010.10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w:t>
            </w:r>
            <w:r>
              <w:rPr>
                <w:rFonts w:hint="eastAsia" w:ascii="Times New Roman" w:hAnsi="Times New Roman"/>
                <w:color w:val="000000"/>
                <w:kern w:val="0"/>
                <w:sz w:val="24"/>
                <w:szCs w:val="24"/>
              </w:rPr>
              <w:t>创金合信鑫动力混合</w:t>
            </w:r>
            <w:r>
              <w:rPr>
                <w:rFonts w:ascii="Times New Roman" w:hAnsi="Times New Roman"/>
                <w:color w:val="000000"/>
                <w:kern w:val="0"/>
                <w:sz w:val="24"/>
                <w:szCs w:val="24"/>
              </w:rPr>
              <w:t>C)</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账面金额</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基金合同生效日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124,562.03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124,562.03</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299.40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299.40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本期赎回（以“</w:t>
            </w:r>
            <w:r>
              <w:rPr>
                <w:rFonts w:ascii="Times New Roman" w:hAnsi="Times New Roman"/>
                <w:color w:val="000000"/>
                <w:kern w:val="0"/>
                <w:sz w:val="24"/>
                <w:szCs w:val="24"/>
              </w:rPr>
              <w:t>-</w:t>
            </w:r>
            <w:r>
              <w:rPr>
                <w:rFonts w:hint="eastAsia" w:ascii="Times New Roman" w:hAnsi="Times New Roman"/>
                <w:color w:val="000000"/>
                <w:kern w:val="0"/>
                <w:sz w:val="24"/>
                <w:szCs w:val="24"/>
              </w:rPr>
              <w:t>”号填列）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-30,600.00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-30,600.00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94,261.43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94,261.43</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w:t>
      </w:r>
      <w:r>
        <w:rPr>
          <w:rFonts w:ascii="Times New Roman" w:hAnsi="Times New Roman"/>
          <w:color w:val="000000"/>
          <w:kern w:val="0"/>
          <w:szCs w:val="24"/>
        </w:rPr>
        <w:t>1.</w:t>
      </w:r>
      <w:r>
        <w:rPr>
          <w:rFonts w:hint="eastAsia" w:ascii="Times New Roman" w:hAnsi="Times New Roman"/>
          <w:color w:val="000000"/>
          <w:kern w:val="0"/>
          <w:szCs w:val="24"/>
        </w:rPr>
        <w:t>申购含红利再投、转换入份（金）额，赎回含转换出份（金）额。</w:t>
      </w:r>
    </w:p>
    <w:p>
      <w:pPr>
        <w:autoSpaceDE w:val="0"/>
        <w:autoSpaceDN w:val="0"/>
        <w:adjustRightInd w:val="0"/>
        <w:spacing w:before="29" w:line="288" w:lineRule="auto"/>
        <w:ind w:left="15"/>
        <w:jc w:val="left"/>
        <w:rPr>
          <w:rFonts w:ascii="Times New Roman" w:hAnsi="Times New Roman"/>
          <w:color w:val="000000"/>
          <w:kern w:val="0"/>
          <w:szCs w:val="24"/>
        </w:rPr>
      </w:pPr>
      <w:r>
        <w:rPr>
          <w:rFonts w:ascii="Times New Roman" w:hAnsi="Times New Roman"/>
          <w:color w:val="000000"/>
          <w:kern w:val="0"/>
          <w:szCs w:val="24"/>
        </w:rPr>
        <w:t>2.</w:t>
      </w:r>
      <w:r>
        <w:rPr>
          <w:rFonts w:hint="eastAsia" w:ascii="Times New Roman" w:hAnsi="Times New Roman"/>
          <w:color w:val="000000"/>
          <w:kern w:val="0"/>
          <w:szCs w:val="24"/>
        </w:rPr>
        <w:t>本基金自</w:t>
      </w:r>
      <w:r>
        <w:rPr>
          <w:rFonts w:ascii="Times New Roman" w:hAnsi="Times New Roman"/>
          <w:color w:val="000000"/>
          <w:kern w:val="0"/>
          <w:szCs w:val="24"/>
        </w:rPr>
        <w:t>2016</w:t>
      </w:r>
      <w:r>
        <w:rPr>
          <w:rFonts w:hint="eastAsia" w:ascii="Times New Roman" w:hAnsi="Times New Roman"/>
          <w:color w:val="000000"/>
          <w:kern w:val="0"/>
          <w:szCs w:val="24"/>
        </w:rPr>
        <w:t>年</w:t>
      </w:r>
      <w:r>
        <w:rPr>
          <w:rFonts w:ascii="Times New Roman" w:hAnsi="Times New Roman"/>
          <w:color w:val="000000"/>
          <w:kern w:val="0"/>
          <w:szCs w:val="24"/>
        </w:rPr>
        <w:t>8</w:t>
      </w:r>
      <w:r>
        <w:rPr>
          <w:rFonts w:hint="eastAsia" w:ascii="Times New Roman" w:hAnsi="Times New Roman"/>
          <w:color w:val="000000"/>
          <w:kern w:val="0"/>
          <w:szCs w:val="24"/>
        </w:rPr>
        <w:t>月</w:t>
      </w:r>
      <w:r>
        <w:rPr>
          <w:rFonts w:ascii="Times New Roman" w:hAnsi="Times New Roman"/>
          <w:color w:val="000000"/>
          <w:kern w:val="0"/>
          <w:szCs w:val="24"/>
        </w:rPr>
        <w:t>22</w:t>
      </w:r>
      <w:r>
        <w:rPr>
          <w:rFonts w:hint="eastAsia" w:ascii="Times New Roman" w:hAnsi="Times New Roman"/>
          <w:color w:val="000000"/>
          <w:kern w:val="0"/>
          <w:szCs w:val="24"/>
        </w:rPr>
        <w:t>日至</w:t>
      </w:r>
      <w:r>
        <w:rPr>
          <w:rFonts w:ascii="Times New Roman" w:hAnsi="Times New Roman"/>
          <w:color w:val="000000"/>
          <w:kern w:val="0"/>
          <w:szCs w:val="24"/>
        </w:rPr>
        <w:t>2016</w:t>
      </w:r>
      <w:r>
        <w:rPr>
          <w:rFonts w:hint="eastAsia" w:ascii="Times New Roman" w:hAnsi="Times New Roman"/>
          <w:color w:val="000000"/>
          <w:kern w:val="0"/>
          <w:szCs w:val="24"/>
        </w:rPr>
        <w:t>年</w:t>
      </w:r>
      <w:r>
        <w:rPr>
          <w:rFonts w:ascii="Times New Roman" w:hAnsi="Times New Roman"/>
          <w:color w:val="000000"/>
          <w:kern w:val="0"/>
          <w:szCs w:val="24"/>
        </w:rPr>
        <w:t>8</w:t>
      </w:r>
      <w:r>
        <w:rPr>
          <w:rFonts w:hint="eastAsia" w:ascii="Times New Roman" w:hAnsi="Times New Roman"/>
          <w:color w:val="000000"/>
          <w:kern w:val="0"/>
          <w:szCs w:val="24"/>
        </w:rPr>
        <w:t>月</w:t>
      </w:r>
      <w:r>
        <w:rPr>
          <w:rFonts w:ascii="Times New Roman" w:hAnsi="Times New Roman"/>
          <w:color w:val="000000"/>
          <w:kern w:val="0"/>
          <w:szCs w:val="24"/>
        </w:rPr>
        <w:t>24</w:t>
      </w:r>
      <w:r>
        <w:rPr>
          <w:rFonts w:hint="eastAsia" w:ascii="Times New Roman" w:hAnsi="Times New Roman"/>
          <w:color w:val="000000"/>
          <w:kern w:val="0"/>
          <w:szCs w:val="24"/>
        </w:rPr>
        <w:t>日止期间公开发售，共募集有效净认购资金</w:t>
      </w:r>
      <w:r>
        <w:rPr>
          <w:rFonts w:ascii="Times New Roman" w:hAnsi="Times New Roman"/>
          <w:color w:val="000000"/>
          <w:kern w:val="0"/>
          <w:szCs w:val="24"/>
        </w:rPr>
        <w:t>800,214,719.75</w:t>
      </w:r>
      <w:r>
        <w:rPr>
          <w:rFonts w:hint="eastAsia" w:ascii="Times New Roman" w:hAnsi="Times New Roman"/>
          <w:color w:val="000000"/>
          <w:kern w:val="0"/>
          <w:szCs w:val="24"/>
        </w:rPr>
        <w:t>元，其中</w:t>
      </w:r>
      <w:r>
        <w:rPr>
          <w:rFonts w:ascii="Times New Roman" w:hAnsi="Times New Roman"/>
          <w:color w:val="000000"/>
          <w:kern w:val="0"/>
          <w:szCs w:val="24"/>
        </w:rPr>
        <w:t>A</w:t>
      </w:r>
      <w:r>
        <w:rPr>
          <w:rFonts w:hint="eastAsia" w:ascii="Times New Roman" w:hAnsi="Times New Roman"/>
          <w:color w:val="000000"/>
          <w:kern w:val="0"/>
          <w:szCs w:val="24"/>
        </w:rPr>
        <w:t>类基金募集有效净认购资金为</w:t>
      </w:r>
      <w:r>
        <w:rPr>
          <w:rFonts w:ascii="Times New Roman" w:hAnsi="Times New Roman"/>
          <w:color w:val="000000"/>
          <w:kern w:val="0"/>
          <w:szCs w:val="24"/>
        </w:rPr>
        <w:t>800,090,157.82</w:t>
      </w:r>
      <w:r>
        <w:rPr>
          <w:rFonts w:hint="eastAsia" w:ascii="Times New Roman" w:hAnsi="Times New Roman"/>
          <w:color w:val="000000"/>
          <w:kern w:val="0"/>
          <w:szCs w:val="24"/>
        </w:rPr>
        <w:t>元，</w:t>
      </w:r>
      <w:r>
        <w:rPr>
          <w:rFonts w:ascii="Times New Roman" w:hAnsi="Times New Roman"/>
          <w:color w:val="000000"/>
          <w:kern w:val="0"/>
          <w:szCs w:val="24"/>
        </w:rPr>
        <w:t>C</w:t>
      </w:r>
      <w:r>
        <w:rPr>
          <w:rFonts w:hint="eastAsia" w:ascii="Times New Roman" w:hAnsi="Times New Roman"/>
          <w:color w:val="000000"/>
          <w:kern w:val="0"/>
          <w:szCs w:val="24"/>
        </w:rPr>
        <w:t>类基金募集有效净认购资金为</w:t>
      </w:r>
      <w:r>
        <w:rPr>
          <w:rFonts w:ascii="Times New Roman" w:hAnsi="Times New Roman"/>
          <w:color w:val="000000"/>
          <w:kern w:val="0"/>
          <w:szCs w:val="24"/>
        </w:rPr>
        <w:t>124,561.93</w:t>
      </w:r>
      <w:r>
        <w:rPr>
          <w:rFonts w:hint="eastAsia" w:ascii="Times New Roman" w:hAnsi="Times New Roman"/>
          <w:color w:val="000000"/>
          <w:kern w:val="0"/>
          <w:szCs w:val="24"/>
        </w:rPr>
        <w:t>元。根据《创金合信鑫动力灵活配置混合型证券投资基金招募说明书》的规定，本基金设立募集期内认购资金产生的利息收入</w:t>
      </w:r>
      <w:r>
        <w:rPr>
          <w:rFonts w:ascii="Times New Roman" w:hAnsi="Times New Roman"/>
          <w:color w:val="000000"/>
          <w:kern w:val="0"/>
          <w:szCs w:val="24"/>
        </w:rPr>
        <w:t>13,333.46</w:t>
      </w:r>
      <w:r>
        <w:rPr>
          <w:rFonts w:hint="eastAsia" w:ascii="Times New Roman" w:hAnsi="Times New Roman"/>
          <w:color w:val="000000"/>
          <w:kern w:val="0"/>
          <w:szCs w:val="24"/>
        </w:rPr>
        <w:t>元在本基金成立后，折算为</w:t>
      </w:r>
      <w:r>
        <w:rPr>
          <w:rFonts w:ascii="Times New Roman" w:hAnsi="Times New Roman"/>
          <w:color w:val="000000"/>
          <w:kern w:val="0"/>
          <w:szCs w:val="24"/>
        </w:rPr>
        <w:t>13,333.46</w:t>
      </w:r>
      <w:r>
        <w:rPr>
          <w:rFonts w:hint="eastAsia" w:ascii="Times New Roman" w:hAnsi="Times New Roman"/>
          <w:color w:val="000000"/>
          <w:kern w:val="0"/>
          <w:szCs w:val="24"/>
        </w:rPr>
        <w:t>份基金份额</w:t>
      </w:r>
      <w:r>
        <w:rPr>
          <w:rFonts w:ascii="Times New Roman" w:hAnsi="Times New Roman"/>
          <w:color w:val="000000"/>
          <w:kern w:val="0"/>
          <w:szCs w:val="24"/>
        </w:rPr>
        <w:t>(</w:t>
      </w:r>
      <w:r>
        <w:rPr>
          <w:rFonts w:hint="eastAsia" w:ascii="Times New Roman" w:hAnsi="Times New Roman"/>
          <w:color w:val="000000"/>
          <w:kern w:val="0"/>
          <w:szCs w:val="24"/>
        </w:rPr>
        <w:t>其中</w:t>
      </w:r>
      <w:r>
        <w:rPr>
          <w:rFonts w:ascii="Times New Roman" w:hAnsi="Times New Roman"/>
          <w:color w:val="000000"/>
          <w:kern w:val="0"/>
          <w:szCs w:val="24"/>
        </w:rPr>
        <w:t>A</w:t>
      </w:r>
      <w:r>
        <w:rPr>
          <w:rFonts w:hint="eastAsia" w:ascii="Times New Roman" w:hAnsi="Times New Roman"/>
          <w:color w:val="000000"/>
          <w:kern w:val="0"/>
          <w:szCs w:val="24"/>
        </w:rPr>
        <w:t>类基金募集期内认购资金产生的利息收入为</w:t>
      </w:r>
      <w:r>
        <w:rPr>
          <w:rFonts w:ascii="Times New Roman" w:hAnsi="Times New Roman"/>
          <w:color w:val="000000"/>
          <w:kern w:val="0"/>
          <w:szCs w:val="24"/>
        </w:rPr>
        <w:t>13,333.36</w:t>
      </w:r>
      <w:r>
        <w:rPr>
          <w:rFonts w:hint="eastAsia" w:ascii="Times New Roman" w:hAnsi="Times New Roman"/>
          <w:color w:val="000000"/>
          <w:kern w:val="0"/>
          <w:szCs w:val="24"/>
        </w:rPr>
        <w:t>元，折算为</w:t>
      </w:r>
      <w:r>
        <w:rPr>
          <w:rFonts w:ascii="Times New Roman" w:hAnsi="Times New Roman"/>
          <w:color w:val="000000"/>
          <w:kern w:val="0"/>
          <w:szCs w:val="24"/>
        </w:rPr>
        <w:t>13,333.36</w:t>
      </w:r>
      <w:r>
        <w:rPr>
          <w:rFonts w:hint="eastAsia" w:ascii="Times New Roman" w:hAnsi="Times New Roman"/>
          <w:color w:val="000000"/>
          <w:kern w:val="0"/>
          <w:szCs w:val="24"/>
        </w:rPr>
        <w:t>份基金份额，</w:t>
      </w:r>
      <w:r>
        <w:rPr>
          <w:rFonts w:ascii="Times New Roman" w:hAnsi="Times New Roman"/>
          <w:color w:val="000000"/>
          <w:kern w:val="0"/>
          <w:szCs w:val="24"/>
        </w:rPr>
        <w:t>C</w:t>
      </w:r>
      <w:r>
        <w:rPr>
          <w:rFonts w:hint="eastAsia" w:ascii="Times New Roman" w:hAnsi="Times New Roman"/>
          <w:color w:val="000000"/>
          <w:kern w:val="0"/>
          <w:szCs w:val="24"/>
        </w:rPr>
        <w:t>类基金募集期内认购资金产生的利息收入为</w:t>
      </w:r>
      <w:r>
        <w:rPr>
          <w:rFonts w:ascii="Times New Roman" w:hAnsi="Times New Roman"/>
          <w:color w:val="000000"/>
          <w:kern w:val="0"/>
          <w:szCs w:val="24"/>
        </w:rPr>
        <w:t>0.10</w:t>
      </w:r>
      <w:r>
        <w:rPr>
          <w:rFonts w:hint="eastAsia" w:ascii="Times New Roman" w:hAnsi="Times New Roman"/>
          <w:color w:val="000000"/>
          <w:kern w:val="0"/>
          <w:szCs w:val="24"/>
        </w:rPr>
        <w:t>元，折算为</w:t>
      </w:r>
      <w:r>
        <w:rPr>
          <w:rFonts w:ascii="Times New Roman" w:hAnsi="Times New Roman"/>
          <w:color w:val="000000"/>
          <w:kern w:val="0"/>
          <w:szCs w:val="24"/>
        </w:rPr>
        <w:t>0.10</w:t>
      </w:r>
      <w:r>
        <w:rPr>
          <w:rFonts w:hint="eastAsia" w:ascii="Times New Roman" w:hAnsi="Times New Roman"/>
          <w:color w:val="000000"/>
          <w:kern w:val="0"/>
          <w:szCs w:val="24"/>
        </w:rPr>
        <w:t>份基金份额</w:t>
      </w:r>
      <w:r>
        <w:rPr>
          <w:rFonts w:ascii="Times New Roman" w:hAnsi="Times New Roman"/>
          <w:color w:val="000000"/>
          <w:kern w:val="0"/>
          <w:szCs w:val="24"/>
        </w:rPr>
        <w:t>)</w:t>
      </w:r>
      <w:r>
        <w:rPr>
          <w:rFonts w:hint="eastAsia" w:ascii="Times New Roman" w:hAnsi="Times New Roman"/>
          <w:color w:val="000000"/>
          <w:kern w:val="0"/>
          <w:szCs w:val="24"/>
        </w:rPr>
        <w:t>，划入基金份额持有人账户。</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7.4.7.10 </w:t>
      </w:r>
      <w:r>
        <w:rPr>
          <w:rFonts w:hint="eastAsia" w:ascii="Times New Roman" w:hAnsi="Times New Roman"/>
          <w:b/>
          <w:color w:val="000000"/>
          <w:kern w:val="0"/>
          <w:sz w:val="24"/>
          <w:szCs w:val="24"/>
        </w:rPr>
        <w:t>未分配利润</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10"/>
        <w:tblW w:w="0" w:type="auto"/>
        <w:tblInd w:w="108" w:type="dxa"/>
        <w:tblLayout w:type="fixed"/>
        <w:tblCellMar>
          <w:top w:w="0" w:type="dxa"/>
          <w:left w:w="108" w:type="dxa"/>
          <w:bottom w:w="0" w:type="dxa"/>
          <w:right w:w="108" w:type="dxa"/>
        </w:tblCellMar>
      </w:tblPr>
      <w:tblGrid>
        <w:gridCol w:w="2107"/>
        <w:gridCol w:w="2167"/>
        <w:gridCol w:w="2167"/>
        <w:gridCol w:w="2529"/>
      </w:tblGrid>
      <w:tr>
        <w:tblPrEx>
          <w:tblCellMar>
            <w:top w:w="0" w:type="dxa"/>
            <w:left w:w="108" w:type="dxa"/>
            <w:bottom w:w="0" w:type="dxa"/>
            <w:right w:w="108" w:type="dxa"/>
          </w:tblCellMar>
        </w:tblPrEx>
        <w:trPr>
          <w:wBefore w:w="0" w:type="auto"/>
        </w:trPr>
        <w:tc>
          <w:tcPr>
            <w:tcW w:w="210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w:t>
            </w:r>
            <w:r>
              <w:rPr>
                <w:rFonts w:hint="eastAsia" w:ascii="Times New Roman" w:hAnsi="Times New Roman"/>
                <w:color w:val="000000"/>
                <w:kern w:val="0"/>
                <w:sz w:val="24"/>
                <w:szCs w:val="24"/>
              </w:rPr>
              <w:t>创金合信鑫动力混合</w:t>
            </w:r>
            <w:r>
              <w:rPr>
                <w:rFonts w:ascii="Times New Roman" w:hAnsi="Times New Roman"/>
                <w:color w:val="000000"/>
                <w:kern w:val="0"/>
                <w:sz w:val="24"/>
                <w:szCs w:val="24"/>
              </w:rPr>
              <w:t>A)</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未实现部分</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未分配利润合计</w:t>
            </w:r>
          </w:p>
        </w:tc>
      </w:tr>
      <w:tr>
        <w:tblPrEx>
          <w:tblCellMar>
            <w:top w:w="0" w:type="dxa"/>
            <w:left w:w="108" w:type="dxa"/>
            <w:bottom w:w="0" w:type="dxa"/>
            <w:right w:w="108" w:type="dxa"/>
          </w:tblCellMar>
        </w:tblPrEx>
        <w:trPr>
          <w:wBefore w:w="0" w:type="auto"/>
        </w:trPr>
        <w:tc>
          <w:tcPr>
            <w:tcW w:w="210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基金合同生效日</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10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本期利润</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4,062,826.05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-9,619,479.24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-5,556,653.19</w:t>
            </w:r>
          </w:p>
        </w:tc>
      </w:tr>
      <w:tr>
        <w:tblPrEx>
          <w:tblCellMar>
            <w:top w:w="0" w:type="dxa"/>
            <w:left w:w="108" w:type="dxa"/>
            <w:bottom w:w="0" w:type="dxa"/>
            <w:right w:w="108" w:type="dxa"/>
          </w:tblCellMar>
        </w:tblPrEx>
        <w:trPr>
          <w:wBefore w:w="0" w:type="auto"/>
        </w:trPr>
        <w:tc>
          <w:tcPr>
            <w:tcW w:w="210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本期基金份额交易产生的变动数</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13.01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-766.42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-753.41</w:t>
            </w:r>
          </w:p>
        </w:tc>
      </w:tr>
      <w:tr>
        <w:tblPrEx>
          <w:tblCellMar>
            <w:top w:w="0" w:type="dxa"/>
            <w:left w:w="108" w:type="dxa"/>
            <w:bottom w:w="0" w:type="dxa"/>
            <w:right w:w="108" w:type="dxa"/>
          </w:tblCellMar>
        </w:tblPrEx>
        <w:trPr>
          <w:wBefore w:w="0" w:type="auto"/>
        </w:trPr>
        <w:tc>
          <w:tcPr>
            <w:tcW w:w="210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其中：基金申购款</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346.92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-1,004.69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-657.77</w:t>
            </w:r>
          </w:p>
        </w:tc>
      </w:tr>
      <w:tr>
        <w:tblPrEx>
          <w:tblCellMar>
            <w:top w:w="0" w:type="dxa"/>
            <w:left w:w="108" w:type="dxa"/>
            <w:bottom w:w="0" w:type="dxa"/>
            <w:right w:w="108" w:type="dxa"/>
          </w:tblCellMar>
        </w:tblPrEx>
        <w:trPr>
          <w:wBefore w:w="0" w:type="auto"/>
        </w:trPr>
        <w:tc>
          <w:tcPr>
            <w:tcW w:w="210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基金赎回款</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-333.91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238.27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-95.64</w:t>
            </w:r>
          </w:p>
        </w:tc>
      </w:tr>
      <w:tr>
        <w:tblPrEx>
          <w:tblCellMar>
            <w:top w:w="0" w:type="dxa"/>
            <w:left w:w="108" w:type="dxa"/>
            <w:bottom w:w="0" w:type="dxa"/>
            <w:right w:w="108" w:type="dxa"/>
          </w:tblCellMar>
        </w:tblPrEx>
        <w:trPr>
          <w:wBefore w:w="0" w:type="auto"/>
        </w:trPr>
        <w:tc>
          <w:tcPr>
            <w:tcW w:w="210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本期已分配利润</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10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本期末</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4,062,839.06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-9,620,245.66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-5,557,406.60</w:t>
            </w:r>
          </w:p>
        </w:tc>
      </w:tr>
    </w:tbl>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10"/>
        <w:tblW w:w="0" w:type="auto"/>
        <w:tblInd w:w="108" w:type="dxa"/>
        <w:tblLayout w:type="fixed"/>
        <w:tblCellMar>
          <w:top w:w="0" w:type="dxa"/>
          <w:left w:w="108" w:type="dxa"/>
          <w:bottom w:w="0" w:type="dxa"/>
          <w:right w:w="108" w:type="dxa"/>
        </w:tblCellMar>
      </w:tblPr>
      <w:tblGrid>
        <w:gridCol w:w="2107"/>
        <w:gridCol w:w="2167"/>
        <w:gridCol w:w="2167"/>
        <w:gridCol w:w="2529"/>
      </w:tblGrid>
      <w:tr>
        <w:tblPrEx>
          <w:tblCellMar>
            <w:top w:w="0" w:type="dxa"/>
            <w:left w:w="108" w:type="dxa"/>
            <w:bottom w:w="0" w:type="dxa"/>
            <w:right w:w="108" w:type="dxa"/>
          </w:tblCellMar>
        </w:tblPrEx>
        <w:trPr>
          <w:wBefore w:w="0" w:type="auto"/>
        </w:trPr>
        <w:tc>
          <w:tcPr>
            <w:tcW w:w="210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w:t>
            </w:r>
            <w:r>
              <w:rPr>
                <w:rFonts w:hint="eastAsia" w:ascii="Times New Roman" w:hAnsi="Times New Roman"/>
                <w:color w:val="000000"/>
                <w:kern w:val="0"/>
                <w:sz w:val="24"/>
                <w:szCs w:val="24"/>
              </w:rPr>
              <w:t>创金合信鑫动力混合</w:t>
            </w:r>
            <w:r>
              <w:rPr>
                <w:rFonts w:ascii="Times New Roman" w:hAnsi="Times New Roman"/>
                <w:color w:val="000000"/>
                <w:kern w:val="0"/>
                <w:sz w:val="24"/>
                <w:szCs w:val="24"/>
              </w:rPr>
              <w:t>C)</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未实现部分</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未分配利润合计</w:t>
            </w:r>
          </w:p>
        </w:tc>
      </w:tr>
      <w:tr>
        <w:tblPrEx>
          <w:tblCellMar>
            <w:top w:w="0" w:type="dxa"/>
            <w:left w:w="108" w:type="dxa"/>
            <w:bottom w:w="0" w:type="dxa"/>
            <w:right w:w="108" w:type="dxa"/>
          </w:tblCellMar>
        </w:tblPrEx>
        <w:trPr>
          <w:wBefore w:w="0" w:type="auto"/>
        </w:trPr>
        <w:tc>
          <w:tcPr>
            <w:tcW w:w="210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基金合同生效日</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10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本期利润</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597.46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-1,278.80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-681.34</w:t>
            </w:r>
          </w:p>
        </w:tc>
      </w:tr>
      <w:tr>
        <w:tblPrEx>
          <w:tblCellMar>
            <w:top w:w="0" w:type="dxa"/>
            <w:left w:w="108" w:type="dxa"/>
            <w:bottom w:w="0" w:type="dxa"/>
            <w:right w:w="108" w:type="dxa"/>
          </w:tblCellMar>
        </w:tblPrEx>
        <w:trPr>
          <w:wBefore w:w="0" w:type="auto"/>
        </w:trPr>
        <w:tc>
          <w:tcPr>
            <w:tcW w:w="210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本期基金份额交易产生的变动数</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-181.49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145.89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-35.60</w:t>
            </w:r>
          </w:p>
        </w:tc>
      </w:tr>
      <w:tr>
        <w:tblPrEx>
          <w:tblCellMar>
            <w:top w:w="0" w:type="dxa"/>
            <w:left w:w="108" w:type="dxa"/>
            <w:bottom w:w="0" w:type="dxa"/>
            <w:right w:w="108" w:type="dxa"/>
          </w:tblCellMar>
        </w:tblPrEx>
        <w:trPr>
          <w:wBefore w:w="0" w:type="auto"/>
        </w:trPr>
        <w:tc>
          <w:tcPr>
            <w:tcW w:w="210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其中：基金申购款</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1.81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0.60</w:t>
            </w:r>
          </w:p>
        </w:tc>
      </w:tr>
      <w:tr>
        <w:tblPrEx>
          <w:tblCellMar>
            <w:top w:w="0" w:type="dxa"/>
            <w:left w:w="108" w:type="dxa"/>
            <w:bottom w:w="0" w:type="dxa"/>
            <w:right w:w="108" w:type="dxa"/>
          </w:tblCellMar>
        </w:tblPrEx>
        <w:trPr>
          <w:wBefore w:w="0" w:type="auto"/>
        </w:trPr>
        <w:tc>
          <w:tcPr>
            <w:tcW w:w="210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基金赎回款</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-183.30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147.10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-36.20</w:t>
            </w:r>
          </w:p>
        </w:tc>
      </w:tr>
      <w:tr>
        <w:tblPrEx>
          <w:tblCellMar>
            <w:top w:w="0" w:type="dxa"/>
            <w:left w:w="108" w:type="dxa"/>
            <w:bottom w:w="0" w:type="dxa"/>
            <w:right w:w="108" w:type="dxa"/>
          </w:tblCellMar>
        </w:tblPrEx>
        <w:trPr>
          <w:wBefore w:w="0" w:type="auto"/>
        </w:trPr>
        <w:tc>
          <w:tcPr>
            <w:tcW w:w="210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本期已分配利润</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10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本期末</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415.97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-1,132.91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-716.94</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7.4.7.11 </w:t>
      </w:r>
      <w:r>
        <w:rPr>
          <w:rFonts w:hint="eastAsia" w:ascii="Times New Roman" w:hAnsi="Times New Roman"/>
          <w:b/>
          <w:color w:val="000000"/>
          <w:kern w:val="0"/>
          <w:sz w:val="24"/>
          <w:szCs w:val="24"/>
        </w:rPr>
        <w:t>存款利息收入</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10"/>
        <w:tblW w:w="0" w:type="auto"/>
        <w:tblInd w:w="108" w:type="dxa"/>
        <w:tblLayout w:type="fixed"/>
        <w:tblCellMar>
          <w:top w:w="0" w:type="dxa"/>
          <w:left w:w="108" w:type="dxa"/>
          <w:bottom w:w="0" w:type="dxa"/>
          <w:right w:w="108" w:type="dxa"/>
        </w:tblCellMar>
      </w:tblPr>
      <w:tblGrid>
        <w:gridCol w:w="3191"/>
        <w:gridCol w:w="5834"/>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30</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活期存款利息收入</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178,075.95</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定期存款利息收入</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298,958.33</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其他存款利息收入</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结算备付金利息收入</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20,290.55</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其他</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305.37</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497,630.20</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7.4.7.12 </w:t>
      </w:r>
      <w:r>
        <w:rPr>
          <w:rFonts w:hint="eastAsia" w:ascii="Times New Roman" w:hAnsi="Times New Roman"/>
          <w:b/>
          <w:color w:val="000000"/>
          <w:kern w:val="0"/>
          <w:sz w:val="24"/>
          <w:szCs w:val="24"/>
        </w:rPr>
        <w:t>股票投资收益</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7.4.7.12.1 </w:t>
      </w:r>
      <w:r>
        <w:rPr>
          <w:rFonts w:hint="eastAsia" w:ascii="Times New Roman" w:hAnsi="Times New Roman"/>
          <w:b/>
          <w:color w:val="000000"/>
          <w:kern w:val="0"/>
          <w:sz w:val="24"/>
          <w:szCs w:val="24"/>
        </w:rPr>
        <w:t>股票投资收益项目构成</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10"/>
        <w:tblW w:w="0" w:type="auto"/>
        <w:tblInd w:w="108" w:type="dxa"/>
        <w:tblLayout w:type="fixed"/>
        <w:tblCellMar>
          <w:top w:w="0" w:type="dxa"/>
          <w:left w:w="108" w:type="dxa"/>
          <w:bottom w:w="0" w:type="dxa"/>
          <w:right w:w="108" w:type="dxa"/>
        </w:tblCellMar>
      </w:tblPr>
      <w:tblGrid>
        <w:gridCol w:w="3191"/>
        <w:gridCol w:w="5834"/>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30</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股票投资收益</w:t>
            </w:r>
            <w:r>
              <w:rPr>
                <w:rFonts w:ascii="Times New Roman" w:hAnsi="Times New Roman"/>
                <w:color w:val="000000"/>
                <w:kern w:val="0"/>
                <w:sz w:val="24"/>
                <w:szCs w:val="24"/>
              </w:rPr>
              <w:t>——</w:t>
            </w:r>
            <w:r>
              <w:rPr>
                <w:rFonts w:hint="eastAsia" w:ascii="Times New Roman" w:hAnsi="Times New Roman"/>
                <w:color w:val="000000"/>
                <w:kern w:val="0"/>
                <w:sz w:val="24"/>
                <w:szCs w:val="24"/>
              </w:rPr>
              <w:t>买卖股票差价收入</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1,047,576.28</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股票投资收益</w:t>
            </w:r>
            <w:r>
              <w:rPr>
                <w:rFonts w:ascii="Times New Roman" w:hAnsi="Times New Roman"/>
                <w:color w:val="000000"/>
                <w:kern w:val="0"/>
                <w:sz w:val="24"/>
                <w:szCs w:val="24"/>
              </w:rPr>
              <w:t>——</w:t>
            </w:r>
            <w:r>
              <w:rPr>
                <w:rFonts w:hint="eastAsia" w:ascii="Times New Roman" w:hAnsi="Times New Roman"/>
                <w:color w:val="000000"/>
                <w:kern w:val="0"/>
                <w:sz w:val="24"/>
                <w:szCs w:val="24"/>
              </w:rPr>
              <w:t>赎回差价收入</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股票投资收益</w:t>
            </w:r>
            <w:r>
              <w:rPr>
                <w:rFonts w:ascii="Times New Roman" w:hAnsi="Times New Roman"/>
                <w:color w:val="000000"/>
                <w:kern w:val="0"/>
                <w:sz w:val="24"/>
                <w:szCs w:val="24"/>
              </w:rPr>
              <w:t>——</w:t>
            </w:r>
            <w:r>
              <w:rPr>
                <w:rFonts w:hint="eastAsia" w:ascii="Times New Roman" w:hAnsi="Times New Roman"/>
                <w:color w:val="000000"/>
                <w:kern w:val="0"/>
                <w:sz w:val="24"/>
                <w:szCs w:val="24"/>
              </w:rPr>
              <w:t>申购差价收入</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1,047,576.28</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7.4.7.12.2 </w:t>
      </w:r>
      <w:r>
        <w:rPr>
          <w:rFonts w:hint="eastAsia" w:ascii="Times New Roman" w:hAnsi="Times New Roman"/>
          <w:b/>
          <w:color w:val="000000"/>
          <w:kern w:val="0"/>
          <w:sz w:val="24"/>
          <w:szCs w:val="24"/>
        </w:rPr>
        <w:t>股票投资收益</w:t>
      </w:r>
      <w:r>
        <w:rPr>
          <w:rFonts w:ascii="Times New Roman" w:hAnsi="Times New Roman"/>
          <w:b/>
          <w:color w:val="000000"/>
          <w:kern w:val="0"/>
          <w:sz w:val="24"/>
          <w:szCs w:val="24"/>
        </w:rPr>
        <w:t>——</w:t>
      </w:r>
      <w:r>
        <w:rPr>
          <w:rFonts w:hint="eastAsia" w:ascii="Times New Roman" w:hAnsi="Times New Roman"/>
          <w:b/>
          <w:color w:val="000000"/>
          <w:kern w:val="0"/>
          <w:sz w:val="24"/>
          <w:szCs w:val="24"/>
        </w:rPr>
        <w:t>买卖股票差价收入</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10"/>
        <w:tblW w:w="0" w:type="auto"/>
        <w:tblInd w:w="108" w:type="dxa"/>
        <w:tblLayout w:type="fixed"/>
        <w:tblCellMar>
          <w:top w:w="0" w:type="dxa"/>
          <w:left w:w="108" w:type="dxa"/>
          <w:bottom w:w="0" w:type="dxa"/>
          <w:right w:w="108" w:type="dxa"/>
        </w:tblCellMar>
      </w:tblPr>
      <w:tblGrid>
        <w:gridCol w:w="3191"/>
        <w:gridCol w:w="5834"/>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30</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卖出股票成交总额</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111,186,828.04</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减：卖出股票成本总额</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110,139,251.76</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买卖股票差价收入</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1,047,576.28</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7.4.7.13 </w:t>
      </w:r>
      <w:r>
        <w:rPr>
          <w:rFonts w:hint="eastAsia" w:ascii="Times New Roman" w:hAnsi="Times New Roman"/>
          <w:b/>
          <w:color w:val="000000"/>
          <w:kern w:val="0"/>
          <w:sz w:val="24"/>
          <w:szCs w:val="24"/>
        </w:rPr>
        <w:t>债券投资收益</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7.4.7.13.1 </w:t>
      </w:r>
      <w:r>
        <w:rPr>
          <w:rFonts w:hint="eastAsia" w:ascii="Times New Roman" w:hAnsi="Times New Roman"/>
          <w:b/>
          <w:color w:val="000000"/>
          <w:kern w:val="0"/>
          <w:sz w:val="24"/>
          <w:szCs w:val="24"/>
        </w:rPr>
        <w:t>债券投资收益项目构成</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10"/>
        <w:tblW w:w="0" w:type="auto"/>
        <w:tblInd w:w="108" w:type="dxa"/>
        <w:tblLayout w:type="fixed"/>
        <w:tblCellMar>
          <w:top w:w="0" w:type="dxa"/>
          <w:left w:w="108" w:type="dxa"/>
          <w:bottom w:w="0" w:type="dxa"/>
          <w:right w:w="108" w:type="dxa"/>
        </w:tblCellMar>
      </w:tblPr>
      <w:tblGrid>
        <w:gridCol w:w="3191"/>
        <w:gridCol w:w="5834"/>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30</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债券投资收益</w:t>
            </w:r>
            <w:r>
              <w:rPr>
                <w:rFonts w:ascii="Times New Roman" w:hAnsi="Times New Roman"/>
                <w:color w:val="000000"/>
                <w:kern w:val="0"/>
                <w:sz w:val="24"/>
                <w:szCs w:val="24"/>
              </w:rPr>
              <w:t>——</w:t>
            </w:r>
            <w:r>
              <w:rPr>
                <w:rFonts w:hint="eastAsia" w:ascii="Times New Roman" w:hAnsi="Times New Roman"/>
                <w:color w:val="000000"/>
                <w:kern w:val="0"/>
                <w:sz w:val="24"/>
                <w:szCs w:val="24"/>
              </w:rPr>
              <w:t>买卖债券（、债转股及债券到期兑付）差价收入</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-2,563,997.09</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债券投资收益</w:t>
            </w:r>
            <w:r>
              <w:rPr>
                <w:rFonts w:ascii="Times New Roman" w:hAnsi="Times New Roman"/>
                <w:color w:val="000000"/>
                <w:kern w:val="0"/>
                <w:sz w:val="24"/>
                <w:szCs w:val="24"/>
              </w:rPr>
              <w:t>——</w:t>
            </w:r>
            <w:r>
              <w:rPr>
                <w:rFonts w:hint="eastAsia" w:ascii="Times New Roman" w:hAnsi="Times New Roman"/>
                <w:color w:val="000000"/>
                <w:kern w:val="0"/>
                <w:sz w:val="24"/>
                <w:szCs w:val="24"/>
              </w:rPr>
              <w:t>赎回差价收入</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债券投资收益</w:t>
            </w:r>
            <w:r>
              <w:rPr>
                <w:rFonts w:ascii="Times New Roman" w:hAnsi="Times New Roman"/>
                <w:color w:val="000000"/>
                <w:kern w:val="0"/>
                <w:sz w:val="24"/>
                <w:szCs w:val="24"/>
              </w:rPr>
              <w:t>——</w:t>
            </w:r>
            <w:r>
              <w:rPr>
                <w:rFonts w:hint="eastAsia" w:ascii="Times New Roman" w:hAnsi="Times New Roman"/>
                <w:color w:val="000000"/>
                <w:kern w:val="0"/>
                <w:sz w:val="24"/>
                <w:szCs w:val="24"/>
              </w:rPr>
              <w:t>申购差价收入</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-2,563,997.09</w:t>
            </w:r>
          </w:p>
        </w:tc>
      </w:tr>
    </w:tbl>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7.4.7.13.2 </w:t>
      </w:r>
      <w:r>
        <w:rPr>
          <w:rFonts w:hint="eastAsia" w:ascii="Times New Roman" w:hAnsi="Times New Roman"/>
          <w:b/>
          <w:color w:val="000000"/>
          <w:kern w:val="0"/>
          <w:sz w:val="24"/>
          <w:szCs w:val="24"/>
        </w:rPr>
        <w:t>债券投资收益</w:t>
      </w:r>
      <w:r>
        <w:rPr>
          <w:rFonts w:ascii="Times New Roman" w:hAnsi="Times New Roman"/>
          <w:b/>
          <w:color w:val="000000"/>
          <w:kern w:val="0"/>
          <w:sz w:val="24"/>
          <w:szCs w:val="24"/>
        </w:rPr>
        <w:t>——</w:t>
      </w:r>
      <w:r>
        <w:rPr>
          <w:rFonts w:hint="eastAsia" w:ascii="Times New Roman" w:hAnsi="Times New Roman"/>
          <w:b/>
          <w:color w:val="000000"/>
          <w:kern w:val="0"/>
          <w:sz w:val="24"/>
          <w:szCs w:val="24"/>
        </w:rPr>
        <w:t>买卖债券差价收入</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10"/>
        <w:tblW w:w="0" w:type="auto"/>
        <w:tblInd w:w="108" w:type="dxa"/>
        <w:tblLayout w:type="fixed"/>
        <w:tblCellMar>
          <w:top w:w="0" w:type="dxa"/>
          <w:left w:w="108" w:type="dxa"/>
          <w:bottom w:w="0" w:type="dxa"/>
          <w:right w:w="108" w:type="dxa"/>
        </w:tblCellMar>
      </w:tblPr>
      <w:tblGrid>
        <w:gridCol w:w="3191"/>
        <w:gridCol w:w="5834"/>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30</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卖出债券（、债转股及债券到期兑付）成交总额</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970,667,634.53</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减：卖出债券（、债转股及债券到期兑付）成本总额</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959,702,048.96</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减：应收利息总额</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13,529,582.66</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买卖债券差价收入</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-2,563,997.09</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7.4.7.14 </w:t>
      </w:r>
      <w:r>
        <w:rPr>
          <w:rFonts w:hint="eastAsia" w:ascii="Times New Roman" w:hAnsi="Times New Roman"/>
          <w:b/>
          <w:color w:val="000000"/>
          <w:kern w:val="0"/>
          <w:sz w:val="24"/>
          <w:szCs w:val="24"/>
        </w:rPr>
        <w:t>衍生工具收益</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本基金本报告期内无衍生工具收益。</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7.4.7.15 </w:t>
      </w:r>
      <w:r>
        <w:rPr>
          <w:rFonts w:hint="eastAsia" w:ascii="Times New Roman" w:hAnsi="Times New Roman"/>
          <w:b/>
          <w:color w:val="000000"/>
          <w:kern w:val="0"/>
          <w:sz w:val="24"/>
          <w:szCs w:val="24"/>
        </w:rPr>
        <w:t>股利收益</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10"/>
        <w:tblW w:w="0" w:type="auto"/>
        <w:tblInd w:w="108" w:type="dxa"/>
        <w:tblLayout w:type="fixed"/>
        <w:tblCellMar>
          <w:top w:w="0" w:type="dxa"/>
          <w:left w:w="108" w:type="dxa"/>
          <w:bottom w:w="0" w:type="dxa"/>
          <w:right w:w="108" w:type="dxa"/>
        </w:tblCellMar>
      </w:tblPr>
      <w:tblGrid>
        <w:gridCol w:w="3191"/>
        <w:gridCol w:w="5834"/>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30</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股票投资产生的股利收益</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88,078.50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基金投资产生的股利收益</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88,078.50</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7.4.7.16 </w:t>
      </w:r>
      <w:r>
        <w:rPr>
          <w:rFonts w:hint="eastAsia" w:ascii="Times New Roman" w:hAnsi="Times New Roman"/>
          <w:b/>
          <w:color w:val="000000"/>
          <w:kern w:val="0"/>
          <w:sz w:val="24"/>
          <w:szCs w:val="24"/>
        </w:rPr>
        <w:t>公允价值变动收益</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10"/>
        <w:tblW w:w="0" w:type="auto"/>
        <w:tblInd w:w="108" w:type="dxa"/>
        <w:tblLayout w:type="fixed"/>
        <w:tblCellMar>
          <w:top w:w="0" w:type="dxa"/>
          <w:left w:w="108" w:type="dxa"/>
          <w:bottom w:w="0" w:type="dxa"/>
          <w:right w:w="108" w:type="dxa"/>
        </w:tblCellMar>
      </w:tblPr>
      <w:tblGrid>
        <w:gridCol w:w="3191"/>
        <w:gridCol w:w="5834"/>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项目名称</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30</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w:t>
            </w:r>
            <w:r>
              <w:rPr>
                <w:rFonts w:hint="eastAsia" w:ascii="Times New Roman" w:hAnsi="Times New Roman"/>
                <w:color w:val="000000"/>
                <w:kern w:val="0"/>
                <w:sz w:val="24"/>
                <w:szCs w:val="24"/>
              </w:rPr>
              <w:t>交易性金融资产</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-9,620,758.04</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w:t>
            </w:r>
            <w:r>
              <w:rPr>
                <w:rFonts w:hint="eastAsia" w:ascii="Times New Roman" w:hAnsi="Times New Roman"/>
                <w:color w:val="000000"/>
                <w:kern w:val="0"/>
                <w:sz w:val="24"/>
                <w:szCs w:val="24"/>
              </w:rPr>
              <w:t>股票投资</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-3,337,559.85</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w:t>
            </w:r>
            <w:r>
              <w:rPr>
                <w:rFonts w:hint="eastAsia" w:ascii="Times New Roman" w:hAnsi="Times New Roman"/>
                <w:color w:val="000000"/>
                <w:kern w:val="0"/>
                <w:sz w:val="24"/>
                <w:szCs w:val="24"/>
              </w:rPr>
              <w:t>债券投资</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-6,283,198.19</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w:t>
            </w:r>
            <w:r>
              <w:rPr>
                <w:rFonts w:hint="eastAsia" w:ascii="Times New Roman" w:hAnsi="Times New Roman"/>
                <w:color w:val="000000"/>
                <w:kern w:val="0"/>
                <w:sz w:val="24"/>
                <w:szCs w:val="24"/>
              </w:rPr>
              <w:t>资产支持证券投资</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w:t>
            </w:r>
            <w:r>
              <w:rPr>
                <w:rFonts w:hint="eastAsia" w:ascii="Times New Roman" w:hAnsi="Times New Roman"/>
                <w:color w:val="000000"/>
                <w:kern w:val="0"/>
                <w:sz w:val="24"/>
                <w:szCs w:val="24"/>
              </w:rPr>
              <w:t>基金投资</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w:t>
            </w:r>
            <w:r>
              <w:rPr>
                <w:rFonts w:hint="eastAsia" w:ascii="Times New Roman" w:hAnsi="Times New Roman"/>
                <w:color w:val="000000"/>
                <w:kern w:val="0"/>
                <w:sz w:val="24"/>
                <w:szCs w:val="24"/>
              </w:rPr>
              <w:t>贵金属投资</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w:t>
            </w:r>
            <w:r>
              <w:rPr>
                <w:rFonts w:hint="eastAsia" w:ascii="Times New Roman" w:hAnsi="Times New Roman"/>
                <w:color w:val="000000"/>
                <w:kern w:val="0"/>
                <w:sz w:val="24"/>
                <w:szCs w:val="24"/>
              </w:rPr>
              <w:t>其他</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2.</w:t>
            </w:r>
            <w:r>
              <w:rPr>
                <w:rFonts w:hint="eastAsia" w:ascii="Times New Roman" w:hAnsi="Times New Roman"/>
                <w:color w:val="000000"/>
                <w:kern w:val="0"/>
                <w:sz w:val="24"/>
                <w:szCs w:val="24"/>
              </w:rPr>
              <w:t>衍生工具</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w:t>
            </w:r>
            <w:r>
              <w:rPr>
                <w:rFonts w:hint="eastAsia" w:ascii="Times New Roman" w:hAnsi="Times New Roman"/>
                <w:color w:val="000000"/>
                <w:kern w:val="0"/>
                <w:sz w:val="24"/>
                <w:szCs w:val="24"/>
              </w:rPr>
              <w:t>权证投资</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3.</w:t>
            </w:r>
            <w:r>
              <w:rPr>
                <w:rFonts w:hint="eastAsia" w:ascii="Times New Roman" w:hAnsi="Times New Roman"/>
                <w:color w:val="000000"/>
                <w:kern w:val="0"/>
                <w:sz w:val="24"/>
                <w:szCs w:val="24"/>
              </w:rPr>
              <w:t>其他</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-9,620,758.04</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7.4.7.17 </w:t>
      </w:r>
      <w:r>
        <w:rPr>
          <w:rFonts w:hint="eastAsia" w:ascii="Times New Roman" w:hAnsi="Times New Roman"/>
          <w:b/>
          <w:color w:val="000000"/>
          <w:kern w:val="0"/>
          <w:sz w:val="24"/>
          <w:szCs w:val="24"/>
        </w:rPr>
        <w:t>其他收入</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10"/>
        <w:tblW w:w="0" w:type="auto"/>
        <w:tblInd w:w="108" w:type="dxa"/>
        <w:tblLayout w:type="fixed"/>
        <w:tblCellMar>
          <w:top w:w="0" w:type="dxa"/>
          <w:left w:w="108" w:type="dxa"/>
          <w:bottom w:w="0" w:type="dxa"/>
          <w:right w:w="108" w:type="dxa"/>
        </w:tblCellMar>
      </w:tblPr>
      <w:tblGrid>
        <w:gridCol w:w="3191"/>
        <w:gridCol w:w="5834"/>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30</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基金赎回费收入</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127.96</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127.96</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7.4.7.18 </w:t>
      </w:r>
      <w:r>
        <w:rPr>
          <w:rFonts w:hint="eastAsia" w:ascii="Times New Roman" w:hAnsi="Times New Roman"/>
          <w:b/>
          <w:color w:val="000000"/>
          <w:kern w:val="0"/>
          <w:sz w:val="24"/>
          <w:szCs w:val="24"/>
        </w:rPr>
        <w:t>交易费用</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10"/>
        <w:tblW w:w="0" w:type="auto"/>
        <w:tblInd w:w="108" w:type="dxa"/>
        <w:tblLayout w:type="fixed"/>
        <w:tblCellMar>
          <w:top w:w="0" w:type="dxa"/>
          <w:left w:w="108" w:type="dxa"/>
          <w:bottom w:w="0" w:type="dxa"/>
          <w:right w:w="108" w:type="dxa"/>
        </w:tblCellMar>
      </w:tblPr>
      <w:tblGrid>
        <w:gridCol w:w="3191"/>
        <w:gridCol w:w="5834"/>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30</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交易所市场交易费用</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330,044.40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银行间市场交易费用</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17,200.00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347,244.40</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7.4.7.19 </w:t>
      </w:r>
      <w:r>
        <w:rPr>
          <w:rFonts w:hint="eastAsia" w:ascii="Times New Roman" w:hAnsi="Times New Roman"/>
          <w:b/>
          <w:color w:val="000000"/>
          <w:kern w:val="0"/>
          <w:sz w:val="24"/>
          <w:szCs w:val="24"/>
        </w:rPr>
        <w:t>其他费用</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10"/>
        <w:tblW w:w="0" w:type="auto"/>
        <w:tblInd w:w="108" w:type="dxa"/>
        <w:tblLayout w:type="fixed"/>
        <w:tblCellMar>
          <w:top w:w="0" w:type="dxa"/>
          <w:left w:w="108" w:type="dxa"/>
          <w:bottom w:w="0" w:type="dxa"/>
          <w:right w:w="108" w:type="dxa"/>
        </w:tblCellMar>
      </w:tblPr>
      <w:tblGrid>
        <w:gridCol w:w="3191"/>
        <w:gridCol w:w="5834"/>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30</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审计费用</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86,000.00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信息披露费</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30,000.00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帐户维护费</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9,400.00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125,400.00</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7.4.8 </w:t>
      </w:r>
      <w:r>
        <w:rPr>
          <w:rFonts w:hint="eastAsia" w:ascii="Times New Roman" w:hAnsi="Times New Roman"/>
          <w:b/>
          <w:color w:val="000000"/>
          <w:kern w:val="0"/>
          <w:sz w:val="24"/>
          <w:szCs w:val="24"/>
        </w:rPr>
        <w:t>或有事项、资产负债表日后事项的说明</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7.4.8.1 </w:t>
      </w:r>
      <w:r>
        <w:rPr>
          <w:rFonts w:hint="eastAsia" w:ascii="Times New Roman" w:hAnsi="Times New Roman"/>
          <w:b/>
          <w:color w:val="000000"/>
          <w:kern w:val="0"/>
          <w:sz w:val="24"/>
          <w:szCs w:val="24"/>
        </w:rPr>
        <w:t>或有事项</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截至资产负债表日，本基金无须作披露的或有事项。</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7.4.8.2 </w:t>
      </w:r>
      <w:r>
        <w:rPr>
          <w:rFonts w:hint="eastAsia" w:ascii="Times New Roman" w:hAnsi="Times New Roman"/>
          <w:b/>
          <w:color w:val="000000"/>
          <w:kern w:val="0"/>
          <w:sz w:val="24"/>
          <w:szCs w:val="24"/>
        </w:rPr>
        <w:t>资产负债表日后事项</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财政部、国家税务总局于</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21</w:t>
      </w:r>
      <w:r>
        <w:rPr>
          <w:rFonts w:hint="eastAsia" w:ascii="Times New Roman" w:hAnsi="Times New Roman"/>
          <w:color w:val="000000"/>
          <w:kern w:val="0"/>
          <w:sz w:val="24"/>
          <w:szCs w:val="24"/>
        </w:rPr>
        <w:t>日颁布《关于明确金融房地产开发教育辅助服务等增值税政策的通知》</w:t>
      </w:r>
      <w:r>
        <w:rPr>
          <w:rFonts w:ascii="Times New Roman" w:hAnsi="Times New Roman"/>
          <w:color w:val="000000"/>
          <w:kern w:val="0"/>
          <w:sz w:val="24"/>
          <w:szCs w:val="24"/>
        </w:rPr>
        <w:t>(</w:t>
      </w:r>
      <w:r>
        <w:rPr>
          <w:rFonts w:hint="eastAsia" w:ascii="Times New Roman" w:hAnsi="Times New Roman"/>
          <w:color w:val="000000"/>
          <w:kern w:val="0"/>
          <w:sz w:val="24"/>
          <w:szCs w:val="24"/>
        </w:rPr>
        <w:t>财税</w:t>
      </w:r>
      <w:r>
        <w:rPr>
          <w:rFonts w:ascii="Times New Roman" w:hAnsi="Times New Roman"/>
          <w:color w:val="000000"/>
          <w:kern w:val="0"/>
          <w:sz w:val="24"/>
          <w:szCs w:val="24"/>
        </w:rPr>
        <w:t>[2016]140</w:t>
      </w:r>
      <w:r>
        <w:rPr>
          <w:rFonts w:hint="eastAsia" w:ascii="Times New Roman" w:hAnsi="Times New Roman"/>
          <w:color w:val="000000"/>
          <w:kern w:val="0"/>
          <w:sz w:val="24"/>
          <w:szCs w:val="24"/>
        </w:rPr>
        <w:t>号</w:t>
      </w:r>
      <w:r>
        <w:rPr>
          <w:rFonts w:ascii="Times New Roman" w:hAnsi="Times New Roman"/>
          <w:color w:val="000000"/>
          <w:kern w:val="0"/>
          <w:sz w:val="24"/>
          <w:szCs w:val="24"/>
        </w:rPr>
        <w:t>)</w:t>
      </w:r>
      <w:r>
        <w:rPr>
          <w:rFonts w:hint="eastAsia" w:ascii="Times New Roman" w:hAnsi="Times New Roman"/>
          <w:color w:val="000000"/>
          <w:kern w:val="0"/>
          <w:sz w:val="24"/>
          <w:szCs w:val="24"/>
        </w:rPr>
        <w:t>，要求资管产品运营过程中发生的增值税应税行为，以资管产品管理人为增值税纳税人，自</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5</w:t>
      </w:r>
      <w:r>
        <w:rPr>
          <w:rFonts w:hint="eastAsia" w:ascii="Times New Roman" w:hAnsi="Times New Roman"/>
          <w:color w:val="000000"/>
          <w:kern w:val="0"/>
          <w:sz w:val="24"/>
          <w:szCs w:val="24"/>
        </w:rPr>
        <w:t>月</w:t>
      </w:r>
      <w:r>
        <w:rPr>
          <w:rFonts w:ascii="Times New Roman" w:hAnsi="Times New Roman"/>
          <w:color w:val="000000"/>
          <w:kern w:val="0"/>
          <w:sz w:val="24"/>
          <w:szCs w:val="24"/>
        </w:rPr>
        <w:t>1</w:t>
      </w:r>
      <w:r>
        <w:rPr>
          <w:rFonts w:hint="eastAsia" w:ascii="Times New Roman" w:hAnsi="Times New Roman"/>
          <w:color w:val="000000"/>
          <w:kern w:val="0"/>
          <w:sz w:val="24"/>
          <w:szCs w:val="24"/>
        </w:rPr>
        <w:t>日起执行。</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根据财政部、国家税务总局于</w:t>
      </w:r>
      <w:r>
        <w:rPr>
          <w:rFonts w:ascii="Times New Roman" w:hAnsi="Times New Roman"/>
          <w:color w:val="000000"/>
          <w:kern w:val="0"/>
          <w:sz w:val="24"/>
          <w:szCs w:val="24"/>
        </w:rPr>
        <w:t>2017</w:t>
      </w:r>
      <w:r>
        <w:rPr>
          <w:rFonts w:hint="eastAsia" w:ascii="Times New Roman" w:hAnsi="Times New Roman"/>
          <w:color w:val="000000"/>
          <w:kern w:val="0"/>
          <w:sz w:val="24"/>
          <w:szCs w:val="24"/>
        </w:rPr>
        <w:t>年</w:t>
      </w:r>
      <w:r>
        <w:rPr>
          <w:rFonts w:ascii="Times New Roman" w:hAnsi="Times New Roman"/>
          <w:color w:val="000000"/>
          <w:kern w:val="0"/>
          <w:sz w:val="24"/>
          <w:szCs w:val="24"/>
        </w:rPr>
        <w:t>1</w:t>
      </w:r>
      <w:r>
        <w:rPr>
          <w:rFonts w:hint="eastAsia" w:ascii="Times New Roman" w:hAnsi="Times New Roman"/>
          <w:color w:val="000000"/>
          <w:kern w:val="0"/>
          <w:sz w:val="24"/>
          <w:szCs w:val="24"/>
        </w:rPr>
        <w:t>月</w:t>
      </w:r>
      <w:r>
        <w:rPr>
          <w:rFonts w:ascii="Times New Roman" w:hAnsi="Times New Roman"/>
          <w:color w:val="000000"/>
          <w:kern w:val="0"/>
          <w:sz w:val="24"/>
          <w:szCs w:val="24"/>
        </w:rPr>
        <w:t>6</w:t>
      </w:r>
      <w:r>
        <w:rPr>
          <w:rFonts w:hint="eastAsia" w:ascii="Times New Roman" w:hAnsi="Times New Roman"/>
          <w:color w:val="000000"/>
          <w:kern w:val="0"/>
          <w:sz w:val="24"/>
          <w:szCs w:val="24"/>
        </w:rPr>
        <w:t>日颁布的《关于资管产品增值税政策有关问题的补充通知》</w:t>
      </w:r>
      <w:r>
        <w:rPr>
          <w:rFonts w:ascii="Times New Roman" w:hAnsi="Times New Roman"/>
          <w:color w:val="000000"/>
          <w:kern w:val="0"/>
          <w:sz w:val="24"/>
          <w:szCs w:val="24"/>
        </w:rPr>
        <w:t>(</w:t>
      </w:r>
      <w:r>
        <w:rPr>
          <w:rFonts w:hint="eastAsia" w:ascii="Times New Roman" w:hAnsi="Times New Roman"/>
          <w:color w:val="000000"/>
          <w:kern w:val="0"/>
          <w:sz w:val="24"/>
          <w:szCs w:val="24"/>
        </w:rPr>
        <w:t>财税</w:t>
      </w:r>
      <w:r>
        <w:rPr>
          <w:rFonts w:ascii="Times New Roman" w:hAnsi="Times New Roman"/>
          <w:color w:val="000000"/>
          <w:kern w:val="0"/>
          <w:sz w:val="24"/>
          <w:szCs w:val="24"/>
        </w:rPr>
        <w:t>[2017]2</w:t>
      </w:r>
      <w:r>
        <w:rPr>
          <w:rFonts w:hint="eastAsia" w:ascii="Times New Roman" w:hAnsi="Times New Roman"/>
          <w:color w:val="000000"/>
          <w:kern w:val="0"/>
          <w:sz w:val="24"/>
          <w:szCs w:val="24"/>
        </w:rPr>
        <w:t>号</w:t>
      </w:r>
      <w:r>
        <w:rPr>
          <w:rFonts w:ascii="Times New Roman" w:hAnsi="Times New Roman"/>
          <w:color w:val="000000"/>
          <w:kern w:val="0"/>
          <w:sz w:val="24"/>
          <w:szCs w:val="24"/>
        </w:rPr>
        <w:t>)</w:t>
      </w:r>
      <w:r>
        <w:rPr>
          <w:rFonts w:hint="eastAsia" w:ascii="Times New Roman" w:hAnsi="Times New Roman"/>
          <w:color w:val="000000"/>
          <w:kern w:val="0"/>
          <w:sz w:val="24"/>
          <w:szCs w:val="24"/>
        </w:rPr>
        <w:t>，</w:t>
      </w:r>
      <w:r>
        <w:rPr>
          <w:rFonts w:ascii="Times New Roman" w:hAnsi="Times New Roman"/>
          <w:color w:val="000000"/>
          <w:kern w:val="0"/>
          <w:sz w:val="24"/>
          <w:szCs w:val="24"/>
        </w:rPr>
        <w:t>2017</w:t>
      </w:r>
      <w:r>
        <w:rPr>
          <w:rFonts w:hint="eastAsia" w:ascii="Times New Roman" w:hAnsi="Times New Roman"/>
          <w:color w:val="000000"/>
          <w:kern w:val="0"/>
          <w:sz w:val="24"/>
          <w:szCs w:val="24"/>
        </w:rPr>
        <w:t>年</w:t>
      </w:r>
      <w:r>
        <w:rPr>
          <w:rFonts w:ascii="Times New Roman" w:hAnsi="Times New Roman"/>
          <w:color w:val="000000"/>
          <w:kern w:val="0"/>
          <w:sz w:val="24"/>
          <w:szCs w:val="24"/>
        </w:rPr>
        <w:t>7</w:t>
      </w:r>
      <w:r>
        <w:rPr>
          <w:rFonts w:hint="eastAsia" w:ascii="Times New Roman" w:hAnsi="Times New Roman"/>
          <w:color w:val="000000"/>
          <w:kern w:val="0"/>
          <w:sz w:val="24"/>
          <w:szCs w:val="24"/>
        </w:rPr>
        <w:t>月</w:t>
      </w:r>
      <w:r>
        <w:rPr>
          <w:rFonts w:ascii="Times New Roman" w:hAnsi="Times New Roman"/>
          <w:color w:val="000000"/>
          <w:kern w:val="0"/>
          <w:sz w:val="24"/>
          <w:szCs w:val="24"/>
        </w:rPr>
        <w:t>1</w:t>
      </w:r>
      <w:r>
        <w:rPr>
          <w:rFonts w:hint="eastAsia" w:ascii="Times New Roman" w:hAnsi="Times New Roman"/>
          <w:color w:val="000000"/>
          <w:kern w:val="0"/>
          <w:sz w:val="24"/>
          <w:szCs w:val="24"/>
        </w:rPr>
        <w:t>日</w:t>
      </w:r>
      <w:r>
        <w:rPr>
          <w:rFonts w:ascii="Times New Roman" w:hAnsi="Times New Roman"/>
          <w:color w:val="000000"/>
          <w:kern w:val="0"/>
          <w:sz w:val="24"/>
          <w:szCs w:val="24"/>
        </w:rPr>
        <w:t>(</w:t>
      </w:r>
      <w:r>
        <w:rPr>
          <w:rFonts w:hint="eastAsia" w:ascii="Times New Roman" w:hAnsi="Times New Roman"/>
          <w:color w:val="000000"/>
          <w:kern w:val="0"/>
          <w:sz w:val="24"/>
          <w:szCs w:val="24"/>
        </w:rPr>
        <w:t>含</w:t>
      </w:r>
      <w:r>
        <w:rPr>
          <w:rFonts w:ascii="Times New Roman" w:hAnsi="Times New Roman"/>
          <w:color w:val="000000"/>
          <w:kern w:val="0"/>
          <w:sz w:val="24"/>
          <w:szCs w:val="24"/>
        </w:rPr>
        <w:t>)</w:t>
      </w:r>
      <w:r>
        <w:rPr>
          <w:rFonts w:hint="eastAsia" w:ascii="Times New Roman" w:hAnsi="Times New Roman"/>
          <w:color w:val="000000"/>
          <w:kern w:val="0"/>
          <w:sz w:val="24"/>
          <w:szCs w:val="24"/>
        </w:rPr>
        <w:t>以后，资管产品运营过程中发生的增值税应税行为，以资管产品管理人为增值税纳税人，按照现行规定缴纳增值税。对资管产品在</w:t>
      </w:r>
      <w:r>
        <w:rPr>
          <w:rFonts w:ascii="Times New Roman" w:hAnsi="Times New Roman"/>
          <w:color w:val="000000"/>
          <w:kern w:val="0"/>
          <w:sz w:val="24"/>
          <w:szCs w:val="24"/>
        </w:rPr>
        <w:t>2017</w:t>
      </w:r>
      <w:r>
        <w:rPr>
          <w:rFonts w:hint="eastAsia" w:ascii="Times New Roman" w:hAnsi="Times New Roman"/>
          <w:color w:val="000000"/>
          <w:kern w:val="0"/>
          <w:sz w:val="24"/>
          <w:szCs w:val="24"/>
        </w:rPr>
        <w:t>年</w:t>
      </w:r>
      <w:r>
        <w:rPr>
          <w:rFonts w:ascii="Times New Roman" w:hAnsi="Times New Roman"/>
          <w:color w:val="000000"/>
          <w:kern w:val="0"/>
          <w:sz w:val="24"/>
          <w:szCs w:val="24"/>
        </w:rPr>
        <w:t>7</w:t>
      </w:r>
      <w:r>
        <w:rPr>
          <w:rFonts w:hint="eastAsia" w:ascii="Times New Roman" w:hAnsi="Times New Roman"/>
          <w:color w:val="000000"/>
          <w:kern w:val="0"/>
          <w:sz w:val="24"/>
          <w:szCs w:val="24"/>
        </w:rPr>
        <w:t>月</w:t>
      </w:r>
      <w:r>
        <w:rPr>
          <w:rFonts w:ascii="Times New Roman" w:hAnsi="Times New Roman"/>
          <w:color w:val="000000"/>
          <w:kern w:val="0"/>
          <w:sz w:val="24"/>
          <w:szCs w:val="24"/>
        </w:rPr>
        <w:t>1</w:t>
      </w:r>
      <w:r>
        <w:rPr>
          <w:rFonts w:hint="eastAsia" w:ascii="Times New Roman" w:hAnsi="Times New Roman"/>
          <w:color w:val="000000"/>
          <w:kern w:val="0"/>
          <w:sz w:val="24"/>
          <w:szCs w:val="24"/>
        </w:rPr>
        <w:t>日前运营过程中发生的增值税应税行为，未缴纳增值税的，不再缴纳；已缴纳增值税的，已纳税额从资管产品管理人以后月份的增值税应纳税额中抵减。资管产品运营过程中发生增值税应税行为的具体征收管理办法，由国家税务总局另行制定。上述税收政策对本基金截至本财务报表批准报出日止的财务状况和经营成果无影响。</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7.4.9 </w:t>
      </w:r>
      <w:r>
        <w:rPr>
          <w:rFonts w:hint="eastAsia" w:ascii="Times New Roman" w:hAnsi="Times New Roman"/>
          <w:b/>
          <w:color w:val="000000"/>
          <w:kern w:val="0"/>
          <w:sz w:val="24"/>
          <w:szCs w:val="24"/>
        </w:rPr>
        <w:t>关联方关系</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7.4.9.1 </w:t>
      </w:r>
      <w:r>
        <w:rPr>
          <w:rFonts w:hint="eastAsia" w:ascii="Times New Roman" w:hAnsi="Times New Roman"/>
          <w:b/>
          <w:color w:val="000000"/>
          <w:kern w:val="0"/>
          <w:sz w:val="24"/>
          <w:szCs w:val="24"/>
        </w:rPr>
        <w:t>本报告期存在控制关系或其他重大利害关系的关联方发生变化的情况</w:t>
      </w:r>
    </w:p>
    <w:p>
      <w:pPr>
        <w:autoSpaceDE w:val="0"/>
        <w:autoSpaceDN w:val="0"/>
        <w:adjustRightInd w:val="0"/>
        <w:spacing w:before="29" w:line="288" w:lineRule="auto"/>
        <w:ind w:left="15" w:firstLine="465"/>
        <w:jc w:val="left"/>
        <w:rPr>
          <w:rFonts w:hint="eastAsia" w:ascii="Times New Roman" w:hAnsi="Times New Roman"/>
          <w:color w:val="000000"/>
          <w:kern w:val="0"/>
          <w:sz w:val="24"/>
          <w:szCs w:val="24"/>
        </w:rPr>
      </w:pPr>
      <w:r>
        <w:rPr>
          <w:rFonts w:hint="eastAsia" w:ascii="Times New Roman" w:hAnsi="Times New Roman"/>
          <w:color w:val="000000"/>
          <w:kern w:val="0"/>
          <w:sz w:val="24"/>
          <w:szCs w:val="24"/>
        </w:rPr>
        <w:t>本报告期不存在重大关联方发生变化的情况。</w:t>
      </w:r>
    </w:p>
    <w:p>
      <w:pPr>
        <w:autoSpaceDE w:val="0"/>
        <w:autoSpaceDN w:val="0"/>
        <w:adjustRightInd w:val="0"/>
        <w:spacing w:before="29" w:line="288" w:lineRule="auto"/>
        <w:jc w:val="left"/>
        <w:rPr>
          <w:rFonts w:ascii="Times New Roman" w:hAnsi="Times New Roman"/>
          <w:color w:val="000000"/>
          <w:kern w:val="0"/>
          <w:sz w:val="24"/>
          <w:szCs w:val="24"/>
        </w:rPr>
      </w:pPr>
      <w:r>
        <w:rPr>
          <w:rFonts w:ascii="Times New Roman" w:hAnsi="Times New Roman" w:cs="宋体"/>
          <w:b/>
          <w:bCs/>
          <w:color w:val="000000"/>
          <w:kern w:val="0"/>
          <w:sz w:val="24"/>
          <w:szCs w:val="24"/>
        </w:rPr>
        <w:t xml:space="preserve">7.4.9.2 </w:t>
      </w:r>
      <w:r>
        <w:rPr>
          <w:rFonts w:hint="eastAsia" w:ascii="Times New Roman" w:hAnsi="Times New Roman" w:cs="宋体"/>
          <w:b/>
          <w:bCs/>
          <w:color w:val="000000"/>
          <w:kern w:val="0"/>
          <w:sz w:val="24"/>
          <w:szCs w:val="24"/>
        </w:rPr>
        <w:t>本报告期与基金发生关联交易的各关联方</w:t>
      </w:r>
    </w:p>
    <w:tbl>
      <w:tblPr>
        <w:tblStyle w:val="10"/>
        <w:tblW w:w="0" w:type="auto"/>
        <w:tblInd w:w="108" w:type="dxa"/>
        <w:tblLayout w:type="fixed"/>
        <w:tblCellMar>
          <w:top w:w="0" w:type="dxa"/>
          <w:left w:w="108" w:type="dxa"/>
          <w:bottom w:w="0" w:type="dxa"/>
          <w:right w:w="108" w:type="dxa"/>
        </w:tblCellMar>
      </w:tblPr>
      <w:tblGrid>
        <w:gridCol w:w="4274"/>
        <w:gridCol w:w="4696"/>
      </w:tblGrid>
      <w:tr>
        <w:tblPrEx>
          <w:tblCellMar>
            <w:top w:w="0" w:type="dxa"/>
            <w:left w:w="108" w:type="dxa"/>
            <w:bottom w:w="0" w:type="dxa"/>
            <w:right w:w="108" w:type="dxa"/>
          </w:tblCellMar>
        </w:tblPrEx>
        <w:trPr>
          <w:wBefore w:w="0" w:type="auto"/>
        </w:trPr>
        <w:tc>
          <w:tcPr>
            <w:tcW w:w="427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关联方名称</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与本基金的关系</w:t>
            </w:r>
          </w:p>
        </w:tc>
      </w:tr>
      <w:tr>
        <w:tblPrEx>
          <w:tblCellMar>
            <w:top w:w="0" w:type="dxa"/>
            <w:left w:w="108" w:type="dxa"/>
            <w:bottom w:w="0" w:type="dxa"/>
            <w:right w:w="108" w:type="dxa"/>
          </w:tblCellMar>
        </w:tblPrEx>
        <w:trPr>
          <w:wBefore w:w="0" w:type="auto"/>
        </w:trPr>
        <w:tc>
          <w:tcPr>
            <w:tcW w:w="427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创金合信基金管理有限公司</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基金管理人、注册登记机构、基金销售机构</w:t>
            </w:r>
          </w:p>
        </w:tc>
      </w:tr>
      <w:tr>
        <w:tblPrEx>
          <w:tblCellMar>
            <w:top w:w="0" w:type="dxa"/>
            <w:left w:w="108" w:type="dxa"/>
            <w:bottom w:w="0" w:type="dxa"/>
            <w:right w:w="108" w:type="dxa"/>
          </w:tblCellMar>
        </w:tblPrEx>
        <w:trPr>
          <w:wBefore w:w="0" w:type="auto"/>
        </w:trPr>
        <w:tc>
          <w:tcPr>
            <w:tcW w:w="427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中国邮政储蓄银行股份有限公司</w:t>
            </w:r>
            <w:r>
              <w:rPr>
                <w:rFonts w:ascii="Times New Roman" w:hAnsi="Times New Roman"/>
                <w:color w:val="000000"/>
                <w:kern w:val="0"/>
                <w:sz w:val="24"/>
                <w:szCs w:val="24"/>
              </w:rPr>
              <w:t>(</w:t>
            </w:r>
            <w:r>
              <w:rPr>
                <w:rFonts w:hint="eastAsia" w:ascii="Times New Roman" w:hAnsi="Times New Roman"/>
                <w:color w:val="000000"/>
                <w:kern w:val="0"/>
                <w:sz w:val="24"/>
                <w:szCs w:val="24"/>
              </w:rPr>
              <w:t>“中国邮政储蓄银行”</w:t>
            </w:r>
            <w:r>
              <w:rPr>
                <w:rFonts w:ascii="Times New Roman" w:hAnsi="Times New Roman"/>
                <w:color w:val="000000"/>
                <w:kern w:val="0"/>
                <w:sz w:val="24"/>
                <w:szCs w:val="24"/>
              </w:rPr>
              <w:t>)</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基金托管人</w:t>
            </w:r>
          </w:p>
        </w:tc>
      </w:tr>
      <w:tr>
        <w:tblPrEx>
          <w:tblCellMar>
            <w:top w:w="0" w:type="dxa"/>
            <w:left w:w="108" w:type="dxa"/>
            <w:bottom w:w="0" w:type="dxa"/>
            <w:right w:w="108" w:type="dxa"/>
          </w:tblCellMar>
        </w:tblPrEx>
        <w:trPr>
          <w:wBefore w:w="0" w:type="auto"/>
        </w:trPr>
        <w:tc>
          <w:tcPr>
            <w:tcW w:w="427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第一创业证券股份有限公司</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基金管理人的股东</w:t>
            </w:r>
          </w:p>
        </w:tc>
      </w:tr>
      <w:tr>
        <w:tblPrEx>
          <w:tblCellMar>
            <w:top w:w="0" w:type="dxa"/>
            <w:left w:w="108" w:type="dxa"/>
            <w:bottom w:w="0" w:type="dxa"/>
            <w:right w:w="108" w:type="dxa"/>
          </w:tblCellMar>
        </w:tblPrEx>
        <w:trPr>
          <w:wBefore w:w="0" w:type="auto"/>
        </w:trPr>
        <w:tc>
          <w:tcPr>
            <w:tcW w:w="427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深圳市金合信投资合伙企业</w:t>
            </w:r>
            <w:r>
              <w:rPr>
                <w:rFonts w:ascii="Times New Roman" w:hAnsi="Times New Roman"/>
                <w:color w:val="000000"/>
                <w:kern w:val="0"/>
                <w:sz w:val="24"/>
                <w:szCs w:val="24"/>
              </w:rPr>
              <w:t>(</w:t>
            </w:r>
            <w:r>
              <w:rPr>
                <w:rFonts w:hint="eastAsia" w:ascii="Times New Roman" w:hAnsi="Times New Roman"/>
                <w:color w:val="000000"/>
                <w:kern w:val="0"/>
                <w:sz w:val="24"/>
                <w:szCs w:val="24"/>
              </w:rPr>
              <w:t>有限合伙</w:t>
            </w:r>
            <w:r>
              <w:rPr>
                <w:rFonts w:ascii="Times New Roman" w:hAnsi="Times New Roman"/>
                <w:color w:val="000000"/>
                <w:kern w:val="0"/>
                <w:sz w:val="24"/>
                <w:szCs w:val="24"/>
              </w:rPr>
              <w:t>)</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基金管理人的股东</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 </w:t>
      </w:r>
      <w:r>
        <w:rPr>
          <w:rFonts w:hint="eastAsia" w:ascii="Times New Roman" w:hAnsi="Times New Roman"/>
          <w:b/>
          <w:color w:val="000000"/>
          <w:kern w:val="0"/>
          <w:sz w:val="24"/>
          <w:szCs w:val="24"/>
        </w:rPr>
        <w:t>本报告期及上年度可比期间的关联方交易</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7.4.10.1 </w:t>
      </w:r>
      <w:r>
        <w:rPr>
          <w:rFonts w:hint="eastAsia" w:ascii="Times New Roman" w:hAnsi="Times New Roman"/>
          <w:b/>
          <w:color w:val="000000"/>
          <w:kern w:val="0"/>
          <w:sz w:val="24"/>
          <w:szCs w:val="24"/>
        </w:rPr>
        <w:t>通过关联方交易单元进行的交易</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7.4.10.1.1 </w:t>
      </w:r>
      <w:r>
        <w:rPr>
          <w:rFonts w:hint="eastAsia" w:ascii="Times New Roman" w:hAnsi="Times New Roman"/>
          <w:b/>
          <w:color w:val="000000"/>
          <w:kern w:val="0"/>
          <w:sz w:val="24"/>
          <w:szCs w:val="24"/>
        </w:rPr>
        <w:t>股票交易</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10"/>
        <w:tblW w:w="0" w:type="auto"/>
        <w:tblInd w:w="108" w:type="dxa"/>
        <w:tblLayout w:type="fixed"/>
        <w:tblCellMar>
          <w:top w:w="0" w:type="dxa"/>
          <w:left w:w="108" w:type="dxa"/>
          <w:bottom w:w="0" w:type="dxa"/>
          <w:right w:w="108" w:type="dxa"/>
        </w:tblCellMar>
      </w:tblPr>
      <w:tblGrid>
        <w:gridCol w:w="1746"/>
        <w:gridCol w:w="3612"/>
        <w:gridCol w:w="3612"/>
      </w:tblGrid>
      <w:tr>
        <w:trPr>
          <w:wBefore w:w="0" w:type="auto"/>
        </w:trPr>
        <w:tc>
          <w:tcPr>
            <w:tcW w:w="1746"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关联方名称</w:t>
            </w:r>
          </w:p>
        </w:tc>
        <w:tc>
          <w:tcPr>
            <w:tcW w:w="7224"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30</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1746"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成交金额</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占当期股票成交总额的比例</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第一创业证券</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268,811,678.01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100.00%</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7.4.10.1.2 </w:t>
      </w:r>
      <w:r>
        <w:rPr>
          <w:rFonts w:hint="eastAsia" w:ascii="Times New Roman" w:hAnsi="Times New Roman"/>
          <w:b/>
          <w:color w:val="000000"/>
          <w:kern w:val="0"/>
          <w:sz w:val="24"/>
          <w:szCs w:val="24"/>
        </w:rPr>
        <w:t>权证交易</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本基金于本报告期未通过关联方交易单元进行权证交易。</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7.4.10.1.3 </w:t>
      </w:r>
      <w:r>
        <w:rPr>
          <w:rFonts w:hint="eastAsia" w:ascii="Times New Roman" w:hAnsi="Times New Roman"/>
          <w:b/>
          <w:color w:val="000000"/>
          <w:kern w:val="0"/>
          <w:sz w:val="24"/>
          <w:szCs w:val="24"/>
        </w:rPr>
        <w:t>应支付关联方的佣金</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10"/>
        <w:tblW w:w="0" w:type="auto"/>
        <w:tblInd w:w="108" w:type="dxa"/>
        <w:tblLayout w:type="fixed"/>
        <w:tblCellMar>
          <w:top w:w="0" w:type="dxa"/>
          <w:left w:w="108" w:type="dxa"/>
          <w:bottom w:w="0" w:type="dxa"/>
          <w:right w:w="108" w:type="dxa"/>
        </w:tblCellMar>
      </w:tblPr>
      <w:tblGrid>
        <w:gridCol w:w="1746"/>
        <w:gridCol w:w="2167"/>
        <w:gridCol w:w="1445"/>
        <w:gridCol w:w="1806"/>
        <w:gridCol w:w="1806"/>
      </w:tblGrid>
      <w:tr>
        <w:tblPrEx>
          <w:tblCellMar>
            <w:top w:w="0" w:type="dxa"/>
            <w:left w:w="108" w:type="dxa"/>
            <w:bottom w:w="0" w:type="dxa"/>
            <w:right w:w="108" w:type="dxa"/>
          </w:tblCellMar>
        </w:tblPrEx>
        <w:trPr>
          <w:wBefore w:w="0" w:type="auto"/>
        </w:trPr>
        <w:tc>
          <w:tcPr>
            <w:tcW w:w="1746"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关联方名称</w:t>
            </w:r>
          </w:p>
        </w:tc>
        <w:tc>
          <w:tcPr>
            <w:tcW w:w="7224" w:type="dxa"/>
            <w:gridSpan w:val="4"/>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30</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1746"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当期佣金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占当期佣金总量的比例</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期末应付佣金余额</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占期末应付佣金总额的比例</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第一创业证券</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194,865.89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162,495.72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100.00%</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w:t>
      </w:r>
      <w:r>
        <w:rPr>
          <w:rFonts w:ascii="Times New Roman" w:hAnsi="Times New Roman"/>
          <w:color w:val="000000"/>
          <w:kern w:val="0"/>
          <w:szCs w:val="24"/>
        </w:rPr>
        <w:t>1.</w:t>
      </w:r>
      <w:r>
        <w:rPr>
          <w:rFonts w:hint="eastAsia" w:ascii="Times New Roman" w:hAnsi="Times New Roman"/>
          <w:color w:val="000000"/>
          <w:kern w:val="0"/>
          <w:szCs w:val="24"/>
        </w:rPr>
        <w:t>上述佣金参考市场价格经本基金的基金管理人与对方协商确定，以扣除由中国证券登记结算有限责任公司收取的证管费和经手费的净额列示。</w:t>
      </w:r>
    </w:p>
    <w:p>
      <w:pPr>
        <w:autoSpaceDE w:val="0"/>
        <w:autoSpaceDN w:val="0"/>
        <w:adjustRightInd w:val="0"/>
        <w:spacing w:before="29" w:line="288" w:lineRule="auto"/>
        <w:ind w:left="15"/>
        <w:jc w:val="left"/>
        <w:rPr>
          <w:rFonts w:ascii="Times New Roman" w:hAnsi="Times New Roman"/>
          <w:color w:val="000000"/>
          <w:kern w:val="0"/>
          <w:szCs w:val="24"/>
        </w:rPr>
      </w:pPr>
      <w:r>
        <w:rPr>
          <w:rFonts w:ascii="Times New Roman" w:hAnsi="Times New Roman"/>
          <w:color w:val="000000"/>
          <w:kern w:val="0"/>
          <w:szCs w:val="24"/>
        </w:rPr>
        <w:t>2.</w:t>
      </w:r>
      <w:r>
        <w:rPr>
          <w:rFonts w:hint="eastAsia" w:ascii="Times New Roman" w:hAnsi="Times New Roman"/>
          <w:color w:val="000000"/>
          <w:kern w:val="0"/>
          <w:szCs w:val="24"/>
        </w:rPr>
        <w:t>该类佣金协议的服务范围还包括佣金收取方为本基金提供的证券投资研究成果和市场信息服务等。</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7.4.10.1.4 </w:t>
      </w:r>
      <w:r>
        <w:rPr>
          <w:rFonts w:hint="eastAsia" w:ascii="Times New Roman" w:hAnsi="Times New Roman"/>
          <w:b/>
          <w:color w:val="000000"/>
          <w:kern w:val="0"/>
          <w:sz w:val="24"/>
          <w:szCs w:val="24"/>
        </w:rPr>
        <w:t>债券交易</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10"/>
        <w:tblW w:w="0" w:type="auto"/>
        <w:tblInd w:w="108" w:type="dxa"/>
        <w:tblLayout w:type="fixed"/>
        <w:tblCellMar>
          <w:top w:w="0" w:type="dxa"/>
          <w:left w:w="108" w:type="dxa"/>
          <w:bottom w:w="0" w:type="dxa"/>
          <w:right w:w="108" w:type="dxa"/>
        </w:tblCellMar>
      </w:tblPr>
      <w:tblGrid>
        <w:gridCol w:w="1746"/>
        <w:gridCol w:w="3612"/>
        <w:gridCol w:w="3612"/>
      </w:tblGrid>
      <w:tr>
        <w:tblPrEx>
          <w:tblCellMar>
            <w:top w:w="0" w:type="dxa"/>
            <w:left w:w="108" w:type="dxa"/>
            <w:bottom w:w="0" w:type="dxa"/>
            <w:right w:w="108" w:type="dxa"/>
          </w:tblCellMar>
        </w:tblPrEx>
        <w:trPr>
          <w:wBefore w:w="0" w:type="auto"/>
        </w:trPr>
        <w:tc>
          <w:tcPr>
            <w:tcW w:w="1746"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关联方名称</w:t>
            </w:r>
          </w:p>
        </w:tc>
        <w:tc>
          <w:tcPr>
            <w:tcW w:w="7224"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30</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1746"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成交金额</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占当期债券成交总额的比例</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第一创业证券</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145,780,775.78</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100.00%</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7.4.10.1.5 </w:t>
      </w:r>
      <w:r>
        <w:rPr>
          <w:rFonts w:hint="eastAsia" w:ascii="Times New Roman" w:hAnsi="Times New Roman"/>
          <w:b/>
          <w:color w:val="000000"/>
          <w:kern w:val="0"/>
          <w:sz w:val="24"/>
          <w:szCs w:val="24"/>
        </w:rPr>
        <w:t>债券回购交易</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10"/>
        <w:tblW w:w="0" w:type="auto"/>
        <w:tblInd w:w="108" w:type="dxa"/>
        <w:tblLayout w:type="fixed"/>
        <w:tblCellMar>
          <w:top w:w="0" w:type="dxa"/>
          <w:left w:w="108" w:type="dxa"/>
          <w:bottom w:w="0" w:type="dxa"/>
          <w:right w:w="108" w:type="dxa"/>
        </w:tblCellMar>
      </w:tblPr>
      <w:tblGrid>
        <w:gridCol w:w="1746"/>
        <w:gridCol w:w="3612"/>
        <w:gridCol w:w="3612"/>
      </w:tblGrid>
      <w:tr>
        <w:tblPrEx>
          <w:tblCellMar>
            <w:top w:w="0" w:type="dxa"/>
            <w:left w:w="108" w:type="dxa"/>
            <w:bottom w:w="0" w:type="dxa"/>
            <w:right w:w="108" w:type="dxa"/>
          </w:tblCellMar>
        </w:tblPrEx>
        <w:trPr>
          <w:wBefore w:w="0" w:type="auto"/>
        </w:trPr>
        <w:tc>
          <w:tcPr>
            <w:tcW w:w="1746"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关联方名称</w:t>
            </w:r>
          </w:p>
        </w:tc>
        <w:tc>
          <w:tcPr>
            <w:tcW w:w="7224"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30</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rPr>
          <w:wBefore w:w="0" w:type="auto"/>
        </w:trPr>
        <w:tc>
          <w:tcPr>
            <w:tcW w:w="1746"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成交金额</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占当期债券回购成交总额的比例</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第一创业证券</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3,369,900,000.00</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100.00%</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7.4.10.2 </w:t>
      </w:r>
      <w:r>
        <w:rPr>
          <w:rFonts w:hint="eastAsia" w:ascii="Times New Roman" w:hAnsi="Times New Roman"/>
          <w:b/>
          <w:color w:val="000000"/>
          <w:kern w:val="0"/>
          <w:sz w:val="24"/>
          <w:szCs w:val="24"/>
        </w:rPr>
        <w:t>关联方报酬</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7.4.10.2.1 </w:t>
      </w:r>
      <w:r>
        <w:rPr>
          <w:rFonts w:hint="eastAsia" w:ascii="Times New Roman" w:hAnsi="Times New Roman"/>
          <w:b/>
          <w:color w:val="000000"/>
          <w:kern w:val="0"/>
          <w:sz w:val="24"/>
          <w:szCs w:val="24"/>
        </w:rPr>
        <w:t>基金管理费</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10"/>
        <w:tblW w:w="0" w:type="auto"/>
        <w:tblInd w:w="108" w:type="dxa"/>
        <w:tblLayout w:type="fixed"/>
        <w:tblCellMar>
          <w:top w:w="0" w:type="dxa"/>
          <w:left w:w="108" w:type="dxa"/>
          <w:bottom w:w="0" w:type="dxa"/>
          <w:right w:w="108" w:type="dxa"/>
        </w:tblCellMar>
      </w:tblPr>
      <w:tblGrid>
        <w:gridCol w:w="2468"/>
        <w:gridCol w:w="6557"/>
      </w:tblGrid>
      <w:tr>
        <w:tblPrEx>
          <w:tblCellMar>
            <w:top w:w="0" w:type="dxa"/>
            <w:left w:w="108" w:type="dxa"/>
            <w:bottom w:w="0" w:type="dxa"/>
            <w:right w:w="108" w:type="dxa"/>
          </w:tblCellMar>
        </w:tblPrEx>
        <w:trPr>
          <w:wBefore w:w="0" w:type="auto"/>
        </w:trPr>
        <w:tc>
          <w:tcPr>
            <w:tcW w:w="24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655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30</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24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当期发生的基金应支付的管理费</w:t>
            </w:r>
          </w:p>
        </w:tc>
        <w:tc>
          <w:tcPr>
            <w:tcW w:w="655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1,611,459.14</w:t>
            </w:r>
          </w:p>
        </w:tc>
      </w:tr>
      <w:tr>
        <w:tblPrEx>
          <w:tblCellMar>
            <w:top w:w="0" w:type="dxa"/>
            <w:left w:w="108" w:type="dxa"/>
            <w:bottom w:w="0" w:type="dxa"/>
            <w:right w:w="108" w:type="dxa"/>
          </w:tblCellMar>
        </w:tblPrEx>
        <w:trPr>
          <w:wBefore w:w="0" w:type="auto"/>
        </w:trPr>
        <w:tc>
          <w:tcPr>
            <w:tcW w:w="24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其中：支付销售机构的客户维护费</w:t>
            </w:r>
          </w:p>
        </w:tc>
        <w:tc>
          <w:tcPr>
            <w:tcW w:w="655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187.23</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注：本基金的管理费按前一日基金资产净值的</w:t>
      </w:r>
      <w:r>
        <w:rPr>
          <w:rFonts w:ascii="Times New Roman" w:hAnsi="Times New Roman"/>
          <w:color w:val="000000"/>
          <w:kern w:val="0"/>
          <w:szCs w:val="24"/>
        </w:rPr>
        <w:t>0.60%</w:t>
      </w:r>
      <w:r>
        <w:rPr>
          <w:rFonts w:hint="eastAsia" w:ascii="Times New Roman" w:hAnsi="Times New Roman"/>
          <w:color w:val="000000"/>
          <w:kern w:val="0"/>
          <w:szCs w:val="24"/>
        </w:rPr>
        <w:t>年费率计提。管理费的计算方法如下：</w:t>
      </w:r>
    </w:p>
    <w:p>
      <w:pPr>
        <w:autoSpaceDE w:val="0"/>
        <w:autoSpaceDN w:val="0"/>
        <w:adjustRightInd w:val="0"/>
        <w:spacing w:before="29" w:line="288" w:lineRule="auto"/>
        <w:ind w:left="15"/>
        <w:jc w:val="left"/>
        <w:rPr>
          <w:rFonts w:ascii="Times New Roman" w:hAnsi="Times New Roman"/>
          <w:color w:val="000000"/>
          <w:kern w:val="0"/>
          <w:szCs w:val="24"/>
        </w:rPr>
      </w:pPr>
      <w:r>
        <w:rPr>
          <w:rFonts w:ascii="Times New Roman" w:hAnsi="Times New Roman"/>
          <w:color w:val="000000"/>
          <w:kern w:val="0"/>
          <w:szCs w:val="24"/>
        </w:rPr>
        <w:t>H</w:t>
      </w:r>
      <w:r>
        <w:rPr>
          <w:rFonts w:hint="eastAsia" w:ascii="Times New Roman" w:hAnsi="Times New Roman"/>
          <w:color w:val="000000"/>
          <w:kern w:val="0"/>
          <w:szCs w:val="24"/>
        </w:rPr>
        <w:t>＝</w:t>
      </w:r>
      <w:r>
        <w:rPr>
          <w:rFonts w:ascii="Times New Roman" w:hAnsi="Times New Roman"/>
          <w:color w:val="000000"/>
          <w:kern w:val="0"/>
          <w:szCs w:val="24"/>
        </w:rPr>
        <w:t>E</w:t>
      </w:r>
      <w:r>
        <w:rPr>
          <w:rFonts w:hint="eastAsia" w:ascii="Times New Roman" w:hAnsi="Times New Roman"/>
          <w:color w:val="000000"/>
          <w:kern w:val="0"/>
          <w:szCs w:val="24"/>
        </w:rPr>
        <w:t>×</w:t>
      </w:r>
      <w:r>
        <w:rPr>
          <w:rFonts w:ascii="Times New Roman" w:hAnsi="Times New Roman"/>
          <w:color w:val="000000"/>
          <w:kern w:val="0"/>
          <w:szCs w:val="24"/>
        </w:rPr>
        <w:t>0.60%</w:t>
      </w:r>
      <w:r>
        <w:rPr>
          <w:rFonts w:hint="eastAsia" w:ascii="Times New Roman" w:hAnsi="Times New Roman"/>
          <w:color w:val="000000"/>
          <w:kern w:val="0"/>
          <w:szCs w:val="24"/>
        </w:rPr>
        <w:t>÷当年天数</w:t>
      </w:r>
    </w:p>
    <w:p>
      <w:pPr>
        <w:autoSpaceDE w:val="0"/>
        <w:autoSpaceDN w:val="0"/>
        <w:adjustRightInd w:val="0"/>
        <w:spacing w:before="29" w:line="288" w:lineRule="auto"/>
        <w:ind w:left="15"/>
        <w:jc w:val="left"/>
        <w:rPr>
          <w:rFonts w:ascii="Times New Roman" w:hAnsi="Times New Roman"/>
          <w:color w:val="000000"/>
          <w:kern w:val="0"/>
          <w:szCs w:val="24"/>
        </w:rPr>
      </w:pPr>
      <w:r>
        <w:rPr>
          <w:rFonts w:ascii="Times New Roman" w:hAnsi="Times New Roman"/>
          <w:color w:val="000000"/>
          <w:kern w:val="0"/>
          <w:szCs w:val="24"/>
        </w:rPr>
        <w:t>H</w:t>
      </w:r>
      <w:r>
        <w:rPr>
          <w:rFonts w:hint="eastAsia" w:ascii="Times New Roman" w:hAnsi="Times New Roman"/>
          <w:color w:val="000000"/>
          <w:kern w:val="0"/>
          <w:szCs w:val="24"/>
        </w:rPr>
        <w:t>为每日应计提的基金管理费</w:t>
      </w:r>
    </w:p>
    <w:p>
      <w:pPr>
        <w:autoSpaceDE w:val="0"/>
        <w:autoSpaceDN w:val="0"/>
        <w:adjustRightInd w:val="0"/>
        <w:spacing w:before="29" w:line="288" w:lineRule="auto"/>
        <w:ind w:left="15"/>
        <w:jc w:val="left"/>
        <w:rPr>
          <w:rFonts w:ascii="Times New Roman" w:hAnsi="Times New Roman"/>
          <w:color w:val="000000"/>
          <w:kern w:val="0"/>
          <w:szCs w:val="24"/>
        </w:rPr>
      </w:pPr>
      <w:r>
        <w:rPr>
          <w:rFonts w:ascii="Times New Roman" w:hAnsi="Times New Roman"/>
          <w:color w:val="000000"/>
          <w:kern w:val="0"/>
          <w:szCs w:val="24"/>
        </w:rPr>
        <w:t>E</w:t>
      </w:r>
      <w:r>
        <w:rPr>
          <w:rFonts w:hint="eastAsia" w:ascii="Times New Roman" w:hAnsi="Times New Roman"/>
          <w:color w:val="000000"/>
          <w:kern w:val="0"/>
          <w:szCs w:val="24"/>
        </w:rPr>
        <w:t>为前一日的基金资产净值</w:t>
      </w:r>
    </w:p>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基金管理费每日计提，逐日累计至每月月末，按月支付。由基金管理人在次月初</w:t>
      </w:r>
      <w:r>
        <w:rPr>
          <w:rFonts w:ascii="Times New Roman" w:hAnsi="Times New Roman"/>
          <w:color w:val="000000"/>
          <w:kern w:val="0"/>
          <w:szCs w:val="24"/>
        </w:rPr>
        <w:t>3</w:t>
      </w:r>
      <w:r>
        <w:rPr>
          <w:rFonts w:hint="eastAsia" w:ascii="Times New Roman" w:hAnsi="Times New Roman"/>
          <w:color w:val="000000"/>
          <w:kern w:val="0"/>
          <w:szCs w:val="24"/>
        </w:rPr>
        <w:t>个工作日内出具资金划拨指令，基金托管人复核无误后于</w:t>
      </w:r>
      <w:r>
        <w:rPr>
          <w:rFonts w:ascii="Times New Roman" w:hAnsi="Times New Roman"/>
          <w:color w:val="000000"/>
          <w:kern w:val="0"/>
          <w:szCs w:val="24"/>
        </w:rPr>
        <w:t>2</w:t>
      </w:r>
      <w:r>
        <w:rPr>
          <w:rFonts w:hint="eastAsia" w:ascii="Times New Roman" w:hAnsi="Times New Roman"/>
          <w:color w:val="000000"/>
          <w:kern w:val="0"/>
          <w:szCs w:val="24"/>
        </w:rPr>
        <w:t>个工作日内进行支付。若遇法定节假日、休息日等，支付日期顺延。</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7.4.10.2.2 </w:t>
      </w:r>
      <w:r>
        <w:rPr>
          <w:rFonts w:hint="eastAsia" w:ascii="Times New Roman" w:hAnsi="Times New Roman"/>
          <w:b/>
          <w:color w:val="000000"/>
          <w:kern w:val="0"/>
          <w:sz w:val="24"/>
          <w:szCs w:val="24"/>
        </w:rPr>
        <w:t>基金托管费</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10"/>
        <w:tblW w:w="0" w:type="auto"/>
        <w:tblInd w:w="108" w:type="dxa"/>
        <w:tblLayout w:type="fixed"/>
        <w:tblCellMar>
          <w:top w:w="0" w:type="dxa"/>
          <w:left w:w="108" w:type="dxa"/>
          <w:bottom w:w="0" w:type="dxa"/>
          <w:right w:w="108" w:type="dxa"/>
        </w:tblCellMar>
      </w:tblPr>
      <w:tblGrid>
        <w:gridCol w:w="2468"/>
        <w:gridCol w:w="6557"/>
      </w:tblGrid>
      <w:tr>
        <w:tblPrEx>
          <w:tblCellMar>
            <w:top w:w="0" w:type="dxa"/>
            <w:left w:w="108" w:type="dxa"/>
            <w:bottom w:w="0" w:type="dxa"/>
            <w:right w:w="108" w:type="dxa"/>
          </w:tblCellMar>
        </w:tblPrEx>
        <w:trPr>
          <w:wBefore w:w="0" w:type="auto"/>
        </w:trPr>
        <w:tc>
          <w:tcPr>
            <w:tcW w:w="24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655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30</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24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当期发生的基金应支付的托管费</w:t>
            </w:r>
          </w:p>
        </w:tc>
        <w:tc>
          <w:tcPr>
            <w:tcW w:w="655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537,153.03</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注：本基金的托管费按前一日基金资产净值的</w:t>
      </w:r>
      <w:r>
        <w:rPr>
          <w:rFonts w:ascii="Times New Roman" w:hAnsi="Times New Roman"/>
          <w:color w:val="000000"/>
          <w:kern w:val="0"/>
          <w:szCs w:val="24"/>
        </w:rPr>
        <w:t>0.2%</w:t>
      </w:r>
      <w:r>
        <w:rPr>
          <w:rFonts w:hint="eastAsia" w:ascii="Times New Roman" w:hAnsi="Times New Roman"/>
          <w:color w:val="000000"/>
          <w:kern w:val="0"/>
          <w:szCs w:val="24"/>
        </w:rPr>
        <w:t>的年费率计提。托管费的计算方法如下：</w:t>
      </w:r>
    </w:p>
    <w:p>
      <w:pPr>
        <w:autoSpaceDE w:val="0"/>
        <w:autoSpaceDN w:val="0"/>
        <w:adjustRightInd w:val="0"/>
        <w:spacing w:before="29" w:line="288" w:lineRule="auto"/>
        <w:ind w:left="15"/>
        <w:jc w:val="left"/>
        <w:rPr>
          <w:rFonts w:ascii="Times New Roman" w:hAnsi="Times New Roman"/>
          <w:color w:val="000000"/>
          <w:kern w:val="0"/>
          <w:szCs w:val="24"/>
        </w:rPr>
      </w:pPr>
      <w:r>
        <w:rPr>
          <w:rFonts w:ascii="Times New Roman" w:hAnsi="Times New Roman"/>
          <w:color w:val="000000"/>
          <w:kern w:val="0"/>
          <w:szCs w:val="24"/>
        </w:rPr>
        <w:t>H</w:t>
      </w:r>
      <w:r>
        <w:rPr>
          <w:rFonts w:hint="eastAsia" w:ascii="Times New Roman" w:hAnsi="Times New Roman"/>
          <w:color w:val="000000"/>
          <w:kern w:val="0"/>
          <w:szCs w:val="24"/>
        </w:rPr>
        <w:t>＝</w:t>
      </w:r>
      <w:r>
        <w:rPr>
          <w:rFonts w:ascii="Times New Roman" w:hAnsi="Times New Roman"/>
          <w:color w:val="000000"/>
          <w:kern w:val="0"/>
          <w:szCs w:val="24"/>
        </w:rPr>
        <w:t>E</w:t>
      </w:r>
      <w:r>
        <w:rPr>
          <w:rFonts w:hint="eastAsia" w:ascii="Times New Roman" w:hAnsi="Times New Roman"/>
          <w:color w:val="000000"/>
          <w:kern w:val="0"/>
          <w:szCs w:val="24"/>
        </w:rPr>
        <w:t>×</w:t>
      </w:r>
      <w:r>
        <w:rPr>
          <w:rFonts w:ascii="Times New Roman" w:hAnsi="Times New Roman"/>
          <w:color w:val="000000"/>
          <w:kern w:val="0"/>
          <w:szCs w:val="24"/>
        </w:rPr>
        <w:t>0.2%</w:t>
      </w:r>
      <w:r>
        <w:rPr>
          <w:rFonts w:hint="eastAsia" w:ascii="Times New Roman" w:hAnsi="Times New Roman"/>
          <w:color w:val="000000"/>
          <w:kern w:val="0"/>
          <w:szCs w:val="24"/>
        </w:rPr>
        <w:t>÷当年天数</w:t>
      </w:r>
    </w:p>
    <w:p>
      <w:pPr>
        <w:autoSpaceDE w:val="0"/>
        <w:autoSpaceDN w:val="0"/>
        <w:adjustRightInd w:val="0"/>
        <w:spacing w:before="29" w:line="288" w:lineRule="auto"/>
        <w:ind w:left="15"/>
        <w:jc w:val="left"/>
        <w:rPr>
          <w:rFonts w:ascii="Times New Roman" w:hAnsi="Times New Roman"/>
          <w:color w:val="000000"/>
          <w:kern w:val="0"/>
          <w:szCs w:val="24"/>
        </w:rPr>
      </w:pPr>
      <w:r>
        <w:rPr>
          <w:rFonts w:ascii="Times New Roman" w:hAnsi="Times New Roman"/>
          <w:color w:val="000000"/>
          <w:kern w:val="0"/>
          <w:szCs w:val="24"/>
        </w:rPr>
        <w:t>H</w:t>
      </w:r>
      <w:r>
        <w:rPr>
          <w:rFonts w:hint="eastAsia" w:ascii="Times New Roman" w:hAnsi="Times New Roman"/>
          <w:color w:val="000000"/>
          <w:kern w:val="0"/>
          <w:szCs w:val="24"/>
        </w:rPr>
        <w:t>为每日应计提的基金托管费</w:t>
      </w:r>
    </w:p>
    <w:p>
      <w:pPr>
        <w:autoSpaceDE w:val="0"/>
        <w:autoSpaceDN w:val="0"/>
        <w:adjustRightInd w:val="0"/>
        <w:spacing w:before="29" w:line="288" w:lineRule="auto"/>
        <w:ind w:left="15"/>
        <w:jc w:val="left"/>
        <w:rPr>
          <w:rFonts w:ascii="Times New Roman" w:hAnsi="Times New Roman"/>
          <w:color w:val="000000"/>
          <w:kern w:val="0"/>
          <w:szCs w:val="24"/>
        </w:rPr>
      </w:pPr>
      <w:r>
        <w:rPr>
          <w:rFonts w:ascii="Times New Roman" w:hAnsi="Times New Roman"/>
          <w:color w:val="000000"/>
          <w:kern w:val="0"/>
          <w:szCs w:val="24"/>
        </w:rPr>
        <w:t>E</w:t>
      </w:r>
      <w:r>
        <w:rPr>
          <w:rFonts w:hint="eastAsia" w:ascii="Times New Roman" w:hAnsi="Times New Roman"/>
          <w:color w:val="000000"/>
          <w:kern w:val="0"/>
          <w:szCs w:val="24"/>
        </w:rPr>
        <w:t>为前一日的基金资产净值</w:t>
      </w:r>
    </w:p>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基金托管费每日计提，逐日累计至每月月末，按月支付。由基金管理人在次月初</w:t>
      </w:r>
      <w:r>
        <w:rPr>
          <w:rFonts w:ascii="Times New Roman" w:hAnsi="Times New Roman"/>
          <w:color w:val="000000"/>
          <w:kern w:val="0"/>
          <w:szCs w:val="24"/>
        </w:rPr>
        <w:t>3</w:t>
      </w:r>
      <w:r>
        <w:rPr>
          <w:rFonts w:hint="eastAsia" w:ascii="Times New Roman" w:hAnsi="Times New Roman"/>
          <w:color w:val="000000"/>
          <w:kern w:val="0"/>
          <w:szCs w:val="24"/>
        </w:rPr>
        <w:t>个工作日内出具资金划拨指令，基金托管人复核无误后于</w:t>
      </w:r>
      <w:r>
        <w:rPr>
          <w:rFonts w:ascii="Times New Roman" w:hAnsi="Times New Roman"/>
          <w:color w:val="000000"/>
          <w:kern w:val="0"/>
          <w:szCs w:val="24"/>
        </w:rPr>
        <w:t>2</w:t>
      </w:r>
      <w:r>
        <w:rPr>
          <w:rFonts w:hint="eastAsia" w:ascii="Times New Roman" w:hAnsi="Times New Roman"/>
          <w:color w:val="000000"/>
          <w:kern w:val="0"/>
          <w:szCs w:val="24"/>
        </w:rPr>
        <w:t>个工作日内进行支付。若遇法定节假日、休息日等，支付日期顺延。</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7.4.10.2.3 </w:t>
      </w:r>
      <w:r>
        <w:rPr>
          <w:rFonts w:hint="eastAsia" w:ascii="Times New Roman" w:hAnsi="Times New Roman"/>
          <w:b/>
          <w:color w:val="000000"/>
          <w:kern w:val="0"/>
          <w:sz w:val="24"/>
          <w:szCs w:val="24"/>
        </w:rPr>
        <w:t>销售服务费</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10"/>
        <w:tblW w:w="0" w:type="auto"/>
        <w:tblInd w:w="108" w:type="dxa"/>
        <w:tblLayout w:type="fixed"/>
        <w:tblCellMar>
          <w:top w:w="0" w:type="dxa"/>
          <w:left w:w="108" w:type="dxa"/>
          <w:bottom w:w="0" w:type="dxa"/>
          <w:right w:w="108" w:type="dxa"/>
        </w:tblCellMar>
      </w:tblPr>
      <w:tblGrid>
        <w:gridCol w:w="2468"/>
        <w:gridCol w:w="2167"/>
        <w:gridCol w:w="2168"/>
        <w:gridCol w:w="2167"/>
      </w:tblGrid>
      <w:tr>
        <w:tblPrEx>
          <w:tblCellMar>
            <w:top w:w="0" w:type="dxa"/>
            <w:left w:w="108" w:type="dxa"/>
            <w:bottom w:w="0" w:type="dxa"/>
            <w:right w:w="108" w:type="dxa"/>
          </w:tblCellMar>
        </w:tblPrEx>
        <w:trPr>
          <w:wBefore w:w="0" w:type="auto"/>
        </w:trPr>
        <w:tc>
          <w:tcPr>
            <w:tcW w:w="2468"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获得销售服务费的</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各关联方名称</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30</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2468"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创金合信鑫动力混合</w:t>
            </w:r>
            <w:r>
              <w:rPr>
                <w:rFonts w:ascii="Times New Roman" w:hAnsi="Times New Roman"/>
                <w:color w:val="000000"/>
                <w:kern w:val="0"/>
                <w:sz w:val="24"/>
                <w:szCs w:val="24"/>
              </w:rPr>
              <w:t>A</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创金合信鑫动力混合</w:t>
            </w:r>
            <w:r>
              <w:rPr>
                <w:rFonts w:ascii="Times New Roman" w:hAnsi="Times New Roman"/>
                <w:color w:val="000000"/>
                <w:kern w:val="0"/>
                <w:sz w:val="24"/>
                <w:szCs w:val="24"/>
              </w:rPr>
              <w:t>C</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r>
      <w:tr>
        <w:tblPrEx>
          <w:tblCellMar>
            <w:top w:w="0" w:type="dxa"/>
            <w:left w:w="108" w:type="dxa"/>
            <w:bottom w:w="0" w:type="dxa"/>
            <w:right w:w="108" w:type="dxa"/>
          </w:tblCellMar>
        </w:tblPrEx>
        <w:trPr>
          <w:wBefore w:w="0" w:type="auto"/>
        </w:trPr>
        <w:tc>
          <w:tcPr>
            <w:tcW w:w="24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创金合信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1.23</w:t>
            </w:r>
          </w:p>
        </w:tc>
      </w:tr>
      <w:tr>
        <w:tblPrEx>
          <w:tblCellMar>
            <w:top w:w="0" w:type="dxa"/>
            <w:left w:w="108" w:type="dxa"/>
            <w:bottom w:w="0" w:type="dxa"/>
            <w:right w:w="108" w:type="dxa"/>
          </w:tblCellMar>
        </w:tblPrEx>
        <w:trPr>
          <w:wBefore w:w="0" w:type="auto"/>
        </w:trPr>
        <w:tc>
          <w:tcPr>
            <w:tcW w:w="24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1.23</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注：支付基金销售机构的销售服务费按前一日</w:t>
      </w:r>
      <w:r>
        <w:rPr>
          <w:rFonts w:ascii="Times New Roman" w:hAnsi="Times New Roman"/>
          <w:color w:val="000000"/>
          <w:kern w:val="0"/>
          <w:szCs w:val="24"/>
        </w:rPr>
        <w:t>C</w:t>
      </w:r>
      <w:r>
        <w:rPr>
          <w:rFonts w:hint="eastAsia" w:ascii="Times New Roman" w:hAnsi="Times New Roman"/>
          <w:color w:val="000000"/>
          <w:kern w:val="0"/>
          <w:szCs w:val="24"/>
        </w:rPr>
        <w:t>类基金的基金资产净值</w:t>
      </w:r>
      <w:r>
        <w:rPr>
          <w:rFonts w:ascii="Times New Roman" w:hAnsi="Times New Roman"/>
          <w:color w:val="000000"/>
          <w:kern w:val="0"/>
          <w:szCs w:val="24"/>
        </w:rPr>
        <w:t>0.2%</w:t>
      </w:r>
      <w:r>
        <w:rPr>
          <w:rFonts w:hint="eastAsia" w:ascii="Times New Roman" w:hAnsi="Times New Roman"/>
          <w:color w:val="000000"/>
          <w:kern w:val="0"/>
          <w:szCs w:val="24"/>
        </w:rPr>
        <w:t>的年费率计提，逐日累计至每月月底，按月支付给创金合信基金管理有限公司，再由创金合信基金管理有限公司计算并支付给各基金销售机构。其计算公式为：日销售服务费＝</w:t>
      </w:r>
      <w:r>
        <w:rPr>
          <w:rFonts w:ascii="Times New Roman" w:hAnsi="Times New Roman"/>
          <w:color w:val="000000"/>
          <w:kern w:val="0"/>
          <w:szCs w:val="24"/>
        </w:rPr>
        <w:t>C</w:t>
      </w:r>
      <w:r>
        <w:rPr>
          <w:rFonts w:hint="eastAsia" w:ascii="Times New Roman" w:hAnsi="Times New Roman"/>
          <w:color w:val="000000"/>
          <w:kern w:val="0"/>
          <w:szCs w:val="24"/>
        </w:rPr>
        <w:t>类基金前一日基金资产净值×</w:t>
      </w:r>
      <w:r>
        <w:rPr>
          <w:rFonts w:ascii="Times New Roman" w:hAnsi="Times New Roman"/>
          <w:color w:val="000000"/>
          <w:kern w:val="0"/>
          <w:szCs w:val="24"/>
        </w:rPr>
        <w:t xml:space="preserve"> 0.2%/ </w:t>
      </w:r>
      <w:r>
        <w:rPr>
          <w:rFonts w:hint="eastAsia" w:ascii="Times New Roman" w:hAnsi="Times New Roman"/>
          <w:color w:val="000000"/>
          <w:kern w:val="0"/>
          <w:szCs w:val="24"/>
        </w:rPr>
        <w:t>当年天数。</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7.4.10.3 </w:t>
      </w:r>
      <w:r>
        <w:rPr>
          <w:rFonts w:hint="eastAsia" w:ascii="Times New Roman" w:hAnsi="Times New Roman"/>
          <w:b/>
          <w:color w:val="000000"/>
          <w:kern w:val="0"/>
          <w:sz w:val="24"/>
          <w:szCs w:val="24"/>
        </w:rPr>
        <w:t>与关联方进行银行间同业市场的债券</w:t>
      </w:r>
      <w:r>
        <w:rPr>
          <w:rFonts w:ascii="Times New Roman" w:hAnsi="Times New Roman"/>
          <w:b/>
          <w:color w:val="000000"/>
          <w:kern w:val="0"/>
          <w:sz w:val="24"/>
          <w:szCs w:val="24"/>
        </w:rPr>
        <w:t>(</w:t>
      </w:r>
      <w:r>
        <w:rPr>
          <w:rFonts w:hint="eastAsia" w:ascii="Times New Roman" w:hAnsi="Times New Roman"/>
          <w:b/>
          <w:color w:val="000000"/>
          <w:kern w:val="0"/>
          <w:sz w:val="24"/>
          <w:szCs w:val="24"/>
        </w:rPr>
        <w:t>含回购</w:t>
      </w:r>
      <w:r>
        <w:rPr>
          <w:rFonts w:ascii="Times New Roman" w:hAnsi="Times New Roman"/>
          <w:b/>
          <w:color w:val="000000"/>
          <w:kern w:val="0"/>
          <w:sz w:val="24"/>
          <w:szCs w:val="24"/>
        </w:rPr>
        <w:t>)</w:t>
      </w:r>
      <w:r>
        <w:rPr>
          <w:rFonts w:hint="eastAsia" w:ascii="Times New Roman" w:hAnsi="Times New Roman"/>
          <w:b/>
          <w:color w:val="000000"/>
          <w:kern w:val="0"/>
          <w:sz w:val="24"/>
          <w:szCs w:val="24"/>
        </w:rPr>
        <w:t>交易</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本基金本报告期内与关联方无银行间同业市场的债券（含回购）交易。</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7.4.10.4 </w:t>
      </w:r>
      <w:r>
        <w:rPr>
          <w:rFonts w:hint="eastAsia" w:ascii="Times New Roman" w:hAnsi="Times New Roman"/>
          <w:b/>
          <w:color w:val="000000"/>
          <w:kern w:val="0"/>
          <w:sz w:val="24"/>
          <w:szCs w:val="24"/>
        </w:rPr>
        <w:t>各关联方投资本基金的情况</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7.4.10.4.1 </w:t>
      </w:r>
      <w:r>
        <w:rPr>
          <w:rFonts w:hint="eastAsia" w:ascii="Times New Roman" w:hAnsi="Times New Roman"/>
          <w:b/>
          <w:color w:val="000000"/>
          <w:kern w:val="0"/>
          <w:sz w:val="24"/>
          <w:szCs w:val="24"/>
        </w:rPr>
        <w:t>报告期内基金管理人运用固有资金投资本基金的情况</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本报告期内无基金管理人运用固有资金投资本基金的情况。</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7.4.10.4.2 </w:t>
      </w:r>
      <w:r>
        <w:rPr>
          <w:rFonts w:hint="eastAsia" w:ascii="Times New Roman" w:hAnsi="Times New Roman"/>
          <w:b/>
          <w:color w:val="000000"/>
          <w:kern w:val="0"/>
          <w:sz w:val="24"/>
          <w:szCs w:val="24"/>
        </w:rPr>
        <w:t>报告期末除基金管理人之外的其他关联方投资本基金的情况</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本报告期末无除管理人之外的其他关联方投资本基金的情况。</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7.4.10.5 </w:t>
      </w:r>
      <w:r>
        <w:rPr>
          <w:rFonts w:hint="eastAsia" w:ascii="Times New Roman" w:hAnsi="Times New Roman"/>
          <w:b/>
          <w:color w:val="000000"/>
          <w:kern w:val="0"/>
          <w:sz w:val="24"/>
          <w:szCs w:val="24"/>
        </w:rPr>
        <w:t>由关联方保管的银行存款余额及当期产生的利息收入</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10"/>
        <w:tblW w:w="0" w:type="auto"/>
        <w:tblInd w:w="108" w:type="dxa"/>
        <w:tblLayout w:type="fixed"/>
        <w:tblCellMar>
          <w:top w:w="0" w:type="dxa"/>
          <w:left w:w="108" w:type="dxa"/>
          <w:bottom w:w="0" w:type="dxa"/>
          <w:right w:w="108" w:type="dxa"/>
        </w:tblCellMar>
      </w:tblPr>
      <w:tblGrid>
        <w:gridCol w:w="1746"/>
        <w:gridCol w:w="1806"/>
        <w:gridCol w:w="5473"/>
      </w:tblGrid>
      <w:tr>
        <w:tblPrEx>
          <w:tblCellMar>
            <w:top w:w="0" w:type="dxa"/>
            <w:left w:w="108" w:type="dxa"/>
            <w:bottom w:w="0" w:type="dxa"/>
            <w:right w:w="108" w:type="dxa"/>
          </w:tblCellMar>
        </w:tblPrEx>
        <w:trPr>
          <w:wBefore w:w="0" w:type="auto"/>
        </w:trPr>
        <w:tc>
          <w:tcPr>
            <w:tcW w:w="1746"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关联方名称</w:t>
            </w:r>
          </w:p>
        </w:tc>
        <w:tc>
          <w:tcPr>
            <w:tcW w:w="72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30</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1746"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期末余额</w:t>
            </w:r>
          </w:p>
        </w:tc>
        <w:tc>
          <w:tcPr>
            <w:tcW w:w="54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当期利息收入</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中国邮政储蓄银行活期存款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21,104,169.43</w:t>
            </w:r>
          </w:p>
        </w:tc>
        <w:tc>
          <w:tcPr>
            <w:tcW w:w="54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178,075.95</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注：本基金的银行存款由基金托管人中国邮政储蓄银行保管，按金融机构同业存款利率计息。</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7.4.10.6 </w:t>
      </w:r>
      <w:r>
        <w:rPr>
          <w:rFonts w:hint="eastAsia" w:ascii="Times New Roman" w:hAnsi="Times New Roman"/>
          <w:b/>
          <w:color w:val="000000"/>
          <w:kern w:val="0"/>
          <w:sz w:val="24"/>
          <w:szCs w:val="24"/>
        </w:rPr>
        <w:t>本基金在承销期内参与关联方承销证券的情况</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本报告期，本基金未发生承销期内参与关联方承销证券的情况。</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7.4.10.7 </w:t>
      </w:r>
      <w:r>
        <w:rPr>
          <w:rFonts w:hint="eastAsia" w:ascii="Times New Roman" w:hAnsi="Times New Roman"/>
          <w:b/>
          <w:color w:val="000000"/>
          <w:kern w:val="0"/>
          <w:sz w:val="24"/>
          <w:szCs w:val="24"/>
        </w:rPr>
        <w:t>其他关联交易事项的说明</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无。</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7.4.11 </w:t>
      </w:r>
      <w:r>
        <w:rPr>
          <w:rFonts w:hint="eastAsia" w:ascii="Times New Roman" w:hAnsi="Times New Roman"/>
          <w:b/>
          <w:color w:val="000000"/>
          <w:kern w:val="0"/>
          <w:sz w:val="24"/>
          <w:szCs w:val="24"/>
        </w:rPr>
        <w:t>利润分配情况</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本基金于本期未进行利润分配。</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7.4.12 </w:t>
      </w:r>
      <w:r>
        <w:rPr>
          <w:rFonts w:hint="eastAsia" w:ascii="Times New Roman" w:hAnsi="Times New Roman"/>
          <w:b/>
          <w:color w:val="000000"/>
          <w:kern w:val="0"/>
          <w:sz w:val="24"/>
          <w:szCs w:val="24"/>
        </w:rPr>
        <w:t>期末（</w:t>
      </w:r>
      <w:r>
        <w:rPr>
          <w:rFonts w:ascii="Times New Roman" w:hAnsi="Times New Roman"/>
          <w:b/>
          <w:color w:val="000000"/>
          <w:kern w:val="0"/>
          <w:sz w:val="24"/>
          <w:szCs w:val="24"/>
        </w:rPr>
        <w:t>2016</w:t>
      </w:r>
      <w:r>
        <w:rPr>
          <w:rFonts w:hint="eastAsia" w:ascii="Times New Roman" w:hAnsi="Times New Roman"/>
          <w:b/>
          <w:color w:val="000000"/>
          <w:kern w:val="0"/>
          <w:sz w:val="24"/>
          <w:szCs w:val="24"/>
        </w:rPr>
        <w:t>年</w:t>
      </w:r>
      <w:r>
        <w:rPr>
          <w:rFonts w:ascii="Times New Roman" w:hAnsi="Times New Roman"/>
          <w:b/>
          <w:color w:val="000000"/>
          <w:kern w:val="0"/>
          <w:sz w:val="24"/>
          <w:szCs w:val="24"/>
        </w:rPr>
        <w:t>12</w:t>
      </w:r>
      <w:r>
        <w:rPr>
          <w:rFonts w:hint="eastAsia" w:ascii="Times New Roman" w:hAnsi="Times New Roman"/>
          <w:b/>
          <w:color w:val="000000"/>
          <w:kern w:val="0"/>
          <w:sz w:val="24"/>
          <w:szCs w:val="24"/>
        </w:rPr>
        <w:t>月</w:t>
      </w:r>
      <w:r>
        <w:rPr>
          <w:rFonts w:ascii="Times New Roman" w:hAnsi="Times New Roman"/>
          <w:b/>
          <w:color w:val="000000"/>
          <w:kern w:val="0"/>
          <w:sz w:val="24"/>
          <w:szCs w:val="24"/>
        </w:rPr>
        <w:t>31</w:t>
      </w:r>
      <w:r>
        <w:rPr>
          <w:rFonts w:hint="eastAsia" w:ascii="Times New Roman" w:hAnsi="Times New Roman"/>
          <w:b/>
          <w:color w:val="000000"/>
          <w:kern w:val="0"/>
          <w:sz w:val="24"/>
          <w:szCs w:val="24"/>
        </w:rPr>
        <w:t>日）本基金持有的流通受限证券</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7.4.12.1 </w:t>
      </w:r>
      <w:r>
        <w:rPr>
          <w:rFonts w:hint="eastAsia" w:ascii="Times New Roman" w:hAnsi="Times New Roman"/>
          <w:b/>
          <w:color w:val="000000"/>
          <w:kern w:val="0"/>
          <w:sz w:val="24"/>
          <w:szCs w:val="24"/>
        </w:rPr>
        <w:t>因认购新发</w:t>
      </w:r>
      <w:r>
        <w:rPr>
          <w:rFonts w:ascii="Times New Roman" w:hAnsi="Times New Roman"/>
          <w:b/>
          <w:color w:val="000000"/>
          <w:kern w:val="0"/>
          <w:sz w:val="24"/>
          <w:szCs w:val="24"/>
        </w:rPr>
        <w:t>/</w:t>
      </w:r>
      <w:r>
        <w:rPr>
          <w:rFonts w:hint="eastAsia" w:ascii="Times New Roman" w:hAnsi="Times New Roman"/>
          <w:b/>
          <w:color w:val="000000"/>
          <w:kern w:val="0"/>
          <w:sz w:val="24"/>
          <w:szCs w:val="24"/>
        </w:rPr>
        <w:t>增发证券而于期末持有的流通受限证券</w:t>
      </w:r>
    </w:p>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金额单位：人民币元</w:t>
      </w:r>
    </w:p>
    <w:tbl>
      <w:tblPr>
        <w:tblStyle w:val="10"/>
        <w:tblW w:w="0" w:type="auto"/>
        <w:tblInd w:w="108" w:type="dxa"/>
        <w:tblLayout w:type="fixed"/>
        <w:tblCellMar>
          <w:top w:w="0" w:type="dxa"/>
          <w:left w:w="108" w:type="dxa"/>
          <w:bottom w:w="0" w:type="dxa"/>
          <w:right w:w="108" w:type="dxa"/>
        </w:tblCellMar>
      </w:tblPr>
      <w:tblGrid>
        <w:gridCol w:w="662"/>
        <w:gridCol w:w="723"/>
        <w:gridCol w:w="1083"/>
        <w:gridCol w:w="723"/>
        <w:gridCol w:w="1083"/>
        <w:gridCol w:w="723"/>
        <w:gridCol w:w="1083"/>
        <w:gridCol w:w="723"/>
        <w:gridCol w:w="1083"/>
        <w:gridCol w:w="1084"/>
      </w:tblGrid>
      <w:tr>
        <w:tblPrEx>
          <w:tblCellMar>
            <w:top w:w="0" w:type="dxa"/>
            <w:left w:w="108" w:type="dxa"/>
            <w:bottom w:w="0" w:type="dxa"/>
            <w:right w:w="108" w:type="dxa"/>
          </w:tblCellMar>
        </w:tblPrEx>
        <w:trPr>
          <w:wBefore w:w="0" w:type="auto"/>
        </w:trPr>
        <w:tc>
          <w:tcPr>
            <w:tcW w:w="8970" w:type="dxa"/>
            <w:gridSpan w:val="10"/>
            <w:tcBorders>
              <w:top w:val="single" w:color="000000" w:sz="8" w:space="0"/>
              <w:left w:val="single" w:color="000000" w:sz="8" w:space="0"/>
              <w:bottom w:val="single" w:color="000000" w:sz="8" w:space="0"/>
              <w:right w:val="single" w:color="000000" w:sz="8" w:space="0"/>
            </w:tcBorders>
            <w:noWrap w:val="0"/>
            <w:vAlign w:val="bottom"/>
          </w:tcPr>
          <w:p>
            <w:pPr>
              <w:autoSpaceDE w:val="0"/>
              <w:autoSpaceDN w:val="0"/>
              <w:adjustRightInd w:val="0"/>
              <w:spacing w:before="29" w:line="288" w:lineRule="auto"/>
              <w:ind w:left="15"/>
              <w:jc w:val="left"/>
              <w:rPr>
                <w:rFonts w:ascii="Times New Roman" w:hAnsi="Times New Roman"/>
                <w:color w:val="000000"/>
                <w:kern w:val="0"/>
                <w:szCs w:val="24"/>
              </w:rPr>
            </w:pPr>
            <w:r>
              <w:rPr>
                <w:rFonts w:ascii="Times New Roman" w:hAnsi="Times New Roman"/>
                <w:color w:val="000000"/>
                <w:kern w:val="0"/>
                <w:szCs w:val="24"/>
              </w:rPr>
              <w:t xml:space="preserve">7.4.12.1.1 </w:t>
            </w:r>
            <w:r>
              <w:rPr>
                <w:rFonts w:hint="eastAsia" w:ascii="Times New Roman" w:hAnsi="Times New Roman"/>
                <w:color w:val="000000"/>
                <w:kern w:val="0"/>
                <w:szCs w:val="24"/>
              </w:rPr>
              <w:t>受限证券类别：股票</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证券</w:t>
            </w:r>
          </w:p>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代码</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证券</w:t>
            </w:r>
          </w:p>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名称</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成功</w:t>
            </w:r>
          </w:p>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认购日</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可流通日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流通受限类型</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认购</w:t>
            </w:r>
          </w:p>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价格</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期末估值单价</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数量</w:t>
            </w:r>
          </w:p>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（单位：股）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期末</w:t>
            </w:r>
          </w:p>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成本总额</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期末</w:t>
            </w:r>
          </w:p>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估值总额</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601375</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中原证券</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2016-12-20</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2017-01-03</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新股流通受限</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4.00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4.00</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26,695</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106,780.00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106,780.00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300591</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万里马</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2016-12-30</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2017-01-10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新股流通受限</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3.07</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3.07</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2,396</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7,355.72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7,355.72</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7.4.12.2 </w:t>
      </w:r>
      <w:r>
        <w:rPr>
          <w:rFonts w:hint="eastAsia" w:ascii="Times New Roman" w:hAnsi="Times New Roman"/>
          <w:b/>
          <w:color w:val="000000"/>
          <w:kern w:val="0"/>
          <w:sz w:val="24"/>
          <w:szCs w:val="24"/>
        </w:rPr>
        <w:t>期末持有的暂时停牌等流通受限股票</w:t>
      </w:r>
    </w:p>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金额单位：人民币元</w:t>
      </w:r>
    </w:p>
    <w:tbl>
      <w:tblPr>
        <w:tblStyle w:val="10"/>
        <w:tblW w:w="0" w:type="auto"/>
        <w:tblInd w:w="108" w:type="dxa"/>
        <w:tblLayout w:type="fixed"/>
        <w:tblCellMar>
          <w:top w:w="0" w:type="dxa"/>
          <w:left w:w="108" w:type="dxa"/>
          <w:bottom w:w="0" w:type="dxa"/>
          <w:right w:w="108" w:type="dxa"/>
        </w:tblCellMar>
      </w:tblPr>
      <w:tblGrid>
        <w:gridCol w:w="662"/>
        <w:gridCol w:w="723"/>
        <w:gridCol w:w="722"/>
        <w:gridCol w:w="1084"/>
        <w:gridCol w:w="1083"/>
        <w:gridCol w:w="723"/>
        <w:gridCol w:w="1083"/>
        <w:gridCol w:w="723"/>
        <w:gridCol w:w="1083"/>
        <w:gridCol w:w="1084"/>
      </w:tblGrid>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股票代码</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股票名称</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停牌日期</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停牌原因</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期末</w:t>
            </w:r>
          </w:p>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估值单价</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复牌日期</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复牌</w:t>
            </w:r>
          </w:p>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开盘单价</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数量</w:t>
            </w:r>
          </w:p>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期末</w:t>
            </w:r>
          </w:p>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成本总额</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期末</w:t>
            </w:r>
          </w:p>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估值总额</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000166</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申万宏源</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2016-12-21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重大事项停牌</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6.25</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2017-01-26</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6.29</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150,000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972,000.00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937,500.00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000750</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国海证券</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2016-12-15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重大事项停牌</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6.97</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2017-01-20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6.27</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130,000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1,014,000.00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906,100.00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600485</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信威集团</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2016-12-26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重大事项停牌</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14.60</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4"/>
                <w:szCs w:val="24"/>
              </w:rPr>
            </w:pP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4"/>
                <w:szCs w:val="24"/>
              </w:rPr>
            </w:pP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57,000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991,800.00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832,200.00</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7.4.12.3 </w:t>
      </w:r>
      <w:r>
        <w:rPr>
          <w:rFonts w:hint="eastAsia" w:ascii="Times New Roman" w:hAnsi="Times New Roman"/>
          <w:b/>
          <w:color w:val="000000"/>
          <w:kern w:val="0"/>
          <w:sz w:val="24"/>
          <w:szCs w:val="24"/>
        </w:rPr>
        <w:t>期末债券正回购交易中作为抵押的债券</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7.4.12.3.1 </w:t>
      </w:r>
      <w:r>
        <w:rPr>
          <w:rFonts w:hint="eastAsia" w:ascii="Times New Roman" w:hAnsi="Times New Roman"/>
          <w:b/>
          <w:color w:val="000000"/>
          <w:kern w:val="0"/>
          <w:sz w:val="24"/>
          <w:szCs w:val="24"/>
        </w:rPr>
        <w:t>银行间市场债券正回购</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截至本报告期末</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日止，本基金从事银行间市场债券正回购交易形成的卖出回购证券款余额</w:t>
      </w:r>
      <w:r>
        <w:rPr>
          <w:rFonts w:ascii="Times New Roman" w:hAnsi="Times New Roman"/>
          <w:color w:val="000000"/>
          <w:kern w:val="0"/>
          <w:sz w:val="24"/>
          <w:szCs w:val="24"/>
        </w:rPr>
        <w:t>259,749,210.37</w:t>
      </w:r>
      <w:r>
        <w:rPr>
          <w:rFonts w:hint="eastAsia" w:ascii="Times New Roman" w:hAnsi="Times New Roman"/>
          <w:color w:val="000000"/>
          <w:kern w:val="0"/>
          <w:sz w:val="24"/>
          <w:szCs w:val="24"/>
        </w:rPr>
        <w:t>元，是以如下债券作为抵押：</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10"/>
        <w:tblW w:w="0" w:type="auto"/>
        <w:tblInd w:w="108" w:type="dxa"/>
        <w:tblLayout w:type="fixed"/>
        <w:tblCellMar>
          <w:top w:w="0" w:type="dxa"/>
          <w:left w:w="108" w:type="dxa"/>
          <w:bottom w:w="0" w:type="dxa"/>
          <w:right w:w="108" w:type="dxa"/>
        </w:tblCellMar>
      </w:tblPr>
      <w:tblGrid>
        <w:gridCol w:w="1385"/>
        <w:gridCol w:w="1083"/>
        <w:gridCol w:w="1445"/>
        <w:gridCol w:w="1806"/>
        <w:gridCol w:w="1445"/>
        <w:gridCol w:w="1806"/>
      </w:tblGrid>
      <w:tr>
        <w:tblPrEx>
          <w:tblCellMar>
            <w:top w:w="0" w:type="dxa"/>
            <w:left w:w="108" w:type="dxa"/>
            <w:bottom w:w="0" w:type="dxa"/>
            <w:right w:w="108" w:type="dxa"/>
          </w:tblCellMar>
        </w:tblPrEx>
        <w:trPr>
          <w:wBefore w:w="0" w:type="auto"/>
        </w:trPr>
        <w:tc>
          <w:tcPr>
            <w:tcW w:w="138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债券代码</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债券名称</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回购到期日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期末估值单价</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数量（张）</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期末估值总额</w:t>
            </w:r>
          </w:p>
        </w:tc>
      </w:tr>
      <w:tr>
        <w:tblPrEx>
          <w:tblCellMar>
            <w:top w:w="0" w:type="dxa"/>
            <w:left w:w="108" w:type="dxa"/>
            <w:bottom w:w="0" w:type="dxa"/>
            <w:right w:w="108" w:type="dxa"/>
          </w:tblCellMar>
        </w:tblPrEx>
        <w:trPr>
          <w:wBefore w:w="0" w:type="auto"/>
        </w:trPr>
        <w:tc>
          <w:tcPr>
            <w:tcW w:w="138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1382056</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w:t>
            </w:r>
            <w:r>
              <w:rPr>
                <w:rFonts w:hint="eastAsia" w:ascii="Times New Roman" w:hAnsi="Times New Roman"/>
                <w:color w:val="000000"/>
                <w:kern w:val="0"/>
                <w:sz w:val="24"/>
                <w:szCs w:val="24"/>
              </w:rPr>
              <w:t>北车集</w:t>
            </w:r>
            <w:r>
              <w:rPr>
                <w:rFonts w:ascii="Times New Roman" w:hAnsi="Times New Roman"/>
                <w:color w:val="000000"/>
                <w:kern w:val="0"/>
                <w:sz w:val="24"/>
                <w:szCs w:val="24"/>
              </w:rPr>
              <w:t>MTN1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2017-01-05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101.95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50,975,000.00</w:t>
            </w:r>
          </w:p>
        </w:tc>
      </w:tr>
      <w:tr>
        <w:tblPrEx>
          <w:tblCellMar>
            <w:top w:w="0" w:type="dxa"/>
            <w:left w:w="108" w:type="dxa"/>
            <w:bottom w:w="0" w:type="dxa"/>
            <w:right w:w="108" w:type="dxa"/>
          </w:tblCellMar>
        </w:tblPrEx>
        <w:trPr>
          <w:wBefore w:w="0" w:type="auto"/>
        </w:trPr>
        <w:tc>
          <w:tcPr>
            <w:tcW w:w="138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1382314</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w:t>
            </w:r>
            <w:r>
              <w:rPr>
                <w:rFonts w:hint="eastAsia" w:ascii="Times New Roman" w:hAnsi="Times New Roman"/>
                <w:color w:val="000000"/>
                <w:kern w:val="0"/>
                <w:sz w:val="24"/>
                <w:szCs w:val="24"/>
              </w:rPr>
              <w:t>津港股</w:t>
            </w:r>
            <w:r>
              <w:rPr>
                <w:rFonts w:ascii="Times New Roman" w:hAnsi="Times New Roman"/>
                <w:color w:val="000000"/>
                <w:kern w:val="0"/>
                <w:sz w:val="24"/>
                <w:szCs w:val="24"/>
              </w:rPr>
              <w:t>MTN3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2017-01-05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101.59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50,795,000.00</w:t>
            </w:r>
          </w:p>
        </w:tc>
      </w:tr>
      <w:tr>
        <w:tblPrEx>
          <w:tblCellMar>
            <w:top w:w="0" w:type="dxa"/>
            <w:left w:w="108" w:type="dxa"/>
            <w:bottom w:w="0" w:type="dxa"/>
            <w:right w:w="108" w:type="dxa"/>
          </w:tblCellMar>
        </w:tblPrEx>
        <w:trPr>
          <w:wBefore w:w="0" w:type="auto"/>
        </w:trPr>
        <w:tc>
          <w:tcPr>
            <w:tcW w:w="138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111610491</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w:t>
            </w:r>
            <w:r>
              <w:rPr>
                <w:rFonts w:hint="eastAsia" w:ascii="Times New Roman" w:hAnsi="Times New Roman"/>
                <w:color w:val="000000"/>
                <w:kern w:val="0"/>
                <w:sz w:val="24"/>
                <w:szCs w:val="24"/>
              </w:rPr>
              <w:t>兴业</w:t>
            </w:r>
            <w:r>
              <w:rPr>
                <w:rFonts w:ascii="Times New Roman" w:hAnsi="Times New Roman"/>
                <w:color w:val="000000"/>
                <w:kern w:val="0"/>
                <w:sz w:val="24"/>
                <w:szCs w:val="24"/>
              </w:rPr>
              <w:t>CD491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2017-01-05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96.38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48,190,000.00</w:t>
            </w:r>
          </w:p>
        </w:tc>
      </w:tr>
      <w:tr>
        <w:tblPrEx>
          <w:tblCellMar>
            <w:top w:w="0" w:type="dxa"/>
            <w:left w:w="108" w:type="dxa"/>
            <w:bottom w:w="0" w:type="dxa"/>
            <w:right w:w="108" w:type="dxa"/>
          </w:tblCellMar>
        </w:tblPrEx>
        <w:trPr>
          <w:wBefore w:w="0" w:type="auto"/>
        </w:trPr>
        <w:tc>
          <w:tcPr>
            <w:tcW w:w="138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101453030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w:t>
            </w:r>
            <w:r>
              <w:rPr>
                <w:rFonts w:hint="eastAsia" w:ascii="Times New Roman" w:hAnsi="Times New Roman"/>
                <w:color w:val="000000"/>
                <w:kern w:val="0"/>
                <w:sz w:val="24"/>
                <w:szCs w:val="24"/>
              </w:rPr>
              <w:t>深航空</w:t>
            </w:r>
            <w:r>
              <w:rPr>
                <w:rFonts w:ascii="Times New Roman" w:hAnsi="Times New Roman"/>
                <w:color w:val="000000"/>
                <w:kern w:val="0"/>
                <w:sz w:val="24"/>
                <w:szCs w:val="24"/>
              </w:rPr>
              <w:t>MTN001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2017-01-05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100.49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30,147,000.00</w:t>
            </w:r>
          </w:p>
        </w:tc>
      </w:tr>
      <w:tr>
        <w:tblPrEx>
          <w:tblCellMar>
            <w:top w:w="0" w:type="dxa"/>
            <w:left w:w="108" w:type="dxa"/>
            <w:bottom w:w="0" w:type="dxa"/>
            <w:right w:w="108" w:type="dxa"/>
          </w:tblCellMar>
        </w:tblPrEx>
        <w:trPr>
          <w:wBefore w:w="0" w:type="auto"/>
        </w:trPr>
        <w:tc>
          <w:tcPr>
            <w:tcW w:w="138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101556011</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w:t>
            </w:r>
            <w:r>
              <w:rPr>
                <w:rFonts w:hint="eastAsia" w:ascii="Times New Roman" w:hAnsi="Times New Roman"/>
                <w:color w:val="000000"/>
                <w:kern w:val="0"/>
                <w:sz w:val="24"/>
                <w:szCs w:val="24"/>
              </w:rPr>
              <w:t>甬开投</w:t>
            </w:r>
            <w:r>
              <w:rPr>
                <w:rFonts w:ascii="Times New Roman" w:hAnsi="Times New Roman"/>
                <w:color w:val="000000"/>
                <w:kern w:val="0"/>
                <w:sz w:val="24"/>
                <w:szCs w:val="24"/>
              </w:rPr>
              <w:t>MTN001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2017-01-05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104.14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31,242,000.00</w:t>
            </w:r>
          </w:p>
        </w:tc>
      </w:tr>
      <w:tr>
        <w:tblPrEx>
          <w:tblCellMar>
            <w:top w:w="0" w:type="dxa"/>
            <w:left w:w="108" w:type="dxa"/>
            <w:bottom w:w="0" w:type="dxa"/>
            <w:right w:w="108" w:type="dxa"/>
          </w:tblCellMar>
        </w:tblPrEx>
        <w:trPr>
          <w:wBefore w:w="0" w:type="auto"/>
        </w:trPr>
        <w:tc>
          <w:tcPr>
            <w:tcW w:w="138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101558018</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w:t>
            </w:r>
            <w:r>
              <w:rPr>
                <w:rFonts w:hint="eastAsia" w:ascii="Times New Roman" w:hAnsi="Times New Roman"/>
                <w:color w:val="000000"/>
                <w:kern w:val="0"/>
                <w:sz w:val="24"/>
                <w:szCs w:val="24"/>
              </w:rPr>
              <w:t>陕延油</w:t>
            </w:r>
            <w:r>
              <w:rPr>
                <w:rFonts w:ascii="Times New Roman" w:hAnsi="Times New Roman"/>
                <w:color w:val="000000"/>
                <w:kern w:val="0"/>
                <w:sz w:val="24"/>
                <w:szCs w:val="24"/>
              </w:rPr>
              <w:t>MTN002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2017-01-05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99.87</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29,961,000.00</w:t>
            </w:r>
          </w:p>
        </w:tc>
      </w:tr>
      <w:tr>
        <w:tblPrEx>
          <w:tblCellMar>
            <w:top w:w="0" w:type="dxa"/>
            <w:left w:w="108" w:type="dxa"/>
            <w:bottom w:w="0" w:type="dxa"/>
            <w:right w:w="108" w:type="dxa"/>
          </w:tblCellMar>
        </w:tblPrEx>
        <w:trPr>
          <w:wBefore w:w="0" w:type="auto"/>
        </w:trPr>
        <w:tc>
          <w:tcPr>
            <w:tcW w:w="138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101561015</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w:t>
            </w:r>
            <w:r>
              <w:rPr>
                <w:rFonts w:hint="eastAsia" w:ascii="Times New Roman" w:hAnsi="Times New Roman"/>
                <w:color w:val="000000"/>
                <w:kern w:val="0"/>
                <w:sz w:val="24"/>
                <w:szCs w:val="24"/>
              </w:rPr>
              <w:t>京技投</w:t>
            </w:r>
            <w:r>
              <w:rPr>
                <w:rFonts w:ascii="Times New Roman" w:hAnsi="Times New Roman"/>
                <w:color w:val="000000"/>
                <w:kern w:val="0"/>
                <w:sz w:val="24"/>
                <w:szCs w:val="24"/>
              </w:rPr>
              <w:t>MTN001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2017-01-05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100.34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20,068,000.00</w:t>
            </w:r>
          </w:p>
        </w:tc>
      </w:tr>
      <w:tr>
        <w:tblPrEx>
          <w:tblCellMar>
            <w:top w:w="0" w:type="dxa"/>
            <w:left w:w="108" w:type="dxa"/>
            <w:bottom w:w="0" w:type="dxa"/>
            <w:right w:w="108" w:type="dxa"/>
          </w:tblCellMar>
        </w:tblPrEx>
        <w:trPr>
          <w:wBefore w:w="0" w:type="auto"/>
        </w:trPr>
        <w:tc>
          <w:tcPr>
            <w:tcW w:w="138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101656028</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w:t>
            </w:r>
            <w:r>
              <w:rPr>
                <w:rFonts w:hint="eastAsia" w:ascii="Times New Roman" w:hAnsi="Times New Roman"/>
                <w:color w:val="000000"/>
                <w:kern w:val="0"/>
                <w:sz w:val="24"/>
                <w:szCs w:val="24"/>
              </w:rPr>
              <w:t>川高速</w:t>
            </w:r>
            <w:r>
              <w:rPr>
                <w:rFonts w:ascii="Times New Roman" w:hAnsi="Times New Roman"/>
                <w:color w:val="000000"/>
                <w:kern w:val="0"/>
                <w:sz w:val="24"/>
                <w:szCs w:val="24"/>
              </w:rPr>
              <w:t>MTN001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2017-01-05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95.84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2,875,200.00</w:t>
            </w:r>
          </w:p>
        </w:tc>
      </w:tr>
      <w:tr>
        <w:tblPrEx>
          <w:tblCellMar>
            <w:top w:w="0" w:type="dxa"/>
            <w:left w:w="108" w:type="dxa"/>
            <w:bottom w:w="0" w:type="dxa"/>
            <w:right w:w="108" w:type="dxa"/>
          </w:tblCellMar>
        </w:tblPrEx>
        <w:trPr>
          <w:wBefore w:w="0" w:type="auto"/>
        </w:trPr>
        <w:tc>
          <w:tcPr>
            <w:tcW w:w="138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2,630,000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264,253,200.00</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7.4.12.3.2 </w:t>
      </w:r>
      <w:r>
        <w:rPr>
          <w:rFonts w:hint="eastAsia" w:ascii="Times New Roman" w:hAnsi="Times New Roman"/>
          <w:b/>
          <w:color w:val="000000"/>
          <w:kern w:val="0"/>
          <w:sz w:val="24"/>
          <w:szCs w:val="24"/>
        </w:rPr>
        <w:t>交易所市场债券正回购</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截至本报告期末</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日止，本基金从事交易所债券正回购交易形成的卖出回购证券款余额为</w:t>
      </w:r>
      <w:r>
        <w:rPr>
          <w:rFonts w:ascii="Times New Roman" w:hAnsi="Times New Roman"/>
          <w:color w:val="000000"/>
          <w:kern w:val="0"/>
          <w:sz w:val="24"/>
          <w:szCs w:val="24"/>
        </w:rPr>
        <w:t>0</w:t>
      </w:r>
      <w:r>
        <w:rPr>
          <w:rFonts w:hint="eastAsia" w:ascii="Times New Roman" w:hAnsi="Times New Roman"/>
          <w:color w:val="000000"/>
          <w:kern w:val="0"/>
          <w:sz w:val="24"/>
          <w:szCs w:val="24"/>
        </w:rPr>
        <w:t>，无抵押债券。</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7.4.13 </w:t>
      </w:r>
      <w:r>
        <w:rPr>
          <w:rFonts w:hint="eastAsia" w:ascii="Times New Roman" w:hAnsi="Times New Roman"/>
          <w:b/>
          <w:color w:val="000000"/>
          <w:kern w:val="0"/>
          <w:sz w:val="24"/>
          <w:szCs w:val="24"/>
        </w:rPr>
        <w:t>金融工具风险及管理</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7.4.13.1 </w:t>
      </w:r>
      <w:r>
        <w:rPr>
          <w:rFonts w:hint="eastAsia" w:ascii="Times New Roman" w:hAnsi="Times New Roman"/>
          <w:b/>
          <w:color w:val="000000"/>
          <w:kern w:val="0"/>
          <w:sz w:val="24"/>
          <w:szCs w:val="24"/>
        </w:rPr>
        <w:t>风险管理政策和组织架构</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在日常经营活动中涉及的财务风险主要包括信用风险、流动性风险及市场风险。本基金管理人制定了政策和程序来识别及分析这些风险，并设定适当的风险限额及内部控制流程，通过可靠的管理及信息系统持续监控上述各类风险。</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本基金的基金管理人奉行全面风险管理体系的建设，建立了以风控与审计委员会为核心的、由督察长、风险控制办公会、监察稽核部和相关业务部门构成的四级风险管理架构体系。</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7.4.13.2 </w:t>
      </w:r>
      <w:r>
        <w:rPr>
          <w:rFonts w:hint="eastAsia" w:ascii="Times New Roman" w:hAnsi="Times New Roman"/>
          <w:b/>
          <w:color w:val="000000"/>
          <w:kern w:val="0"/>
          <w:sz w:val="24"/>
          <w:szCs w:val="24"/>
        </w:rPr>
        <w:t>信用风险</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信用风险是指基金在交易过程中因交易对手未履行合约责任，或者基金所投资证券之发行人出现违约、拒绝支付到期本息等情况，导致基金资产损失和收益变化的风险。</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的基金管理人在交易前对交易对手的资信状况进行了充分的评估。本基金的活期银行存款存放在本基金的托管行邮储银行，因而与银行存款相关的信用风险不重大。本基金在交易所进行的交易均以中国证券登记结算有限责任公司为交易对手完成证券交收和款项清算，违约风险可能性很小；在银行间同业市场进行交易前均对交易对手进行信用评估并对证券交割方式进行限制以控制相应的信用风险。</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本基金的基金管理人建立了信用风险管理流程，通过对投资品种信用等级评估来控制证券发行人的信用风险，且通过分散化投资以分散信用风险。</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本基金债券投资的信用评级情况按《中国人民银行信用评级管理指导意见》设定的标准统计及汇总。</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7.4.13.2.1 </w:t>
      </w:r>
      <w:r>
        <w:rPr>
          <w:rFonts w:hint="eastAsia" w:ascii="Times New Roman" w:hAnsi="Times New Roman"/>
          <w:b/>
          <w:color w:val="000000"/>
          <w:kern w:val="0"/>
          <w:sz w:val="24"/>
          <w:szCs w:val="24"/>
        </w:rPr>
        <w:t>按短期信用评级列示的债券投资</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10"/>
        <w:tblW w:w="0" w:type="auto"/>
        <w:tblInd w:w="108" w:type="dxa"/>
        <w:tblLayout w:type="fixed"/>
        <w:tblCellMar>
          <w:top w:w="0" w:type="dxa"/>
          <w:left w:w="108" w:type="dxa"/>
          <w:bottom w:w="0" w:type="dxa"/>
          <w:right w:w="108" w:type="dxa"/>
        </w:tblCellMar>
      </w:tblPr>
      <w:tblGrid>
        <w:gridCol w:w="3191"/>
        <w:gridCol w:w="5834"/>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短期信用评级</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本期末</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A-1</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A-1</w:t>
            </w:r>
            <w:r>
              <w:rPr>
                <w:rFonts w:hint="eastAsia" w:ascii="Times New Roman" w:hAnsi="Times New Roman"/>
                <w:color w:val="000000"/>
                <w:kern w:val="0"/>
                <w:sz w:val="24"/>
                <w:szCs w:val="24"/>
              </w:rPr>
              <w:t>以下</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未评级</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48,190,000.00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48,190,000.00</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7.4.13.2.2 </w:t>
      </w:r>
      <w:r>
        <w:rPr>
          <w:rFonts w:hint="eastAsia" w:ascii="Times New Roman" w:hAnsi="Times New Roman"/>
          <w:b/>
          <w:color w:val="000000"/>
          <w:kern w:val="0"/>
          <w:sz w:val="24"/>
          <w:szCs w:val="24"/>
        </w:rPr>
        <w:t>按长期信用评级列示的债券投资</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10"/>
        <w:tblW w:w="0" w:type="auto"/>
        <w:tblInd w:w="108" w:type="dxa"/>
        <w:tblLayout w:type="fixed"/>
        <w:tblCellMar>
          <w:top w:w="0" w:type="dxa"/>
          <w:left w:w="108" w:type="dxa"/>
          <w:bottom w:w="0" w:type="dxa"/>
          <w:right w:w="108" w:type="dxa"/>
        </w:tblCellMar>
      </w:tblPr>
      <w:tblGrid>
        <w:gridCol w:w="3191"/>
        <w:gridCol w:w="5834"/>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长期信用评级</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本期末</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AAA</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679,165,369.60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AAA</w:t>
            </w:r>
            <w:r>
              <w:rPr>
                <w:rFonts w:hint="eastAsia" w:ascii="Times New Roman" w:hAnsi="Times New Roman"/>
                <w:color w:val="000000"/>
                <w:kern w:val="0"/>
                <w:sz w:val="24"/>
                <w:szCs w:val="24"/>
              </w:rPr>
              <w:t>以下</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未评级</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234,356,000.00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913,521,369.60</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7.4.13.3 </w:t>
      </w:r>
      <w:r>
        <w:rPr>
          <w:rFonts w:hint="eastAsia" w:ascii="Times New Roman" w:hAnsi="Times New Roman"/>
          <w:b/>
          <w:color w:val="000000"/>
          <w:kern w:val="0"/>
          <w:sz w:val="24"/>
          <w:szCs w:val="24"/>
        </w:rPr>
        <w:t>流动性风险</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流动性风险是指基金在履行与金融负债有关的义务时遇到资金短缺的风险。本基金的流动性风险一方面来自于基金份额持有人可随时要求赎回其持有的基金份额，另一方面来自于投资品种所处的交易市场不活跃而带来的变现困难或因投资集中而无法在市场出现剧烈波动的情况下以合理的价格变现。</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针对兑付赎回资金的流动性风险，本基金的基金管理人每日对本基金的申购赎回情况进行严密监控并预测流动性需求，保持基金投资组合中的可用现金头寸与之相匹配。本基金的基金管理人在基金合同中设计了巨额赎回条款，约定在非常情况下赎回申请的处理方式，控制因开放申购赎回模式带来的流动性风险，有效保障基金持有人利益。</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针对投资品种变现的流动性风险，本基金的基金管理人通过独立的风险管理部门设定流动性比例要求，对流动性指标进行持续的监测和分析，包括组合持仓集中度指标、组合在短时间内变现能力的综合指标、组合中变现能力较差的投资品种比例以及流通受限制的投资品种比例等。本基金投资于一家公司发行的股票市值不超过基金资产净值的</w:t>
      </w:r>
      <w:r>
        <w:rPr>
          <w:rFonts w:ascii="Times New Roman" w:hAnsi="Times New Roman"/>
          <w:color w:val="000000"/>
          <w:kern w:val="0"/>
          <w:sz w:val="24"/>
          <w:szCs w:val="24"/>
        </w:rPr>
        <w:t>10%</w:t>
      </w:r>
      <w:r>
        <w:rPr>
          <w:rFonts w:hint="eastAsia" w:ascii="Times New Roman" w:hAnsi="Times New Roman"/>
          <w:color w:val="000000"/>
          <w:kern w:val="0"/>
          <w:sz w:val="24"/>
          <w:szCs w:val="24"/>
        </w:rPr>
        <w:t>，且本基金与由本基金的基金管理人管理的其他基金共同持有一家公司发行的证券不得超过该证券的</w:t>
      </w:r>
      <w:r>
        <w:rPr>
          <w:rFonts w:ascii="Times New Roman" w:hAnsi="Times New Roman"/>
          <w:color w:val="000000"/>
          <w:kern w:val="0"/>
          <w:sz w:val="24"/>
          <w:szCs w:val="24"/>
        </w:rPr>
        <w:t>10%</w:t>
      </w:r>
      <w:r>
        <w:rPr>
          <w:rFonts w:hint="eastAsia" w:ascii="Times New Roman" w:hAnsi="Times New Roman"/>
          <w:color w:val="000000"/>
          <w:kern w:val="0"/>
          <w:sz w:val="24"/>
          <w:szCs w:val="24"/>
        </w:rPr>
        <w:t>。本基金所持大部分证券在银行间同业市场交易，其余亦在证券交易所上市交易，因此除附注</w:t>
      </w:r>
      <w:r>
        <w:rPr>
          <w:rFonts w:ascii="Times New Roman" w:hAnsi="Times New Roman"/>
          <w:color w:val="000000"/>
          <w:kern w:val="0"/>
          <w:sz w:val="24"/>
          <w:szCs w:val="24"/>
        </w:rPr>
        <w:t>7.4.12</w:t>
      </w:r>
      <w:r>
        <w:rPr>
          <w:rFonts w:hint="eastAsia" w:ascii="Times New Roman" w:hAnsi="Times New Roman"/>
          <w:color w:val="000000"/>
          <w:kern w:val="0"/>
          <w:sz w:val="24"/>
          <w:szCs w:val="24"/>
        </w:rPr>
        <w:t>中列示的部分基金资产流通暂时受限制不能自由转让的情况外，其余均能以合理价格适时变现。此外，本基金可通过卖出回购金融资产方式借入短期资金应对流动性需求，其上限一般不超过基金持有的债券投资的公允价值。</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7.4.13.4 </w:t>
      </w:r>
      <w:r>
        <w:rPr>
          <w:rFonts w:hint="eastAsia" w:ascii="Times New Roman" w:hAnsi="Times New Roman"/>
          <w:b/>
          <w:color w:val="000000"/>
          <w:kern w:val="0"/>
          <w:sz w:val="24"/>
          <w:szCs w:val="24"/>
        </w:rPr>
        <w:t>市场风险</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市场风险是指基金所持金融工具的公允价值或未来现金流量因所处市场各类价格因素的变动而发生波动的风险，包括利率风险、外汇风险和其他价格风险。</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7.4.13.4.1 </w:t>
      </w:r>
      <w:r>
        <w:rPr>
          <w:rFonts w:hint="eastAsia" w:ascii="Times New Roman" w:hAnsi="Times New Roman"/>
          <w:b/>
          <w:color w:val="000000"/>
          <w:kern w:val="0"/>
          <w:sz w:val="24"/>
          <w:szCs w:val="24"/>
        </w:rPr>
        <w:t>利率风险</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利率风险是指金融工具的公允价值或现金流量受市场利率变动而发生波动的风险。利率敏感性金融工具均面临由于市场利率上升而导致公允价值下降的风险，其中浮动利率类金融工具还面临每个付息期间结束根据市场利率重新定价时对于未来现金流影响的风险。</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本基金的基金管理人定期对本基金面临的利率敏感性缺口进行监控，并通过调整投资组合的久期等方法对上述利率风险进行管理。</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持有及承担的大部分金融资产和金融负债不计息，因此本基金的收入及经营活动的现金流量在很大程度上独立于市场利率变化。本基金持有的利率敏感性资产主要为银行存款、结算备付金、存出保证金及买入返售金融资产投资等。</w:t>
      </w:r>
    </w:p>
    <w:p>
      <w:pPr>
        <w:autoSpaceDE w:val="0"/>
        <w:autoSpaceDN w:val="0"/>
        <w:adjustRightInd w:val="0"/>
        <w:spacing w:before="145"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7.4.13.4.1.1 </w:t>
      </w:r>
      <w:r>
        <w:rPr>
          <w:rFonts w:hint="eastAsia" w:ascii="Times New Roman" w:hAnsi="Times New Roman"/>
          <w:b/>
          <w:color w:val="000000"/>
          <w:kern w:val="0"/>
          <w:sz w:val="24"/>
          <w:szCs w:val="24"/>
        </w:rPr>
        <w:t>利率风险敞口</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10"/>
        <w:tblW w:w="0" w:type="auto"/>
        <w:tblInd w:w="108" w:type="dxa"/>
        <w:tblLayout w:type="fixed"/>
        <w:tblCellMar>
          <w:top w:w="0" w:type="dxa"/>
          <w:left w:w="108" w:type="dxa"/>
          <w:bottom w:w="0" w:type="dxa"/>
          <w:right w:w="108" w:type="dxa"/>
        </w:tblCellMar>
      </w:tblPr>
      <w:tblGrid>
        <w:gridCol w:w="1746"/>
        <w:gridCol w:w="1445"/>
        <w:gridCol w:w="1444"/>
        <w:gridCol w:w="1445"/>
        <w:gridCol w:w="1445"/>
        <w:gridCol w:w="1445"/>
      </w:tblGrid>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本期末</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w:t>
            </w:r>
            <w:r>
              <w:rPr>
                <w:rFonts w:hint="eastAsia" w:ascii="Times New Roman" w:hAnsi="Times New Roman"/>
                <w:color w:val="000000"/>
                <w:kern w:val="0"/>
                <w:sz w:val="24"/>
                <w:szCs w:val="24"/>
              </w:rPr>
              <w:t>年以内</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w:t>
            </w:r>
            <w:r>
              <w:rPr>
                <w:rFonts w:hint="eastAsia" w:ascii="Times New Roman" w:hAnsi="Times New Roman"/>
                <w:color w:val="000000"/>
                <w:kern w:val="0"/>
                <w:sz w:val="24"/>
                <w:szCs w:val="24"/>
              </w:rPr>
              <w:t>年</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w:t>
            </w:r>
            <w:r>
              <w:rPr>
                <w:rFonts w:hint="eastAsia" w:ascii="Times New Roman" w:hAnsi="Times New Roman"/>
                <w:color w:val="000000"/>
                <w:kern w:val="0"/>
                <w:sz w:val="24"/>
                <w:szCs w:val="24"/>
              </w:rPr>
              <w:t>年以上</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不计息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资产</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银行存款</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21,104,169.43</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21,104,169.43</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结算备付金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3,260,186.65</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3,260,186.65</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存出保证金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141,348.67</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141,348.67</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交易性金融资产</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169,630,000.00</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608,110,369.60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183,971,000.00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44,905,328.81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1,006,616,698.41</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应收证券清算款</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6,357,114.48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6,357,114.48</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应收利息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18,104,008.88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18,104,008.88</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资产总计</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194,135,704.75</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608,110,369.60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183,971,000.00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69,366,452.17</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1,055,583,526.52</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负债</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4"/>
              </w:rPr>
            </w:pP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卖出回购金融资产款</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259,749,210.37</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259,749,210.37</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应付证券清算款</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144,908.51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144,908.51</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应付管理人报酬</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403,238.93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403,238.93</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应付托管费</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134,412.98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134,412.98</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应付销售服务费</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15.98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15.98</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应付交易费用</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187,936.68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187,936.68</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应付利息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199,655.08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199,655.08</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其他负债</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125,000.00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125,000.00</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负债总计</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259,749,210.37</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1,195,168.16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260,944,378.53</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利率敏感度缺口</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-65,613,505.62</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608,110,369.60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183,971,000.00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68,171,284.01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794,639,147.99</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注：表中所示为本基金资产及负债的账面价值，并按照合约规定的利率重新定价日或到期日孰早者予以分类。</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7.4.13.4.1.2 </w:t>
      </w:r>
      <w:r>
        <w:rPr>
          <w:rFonts w:hint="eastAsia" w:ascii="Times New Roman" w:hAnsi="Times New Roman"/>
          <w:b/>
          <w:color w:val="000000"/>
          <w:kern w:val="0"/>
          <w:sz w:val="24"/>
          <w:szCs w:val="24"/>
        </w:rPr>
        <w:t>利率风险的敏感性分析</w:t>
      </w:r>
    </w:p>
    <w:tbl>
      <w:tblPr>
        <w:tblStyle w:val="10"/>
        <w:tblW w:w="0" w:type="auto"/>
        <w:tblInd w:w="108" w:type="dxa"/>
        <w:tblLayout w:type="fixed"/>
        <w:tblCellMar>
          <w:top w:w="0" w:type="dxa"/>
          <w:left w:w="108" w:type="dxa"/>
          <w:bottom w:w="0" w:type="dxa"/>
          <w:right w:w="108" w:type="dxa"/>
        </w:tblCellMar>
      </w:tblPr>
      <w:tblGrid>
        <w:gridCol w:w="1023"/>
        <w:gridCol w:w="2890"/>
        <w:gridCol w:w="5057"/>
        <w:gridCol w:w="55"/>
      </w:tblGrid>
      <w:tr>
        <w:tblPrEx>
          <w:tblCellMar>
            <w:top w:w="0" w:type="dxa"/>
            <w:left w:w="108" w:type="dxa"/>
            <w:bottom w:w="0" w:type="dxa"/>
            <w:right w:w="108" w:type="dxa"/>
          </w:tblCellMar>
        </w:tblPrEx>
        <w:trPr>
          <w:gridAfter w:val="1"/>
          <w:wBefore w:w="0" w:type="auto"/>
          <w:wAfter w:w="55" w:type="dxa"/>
        </w:trPr>
        <w:tc>
          <w:tcPr>
            <w:tcW w:w="10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假设</w:t>
            </w:r>
          </w:p>
        </w:tc>
        <w:tc>
          <w:tcPr>
            <w:tcW w:w="7947"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除市场利率以外的其他市场变量保持不变</w:t>
            </w:r>
          </w:p>
        </w:tc>
      </w:tr>
      <w:tr>
        <w:tblPrEx>
          <w:tblCellMar>
            <w:top w:w="0" w:type="dxa"/>
            <w:left w:w="108" w:type="dxa"/>
            <w:bottom w:w="0" w:type="dxa"/>
            <w:right w:w="108" w:type="dxa"/>
          </w:tblCellMar>
        </w:tblPrEx>
        <w:trPr>
          <w:wBefore w:w="0" w:type="auto"/>
        </w:trPr>
        <w:tc>
          <w:tcPr>
            <w:tcW w:w="1023"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分析</w:t>
            </w:r>
          </w:p>
        </w:tc>
        <w:tc>
          <w:tcPr>
            <w:tcW w:w="2890"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相关风险变量的变动</w:t>
            </w:r>
          </w:p>
        </w:tc>
        <w:tc>
          <w:tcPr>
            <w:tcW w:w="5112"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对资产负债表日基金资产净值的</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影响金额（单位：人民币元）</w:t>
            </w:r>
          </w:p>
        </w:tc>
      </w:tr>
      <w:tr>
        <w:tblPrEx>
          <w:tblCellMar>
            <w:top w:w="0" w:type="dxa"/>
            <w:left w:w="108" w:type="dxa"/>
            <w:bottom w:w="0" w:type="dxa"/>
            <w:right w:w="108" w:type="dxa"/>
          </w:tblCellMar>
        </w:tblPrEx>
        <w:trPr>
          <w:wBefore w:w="0" w:type="auto"/>
        </w:trPr>
        <w:tc>
          <w:tcPr>
            <w:tcW w:w="1023"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2890"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5112"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本期末</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10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市场利率上升</w:t>
            </w:r>
            <w:r>
              <w:rPr>
                <w:rFonts w:ascii="Times New Roman" w:hAnsi="Times New Roman"/>
                <w:color w:val="000000"/>
                <w:kern w:val="0"/>
                <w:sz w:val="24"/>
                <w:szCs w:val="24"/>
              </w:rPr>
              <w:t>25</w:t>
            </w:r>
            <w:r>
              <w:rPr>
                <w:rFonts w:hint="eastAsia" w:ascii="Times New Roman" w:hAnsi="Times New Roman"/>
                <w:color w:val="000000"/>
                <w:kern w:val="0"/>
                <w:sz w:val="24"/>
                <w:szCs w:val="24"/>
              </w:rPr>
              <w:t>个基点</w:t>
            </w:r>
          </w:p>
        </w:tc>
        <w:tc>
          <w:tcPr>
            <w:tcW w:w="5112"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-6,916,207.42</w:t>
            </w:r>
          </w:p>
        </w:tc>
      </w:tr>
      <w:tr>
        <w:tblPrEx>
          <w:tblCellMar>
            <w:top w:w="0" w:type="dxa"/>
            <w:left w:w="108" w:type="dxa"/>
            <w:bottom w:w="0" w:type="dxa"/>
            <w:right w:w="108" w:type="dxa"/>
          </w:tblCellMar>
        </w:tblPrEx>
        <w:trPr>
          <w:wBefore w:w="0" w:type="auto"/>
        </w:trPr>
        <w:tc>
          <w:tcPr>
            <w:tcW w:w="10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市场利率下降</w:t>
            </w:r>
            <w:r>
              <w:rPr>
                <w:rFonts w:ascii="Times New Roman" w:hAnsi="Times New Roman"/>
                <w:color w:val="000000"/>
                <w:kern w:val="0"/>
                <w:sz w:val="24"/>
                <w:szCs w:val="24"/>
              </w:rPr>
              <w:t>25</w:t>
            </w:r>
            <w:r>
              <w:rPr>
                <w:rFonts w:hint="eastAsia" w:ascii="Times New Roman" w:hAnsi="Times New Roman"/>
                <w:color w:val="000000"/>
                <w:kern w:val="0"/>
                <w:sz w:val="24"/>
                <w:szCs w:val="24"/>
              </w:rPr>
              <w:t>个基点</w:t>
            </w:r>
          </w:p>
        </w:tc>
        <w:tc>
          <w:tcPr>
            <w:tcW w:w="5112"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7,028,607.44</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7.4.13.4.2 </w:t>
      </w:r>
      <w:r>
        <w:rPr>
          <w:rFonts w:hint="eastAsia" w:ascii="Times New Roman" w:hAnsi="Times New Roman"/>
          <w:b/>
          <w:color w:val="000000"/>
          <w:kern w:val="0"/>
          <w:sz w:val="24"/>
          <w:szCs w:val="24"/>
        </w:rPr>
        <w:t>外汇风险</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外汇风险是指金融工具的公允价值或未来现金流量因外汇汇率变动而发生波动的风险。本基金的所有资产及负债以人民币计价，因此无重大外汇风险。</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7.4.13.4.3 </w:t>
      </w:r>
      <w:r>
        <w:rPr>
          <w:rFonts w:hint="eastAsia" w:ascii="Times New Roman" w:hAnsi="Times New Roman"/>
          <w:b/>
          <w:color w:val="000000"/>
          <w:kern w:val="0"/>
          <w:sz w:val="24"/>
          <w:szCs w:val="24"/>
        </w:rPr>
        <w:t>其他价格风险</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其他价格风险是指基金所持金融工具的公允价值或未来现金流量因除市场利率和外汇汇率以外的市场价格因素变动而发生波动的风险。本基金主要投资于证券交易所上市或银行间同业市场交易的股票和债券，所面临的其他价格风险来源于单个证券发行主体自身经营情况或特殊事项的影响，也可能来源于证券市场整体波动的影响。</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本基金的基金管理人在构建和管理投资组合的过程中，采用</w:t>
      </w:r>
      <w:r>
        <w:rPr>
          <w:rFonts w:ascii="Times New Roman" w:hAnsi="Times New Roman"/>
          <w:color w:val="000000"/>
          <w:kern w:val="0"/>
          <w:sz w:val="24"/>
          <w:szCs w:val="24"/>
        </w:rPr>
        <w:t>"</w:t>
      </w:r>
      <w:r>
        <w:rPr>
          <w:rFonts w:hint="eastAsia" w:ascii="Times New Roman" w:hAnsi="Times New Roman"/>
          <w:color w:val="000000"/>
          <w:kern w:val="0"/>
          <w:sz w:val="24"/>
          <w:szCs w:val="24"/>
        </w:rPr>
        <w:t>自上而下</w:t>
      </w:r>
      <w:r>
        <w:rPr>
          <w:rFonts w:ascii="Times New Roman" w:hAnsi="Times New Roman"/>
          <w:color w:val="000000"/>
          <w:kern w:val="0"/>
          <w:sz w:val="24"/>
          <w:szCs w:val="24"/>
        </w:rPr>
        <w:t>"</w:t>
      </w:r>
      <w:r>
        <w:rPr>
          <w:rFonts w:hint="eastAsia" w:ascii="Times New Roman" w:hAnsi="Times New Roman"/>
          <w:color w:val="000000"/>
          <w:kern w:val="0"/>
          <w:sz w:val="24"/>
          <w:szCs w:val="24"/>
        </w:rPr>
        <w:t>的策略，通过对宏观经济情况及政策的分析，结合证券市场运行情况，做出资产配置及组合构建的决定；通过对单个证券的定性分析及定量分析，选择符合基金合同约定范围的投资品种进行投资。本基金的基金管理人定期结合宏观及微观环境的变化，对投资策略、资产配置、投资组合进行修正，来主动应对可能发生的市场价格风险。</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本基金通过投资组合的分散化降低其他价格风险。本基金投资组合中股票投资占基金资产的比例为</w:t>
      </w:r>
      <w:r>
        <w:rPr>
          <w:rFonts w:ascii="Times New Roman" w:hAnsi="Times New Roman"/>
          <w:color w:val="000000"/>
          <w:kern w:val="0"/>
          <w:sz w:val="24"/>
          <w:szCs w:val="24"/>
        </w:rPr>
        <w:t>0%-95%</w:t>
      </w:r>
      <w:r>
        <w:rPr>
          <w:rFonts w:hint="eastAsia" w:ascii="Times New Roman" w:hAnsi="Times New Roman"/>
          <w:color w:val="000000"/>
          <w:kern w:val="0"/>
          <w:sz w:val="24"/>
          <w:szCs w:val="24"/>
        </w:rPr>
        <w:t>；每个交易日日终，在扣除股指期货合约需缴纳的交易保证金后，现金或者到期日在一年以内的政府债券不低于基金资产净值的</w:t>
      </w:r>
      <w:r>
        <w:rPr>
          <w:rFonts w:ascii="Times New Roman" w:hAnsi="Times New Roman"/>
          <w:color w:val="000000"/>
          <w:kern w:val="0"/>
          <w:sz w:val="24"/>
          <w:szCs w:val="24"/>
        </w:rPr>
        <w:t>5%</w:t>
      </w:r>
      <w:r>
        <w:rPr>
          <w:rFonts w:hint="eastAsia" w:ascii="Times New Roman" w:hAnsi="Times New Roman"/>
          <w:color w:val="000000"/>
          <w:kern w:val="0"/>
          <w:sz w:val="24"/>
          <w:szCs w:val="24"/>
        </w:rPr>
        <w:t>。此外，本基金的基金管理人每日对本基金所持有的证券价格实施监控，定期运用多种定量方法对基金进行风险度量，包括</w:t>
      </w:r>
      <w:r>
        <w:rPr>
          <w:rFonts w:ascii="Times New Roman" w:hAnsi="Times New Roman"/>
          <w:color w:val="000000"/>
          <w:kern w:val="0"/>
          <w:sz w:val="24"/>
          <w:szCs w:val="24"/>
        </w:rPr>
        <w:t>VaR(Value at Risk)</w:t>
      </w:r>
      <w:r>
        <w:rPr>
          <w:rFonts w:hint="eastAsia" w:ascii="Times New Roman" w:hAnsi="Times New Roman"/>
          <w:color w:val="000000"/>
          <w:kern w:val="0"/>
          <w:sz w:val="24"/>
          <w:szCs w:val="24"/>
        </w:rPr>
        <w:t>指标等来测试本基金面临的潜在价格风险，及时可靠地对风险进行跟踪和控制。</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7.4.13.4.3.1 </w:t>
      </w:r>
      <w:r>
        <w:rPr>
          <w:rFonts w:hint="eastAsia" w:ascii="Times New Roman" w:hAnsi="Times New Roman"/>
          <w:b/>
          <w:color w:val="000000"/>
          <w:kern w:val="0"/>
          <w:sz w:val="24"/>
          <w:szCs w:val="24"/>
        </w:rPr>
        <w:t>其他价格风险敞口</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10"/>
        <w:tblW w:w="0" w:type="auto"/>
        <w:tblInd w:w="108" w:type="dxa"/>
        <w:tblLayout w:type="fixed"/>
        <w:tblCellMar>
          <w:top w:w="0" w:type="dxa"/>
          <w:left w:w="108" w:type="dxa"/>
          <w:bottom w:w="0" w:type="dxa"/>
          <w:right w:w="108" w:type="dxa"/>
        </w:tblCellMar>
      </w:tblPr>
      <w:tblGrid>
        <w:gridCol w:w="1746"/>
        <w:gridCol w:w="1806"/>
        <w:gridCol w:w="5473"/>
      </w:tblGrid>
      <w:tr>
        <w:tblPrEx>
          <w:tblCellMar>
            <w:top w:w="0" w:type="dxa"/>
            <w:left w:w="108" w:type="dxa"/>
            <w:bottom w:w="0" w:type="dxa"/>
            <w:right w:w="108" w:type="dxa"/>
          </w:tblCellMar>
        </w:tblPrEx>
        <w:trPr>
          <w:wBefore w:w="0" w:type="auto"/>
        </w:trPr>
        <w:tc>
          <w:tcPr>
            <w:tcW w:w="1746"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72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本期末</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1746"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公允价值</w:t>
            </w:r>
          </w:p>
        </w:tc>
        <w:tc>
          <w:tcPr>
            <w:tcW w:w="54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占基金资产净值比例（</w:t>
            </w:r>
            <w:r>
              <w:rPr>
                <w:rFonts w:ascii="Times New Roman" w:hAnsi="Times New Roman"/>
                <w:color w:val="000000"/>
                <w:kern w:val="0"/>
                <w:sz w:val="24"/>
                <w:szCs w:val="24"/>
              </w:rPr>
              <w:t>%</w:t>
            </w: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交易性金融资产</w:t>
            </w:r>
            <w:r>
              <w:rPr>
                <w:rFonts w:ascii="Times New Roman" w:hAnsi="Times New Roman"/>
                <w:color w:val="000000"/>
                <w:kern w:val="0"/>
                <w:sz w:val="24"/>
                <w:szCs w:val="24"/>
              </w:rPr>
              <w:t>-</w:t>
            </w:r>
            <w:r>
              <w:rPr>
                <w:rFonts w:hint="eastAsia" w:ascii="Times New Roman" w:hAnsi="Times New Roman"/>
                <w:color w:val="000000"/>
                <w:kern w:val="0"/>
                <w:sz w:val="24"/>
                <w:szCs w:val="24"/>
              </w:rPr>
              <w:t>股票投资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44,905,328.81</w:t>
            </w:r>
          </w:p>
        </w:tc>
        <w:tc>
          <w:tcPr>
            <w:tcW w:w="54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5.65</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交易性金融资产</w:t>
            </w:r>
            <w:r>
              <w:rPr>
                <w:rFonts w:ascii="Times New Roman" w:hAnsi="Times New Roman"/>
                <w:color w:val="000000"/>
                <w:kern w:val="0"/>
                <w:sz w:val="24"/>
                <w:szCs w:val="24"/>
              </w:rPr>
              <w:t>—</w:t>
            </w:r>
            <w:r>
              <w:rPr>
                <w:rFonts w:hint="eastAsia" w:ascii="Times New Roman" w:hAnsi="Times New Roman"/>
                <w:color w:val="000000"/>
                <w:kern w:val="0"/>
                <w:sz w:val="24"/>
                <w:szCs w:val="24"/>
              </w:rPr>
              <w:t>基金投资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54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交易性金融资产</w:t>
            </w:r>
            <w:r>
              <w:rPr>
                <w:rFonts w:ascii="Times New Roman" w:hAnsi="Times New Roman"/>
                <w:color w:val="000000"/>
                <w:kern w:val="0"/>
                <w:sz w:val="24"/>
                <w:szCs w:val="24"/>
              </w:rPr>
              <w:t>-</w:t>
            </w:r>
            <w:r>
              <w:rPr>
                <w:rFonts w:hint="eastAsia" w:ascii="Times New Roman" w:hAnsi="Times New Roman"/>
                <w:color w:val="000000"/>
                <w:kern w:val="0"/>
                <w:sz w:val="24"/>
                <w:szCs w:val="24"/>
              </w:rPr>
              <w:t>贵金属投资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54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衍生金融资产－权证投资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54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其他</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54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44,905,328.81</w:t>
            </w:r>
          </w:p>
        </w:tc>
        <w:tc>
          <w:tcPr>
            <w:tcW w:w="54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5.65</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7.4.13.4.3.2 </w:t>
      </w:r>
      <w:r>
        <w:rPr>
          <w:rFonts w:hint="eastAsia" w:ascii="Times New Roman" w:hAnsi="Times New Roman"/>
          <w:b/>
          <w:color w:val="000000"/>
          <w:kern w:val="0"/>
          <w:sz w:val="24"/>
          <w:szCs w:val="24"/>
        </w:rPr>
        <w:t>其他价格风险的敏感性分析</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于</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日，本基金持有的交易性权益类投资公允价值占基金资产净值的比例为</w:t>
      </w:r>
      <w:r>
        <w:rPr>
          <w:rFonts w:ascii="Times New Roman" w:hAnsi="Times New Roman"/>
          <w:color w:val="000000"/>
          <w:kern w:val="0"/>
          <w:sz w:val="24"/>
          <w:szCs w:val="24"/>
        </w:rPr>
        <w:t>5.65%</w:t>
      </w:r>
      <w:r>
        <w:rPr>
          <w:rFonts w:hint="eastAsia" w:ascii="Times New Roman" w:hAnsi="Times New Roman"/>
          <w:color w:val="000000"/>
          <w:kern w:val="0"/>
          <w:sz w:val="24"/>
          <w:szCs w:val="24"/>
        </w:rPr>
        <w:t>，因此除市场利率和外汇汇率以外的市场价格因素的变动对于本基金资产净值无重大影响。</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7.4.14 </w:t>
      </w:r>
      <w:r>
        <w:rPr>
          <w:rFonts w:hint="eastAsia" w:ascii="Times New Roman" w:hAnsi="Times New Roman"/>
          <w:b/>
          <w:color w:val="000000"/>
          <w:kern w:val="0"/>
          <w:sz w:val="24"/>
          <w:szCs w:val="24"/>
        </w:rPr>
        <w:t>有助于理解和分析会计报表需要说明的其他事项</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(1)</w:t>
      </w:r>
      <w:r>
        <w:rPr>
          <w:rFonts w:hint="eastAsia" w:ascii="Times New Roman" w:hAnsi="Times New Roman"/>
          <w:color w:val="000000"/>
          <w:kern w:val="0"/>
          <w:sz w:val="24"/>
          <w:szCs w:val="24"/>
        </w:rPr>
        <w:t>公允价值</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(a)</w:t>
      </w:r>
      <w:r>
        <w:rPr>
          <w:rFonts w:hint="eastAsia" w:ascii="Times New Roman" w:hAnsi="Times New Roman"/>
          <w:color w:val="000000"/>
          <w:kern w:val="0"/>
          <w:sz w:val="24"/>
          <w:szCs w:val="24"/>
        </w:rPr>
        <w:t>金融工具公允价值计量的方法</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公允价值计量结果所属的层次，由对公允价值计量整体而言具有重要意义的输入值所属的最低层次决定：</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第一层次：相同资产或负债在活跃市场上未经调整的报价。</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第二层次：除第一层次输入值外相关资产或负债直接或间接可观察的输入值。</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第三层次：相关资产或负债的不可观察输入值。</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(b)</w:t>
      </w:r>
      <w:r>
        <w:rPr>
          <w:rFonts w:hint="eastAsia" w:ascii="Times New Roman" w:hAnsi="Times New Roman"/>
          <w:color w:val="000000"/>
          <w:kern w:val="0"/>
          <w:sz w:val="24"/>
          <w:szCs w:val="24"/>
        </w:rPr>
        <w:t>持续的以公允价值计量的金融工具</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(i)</w:t>
      </w:r>
      <w:r>
        <w:rPr>
          <w:rFonts w:hint="eastAsia" w:ascii="Times New Roman" w:hAnsi="Times New Roman"/>
          <w:color w:val="000000"/>
          <w:kern w:val="0"/>
          <w:sz w:val="24"/>
          <w:szCs w:val="24"/>
        </w:rPr>
        <w:t>各层次金融工具公允价值</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于</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日，本基金持有的以公允价值计量且其变动计入当期损益的金融资产中属于第一层次的余额为</w:t>
      </w:r>
      <w:r>
        <w:rPr>
          <w:rFonts w:ascii="Times New Roman" w:hAnsi="Times New Roman"/>
          <w:color w:val="000000"/>
          <w:kern w:val="0"/>
          <w:sz w:val="24"/>
          <w:szCs w:val="24"/>
        </w:rPr>
        <w:t>42,115,393.09</w:t>
      </w:r>
      <w:r>
        <w:rPr>
          <w:rFonts w:hint="eastAsia" w:ascii="Times New Roman" w:hAnsi="Times New Roman"/>
          <w:color w:val="000000"/>
          <w:kern w:val="0"/>
          <w:sz w:val="24"/>
          <w:szCs w:val="24"/>
        </w:rPr>
        <w:t>元，属于第二层次的余额为</w:t>
      </w:r>
      <w:r>
        <w:rPr>
          <w:rFonts w:ascii="Times New Roman" w:hAnsi="Times New Roman"/>
          <w:color w:val="000000"/>
          <w:kern w:val="0"/>
          <w:sz w:val="24"/>
          <w:szCs w:val="24"/>
        </w:rPr>
        <w:t>964,501,305.32</w:t>
      </w:r>
      <w:r>
        <w:rPr>
          <w:rFonts w:hint="eastAsia" w:ascii="Times New Roman" w:hAnsi="Times New Roman"/>
          <w:color w:val="000000"/>
          <w:kern w:val="0"/>
          <w:sz w:val="24"/>
          <w:szCs w:val="24"/>
        </w:rPr>
        <w:t>元，无属于第三层次的余额。</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(ii)</w:t>
      </w:r>
      <w:r>
        <w:rPr>
          <w:rFonts w:hint="eastAsia" w:ascii="Times New Roman" w:hAnsi="Times New Roman"/>
          <w:color w:val="000000"/>
          <w:kern w:val="0"/>
          <w:sz w:val="24"/>
          <w:szCs w:val="24"/>
        </w:rPr>
        <w:t>公允价值所属层次间的重大变动</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对于证券交易所上市的股票和债券，若出现重大事项停牌、交易不活跃</w:t>
      </w:r>
      <w:r>
        <w:rPr>
          <w:rFonts w:ascii="Times New Roman" w:hAnsi="Times New Roman"/>
          <w:color w:val="000000"/>
          <w:kern w:val="0"/>
          <w:sz w:val="24"/>
          <w:szCs w:val="24"/>
        </w:rPr>
        <w:t>(</w:t>
      </w:r>
      <w:r>
        <w:rPr>
          <w:rFonts w:hint="eastAsia" w:ascii="Times New Roman" w:hAnsi="Times New Roman"/>
          <w:color w:val="000000"/>
          <w:kern w:val="0"/>
          <w:sz w:val="24"/>
          <w:szCs w:val="24"/>
        </w:rPr>
        <w:t>包括涨跌停时的交易不活跃</w:t>
      </w:r>
      <w:r>
        <w:rPr>
          <w:rFonts w:ascii="Times New Roman" w:hAnsi="Times New Roman"/>
          <w:color w:val="000000"/>
          <w:kern w:val="0"/>
          <w:sz w:val="24"/>
          <w:szCs w:val="24"/>
        </w:rPr>
        <w:t>)</w:t>
      </w:r>
      <w:r>
        <w:rPr>
          <w:rFonts w:hint="eastAsia" w:ascii="Times New Roman" w:hAnsi="Times New Roman"/>
          <w:color w:val="000000"/>
          <w:kern w:val="0"/>
          <w:sz w:val="24"/>
          <w:szCs w:val="24"/>
        </w:rPr>
        <w:t>、或属于非公开发行等情况，本基金不会于停牌日至交易恢复活跃日期间、交易不活跃期间及限售期间将相关股票和债券的公允价值列入第一层次；并根据估值调整中采用的不可观察输入值对于公允价值的影响程度，确定相关股票和债券公允价值应属第二层次还是第三层次。</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(iii)</w:t>
      </w:r>
      <w:r>
        <w:rPr>
          <w:rFonts w:hint="eastAsia" w:ascii="Times New Roman" w:hAnsi="Times New Roman"/>
          <w:color w:val="000000"/>
          <w:kern w:val="0"/>
          <w:sz w:val="24"/>
          <w:szCs w:val="24"/>
        </w:rPr>
        <w:t>第三层次公允价值余额和本期变动金额</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无。</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(c)</w:t>
      </w:r>
      <w:r>
        <w:rPr>
          <w:rFonts w:hint="eastAsia" w:ascii="Times New Roman" w:hAnsi="Times New Roman"/>
          <w:color w:val="000000"/>
          <w:kern w:val="0"/>
          <w:sz w:val="24"/>
          <w:szCs w:val="24"/>
        </w:rPr>
        <w:t>非持续的以公允价值计量的金融工具</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于</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日，本基金未持有非持续的以公允价值计量的金融资产。</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(d)</w:t>
      </w:r>
      <w:r>
        <w:rPr>
          <w:rFonts w:hint="eastAsia" w:ascii="Times New Roman" w:hAnsi="Times New Roman"/>
          <w:color w:val="000000"/>
          <w:kern w:val="0"/>
          <w:sz w:val="24"/>
          <w:szCs w:val="24"/>
        </w:rPr>
        <w:t>不以公允价值计量的金融工具</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不以公允价值计量的金融资产和负债主要包括应收款项和其他金融负债，其账面价值与公允价值相差很小。</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(2)</w:t>
      </w:r>
      <w:r>
        <w:rPr>
          <w:rFonts w:hint="eastAsia" w:ascii="Times New Roman" w:hAnsi="Times New Roman"/>
          <w:color w:val="000000"/>
          <w:kern w:val="0"/>
          <w:sz w:val="24"/>
          <w:szCs w:val="24"/>
        </w:rPr>
        <w:t>除公允价值外，截至资产负债表日本基金无需要说明的其他重要事项。</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center"/>
        <w:outlineLvl w:val="0"/>
        <w:rPr>
          <w:rFonts w:ascii="Times New Roman" w:hAnsi="Times New Roman"/>
          <w:b/>
          <w:color w:val="000000"/>
          <w:kern w:val="0"/>
          <w:sz w:val="24"/>
          <w:szCs w:val="24"/>
        </w:rPr>
      </w:pPr>
      <w:bookmarkStart w:id="30" w:name="_Toc477955741"/>
      <w:r>
        <w:rPr>
          <w:rFonts w:hint="eastAsia" w:ascii="Times New Roman" w:hAnsi="Times New Roman"/>
          <w:b/>
          <w:color w:val="000000"/>
          <w:kern w:val="0"/>
          <w:sz w:val="24"/>
          <w:szCs w:val="24"/>
        </w:rPr>
        <w:t>§</w:t>
      </w:r>
      <w:r>
        <w:rPr>
          <w:rFonts w:ascii="Times New Roman" w:hAnsi="Times New Roman"/>
          <w:b/>
          <w:color w:val="000000"/>
          <w:kern w:val="0"/>
          <w:sz w:val="24"/>
          <w:szCs w:val="24"/>
        </w:rPr>
        <w:t xml:space="preserve">8  </w:t>
      </w:r>
      <w:r>
        <w:rPr>
          <w:rFonts w:hint="eastAsia" w:ascii="Times New Roman" w:hAnsi="Times New Roman"/>
          <w:b/>
          <w:color w:val="000000"/>
          <w:kern w:val="0"/>
          <w:sz w:val="24"/>
          <w:szCs w:val="24"/>
        </w:rPr>
        <w:t>投资组合报告</w:t>
      </w:r>
      <w:bookmarkEnd w:id="30"/>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31" w:name="_Toc477955742"/>
      <w:r>
        <w:rPr>
          <w:rFonts w:ascii="Times New Roman" w:hAnsi="Times New Roman"/>
          <w:b/>
          <w:color w:val="000000"/>
          <w:kern w:val="0"/>
          <w:sz w:val="24"/>
          <w:szCs w:val="24"/>
        </w:rPr>
        <w:t xml:space="preserve">8.1 </w:t>
      </w:r>
      <w:r>
        <w:rPr>
          <w:rFonts w:hint="eastAsia" w:ascii="Times New Roman" w:hAnsi="Times New Roman"/>
          <w:b/>
          <w:color w:val="000000"/>
          <w:kern w:val="0"/>
          <w:sz w:val="24"/>
          <w:szCs w:val="24"/>
        </w:rPr>
        <w:t>期末基金资产组合情况</w:t>
      </w:r>
      <w:bookmarkEnd w:id="31"/>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10"/>
        <w:tblW w:w="0" w:type="auto"/>
        <w:tblInd w:w="108" w:type="dxa"/>
        <w:tblLayout w:type="fixed"/>
        <w:tblCellMar>
          <w:top w:w="0" w:type="dxa"/>
          <w:left w:w="108" w:type="dxa"/>
          <w:bottom w:w="0" w:type="dxa"/>
          <w:right w:w="108" w:type="dxa"/>
        </w:tblCellMar>
      </w:tblPr>
      <w:tblGrid>
        <w:gridCol w:w="662"/>
        <w:gridCol w:w="4335"/>
        <w:gridCol w:w="2167"/>
        <w:gridCol w:w="1806"/>
      </w:tblGrid>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序号</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金额</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占基金总资产的比例（</w:t>
            </w:r>
            <w:r>
              <w:rPr>
                <w:rFonts w:ascii="Times New Roman" w:hAnsi="Times New Roman"/>
                <w:color w:val="000000"/>
                <w:kern w:val="0"/>
                <w:sz w:val="24"/>
                <w:szCs w:val="24"/>
              </w:rPr>
              <w:t>%</w:t>
            </w: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权益投资</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44,905,328.81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4.25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其中：股票</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44,905,328.81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4.25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固定收益投资</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961,711,369.60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91.11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其中：债券</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961,711,369.60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91.11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资产支持证券</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贵金属投资</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金融衍生品投资</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买入返售金融资产</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其中：买断式回购的买入返售金融资产</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银行存款和结算备付金合计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24,364,356.08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2.31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其他各项资产</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24,602,472.03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2.33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1,055,583,526.52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100.00</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8.2 </w:t>
      </w:r>
      <w:r>
        <w:rPr>
          <w:rFonts w:hint="eastAsia" w:ascii="Times New Roman" w:hAnsi="Times New Roman"/>
          <w:b/>
          <w:color w:val="000000"/>
          <w:kern w:val="0"/>
          <w:sz w:val="24"/>
          <w:szCs w:val="24"/>
        </w:rPr>
        <w:t>报告期末按行业分类的股票投资组合</w:t>
      </w: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10"/>
        <w:tblW w:w="0" w:type="auto"/>
        <w:tblInd w:w="108" w:type="dxa"/>
        <w:tblLayout w:type="fixed"/>
        <w:tblCellMar>
          <w:top w:w="0" w:type="dxa"/>
          <w:left w:w="108" w:type="dxa"/>
          <w:bottom w:w="0" w:type="dxa"/>
          <w:right w:w="108" w:type="dxa"/>
        </w:tblCellMar>
      </w:tblPr>
      <w:tblGrid>
        <w:gridCol w:w="662"/>
        <w:gridCol w:w="3973"/>
        <w:gridCol w:w="2168"/>
        <w:gridCol w:w="2167"/>
      </w:tblGrid>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代码</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行业类别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占基金资产净值比例</w:t>
            </w:r>
            <w:r>
              <w:rPr>
                <w:rFonts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A</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农、林、牧、渔业</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B</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采矿业</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873,000.00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0.11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C</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制造业</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8,157,416.58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D</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电力、热力、燃气及水生产和供应业</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E</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建筑业</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2,591,402.23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0.33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F</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批发和零售业</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G</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交通运输、仓储和邮政业</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961,400.00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0.12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H</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住宿和餐饮业</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I</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信息传输、软件和信息技术服务业</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2,197,560.00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0.28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J</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金融业</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25,304,440.00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3.18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K</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房地产业</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2,279,080.00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0.29</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L</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租赁和商务服务业</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M</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科学研究和技术服务业</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N</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水利、环境和公共设施管理业</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973,000.00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0.12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O</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居民服务、修理和其他服务业</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P</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教育</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Q</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卫生和社会工作</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R</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文化、体育和娱乐业</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1,568,030.00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0.20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S</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综合</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44,905,328.81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5.65</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32" w:name="_Toc477955743"/>
      <w:r>
        <w:rPr>
          <w:rFonts w:ascii="Times New Roman" w:hAnsi="Times New Roman"/>
          <w:b/>
          <w:color w:val="000000"/>
          <w:kern w:val="0"/>
          <w:sz w:val="24"/>
          <w:szCs w:val="24"/>
        </w:rPr>
        <w:t xml:space="preserve">8.3 </w:t>
      </w:r>
      <w:r>
        <w:rPr>
          <w:rFonts w:hint="eastAsia" w:ascii="Times New Roman" w:hAnsi="Times New Roman"/>
          <w:b/>
          <w:color w:val="000000"/>
          <w:kern w:val="0"/>
          <w:sz w:val="24"/>
          <w:szCs w:val="24"/>
        </w:rPr>
        <w:t>期末按公允价值占基金资产净值比例大小排序的所有股票投资明细</w:t>
      </w:r>
      <w:bookmarkEnd w:id="32"/>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10"/>
        <w:tblW w:w="0" w:type="auto"/>
        <w:tblInd w:w="108" w:type="dxa"/>
        <w:tblLayout w:type="fixed"/>
        <w:tblCellMar>
          <w:top w:w="0" w:type="dxa"/>
          <w:left w:w="108" w:type="dxa"/>
          <w:bottom w:w="0" w:type="dxa"/>
          <w:right w:w="108" w:type="dxa"/>
        </w:tblCellMar>
      </w:tblPr>
      <w:tblGrid>
        <w:gridCol w:w="662"/>
        <w:gridCol w:w="1084"/>
        <w:gridCol w:w="1806"/>
        <w:gridCol w:w="1445"/>
        <w:gridCol w:w="2167"/>
        <w:gridCol w:w="1806"/>
      </w:tblGrid>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序号</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股票代码</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股票名称</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数量（股）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公允价值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占基金资产净值比例（％）</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002673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西部证券</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2,077,000.00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601288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农业银行</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650,000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2,015,000.00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002594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比亚迪</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35,000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1,738,800.00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002739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万达院线</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1,568,030.00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600030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中信证券</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92,000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1,477,520.00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0.19</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601601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中国太保</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1,388,500.00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002736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国信证券</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87,000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1,352,850.00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000895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双汇发展</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64,000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1,339,520.00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600340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华夏幸福</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56,000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1,338,400.00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601688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华泰证券</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1,321,640.00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000776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广发证券</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78,000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1,315,080.00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601198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东兴证券</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65,000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1,303,900.00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300059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东方财富</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72,000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1,218,960.00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601390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中国中铁</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116,000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1,027,760.00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600398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海澜之家</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95,000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1,025,050.00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601669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中国电建</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1,016,400.00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601398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工商银行</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1,014,300.00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600999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招商证券</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62,000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1,012,460.00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000001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平安银行</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1,001,000.00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600061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国投安信</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64,000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999,040.00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600111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北方稀土</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81,000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993,870.00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601318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中国平安</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28,000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992,040.00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002304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洋河股份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988,400.00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601939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建设银行</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979,200.00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600637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东方明珠</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42,000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978,600.00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000069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华侨城Ａ</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973,000.00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601018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宁波港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961,400.00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002415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海康威视</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952,400.00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600606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绿地控股</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108,000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940,680.00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000166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申万宏源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937,500.00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600705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中航资本</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918,000.00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601901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方正证券</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912,000.00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000750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国海证券</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906,100.00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601225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陕西煤业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873,000.00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600485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信威集团</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57,000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832,200.00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601328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交通银行</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96,000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553,920.00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600837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海通证券</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35,000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551,250.00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浦发银行</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34,000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551,140.00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601818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光大银行</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547,400.00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601377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兴业证券</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71,000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543,150.00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中国交建</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35,000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531,650.00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601788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光大证券</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33,000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527,670.00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601375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中原证券</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26,695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106,780.00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603298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杭叉集团</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3,641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88,403.48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603218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日月股份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1,652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68,805.80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603416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信捷电气</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1,076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53,886.08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603886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元祖股份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2,241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39,665.70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603239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浙江仙通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924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29,059.80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603929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亚翔集成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2,193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15,592.23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300591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万里马</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2,396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7,355.72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33" w:name="_Toc477955744"/>
      <w:r>
        <w:rPr>
          <w:rFonts w:ascii="Times New Roman" w:hAnsi="Times New Roman"/>
          <w:b/>
          <w:color w:val="000000"/>
          <w:kern w:val="0"/>
          <w:sz w:val="24"/>
          <w:szCs w:val="24"/>
        </w:rPr>
        <w:t xml:space="preserve">8.4 </w:t>
      </w:r>
      <w:r>
        <w:rPr>
          <w:rFonts w:hint="eastAsia" w:ascii="Times New Roman" w:hAnsi="Times New Roman"/>
          <w:b/>
          <w:color w:val="000000"/>
          <w:kern w:val="0"/>
          <w:sz w:val="24"/>
          <w:szCs w:val="24"/>
        </w:rPr>
        <w:t>报告期内股票投资组合的重大变动</w:t>
      </w:r>
      <w:bookmarkEnd w:id="33"/>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8.4.1 </w:t>
      </w:r>
      <w:r>
        <w:rPr>
          <w:rFonts w:hint="eastAsia" w:ascii="Times New Roman" w:hAnsi="Times New Roman"/>
          <w:b/>
          <w:color w:val="000000"/>
          <w:kern w:val="0"/>
          <w:sz w:val="24"/>
          <w:szCs w:val="24"/>
        </w:rPr>
        <w:t>累计买入金额超出期末基金资产净值</w:t>
      </w:r>
      <w:r>
        <w:rPr>
          <w:rFonts w:ascii="Times New Roman" w:hAnsi="Times New Roman"/>
          <w:b/>
          <w:color w:val="000000"/>
          <w:kern w:val="0"/>
          <w:sz w:val="24"/>
          <w:szCs w:val="24"/>
        </w:rPr>
        <w:t>2%</w:t>
      </w:r>
      <w:r>
        <w:rPr>
          <w:rFonts w:hint="eastAsia" w:ascii="Times New Roman" w:hAnsi="Times New Roman"/>
          <w:b/>
          <w:color w:val="000000"/>
          <w:kern w:val="0"/>
          <w:sz w:val="24"/>
          <w:szCs w:val="24"/>
        </w:rPr>
        <w:t>或前</w:t>
      </w:r>
      <w:r>
        <w:rPr>
          <w:rFonts w:ascii="Times New Roman" w:hAnsi="Times New Roman"/>
          <w:b/>
          <w:color w:val="000000"/>
          <w:kern w:val="0"/>
          <w:sz w:val="24"/>
          <w:szCs w:val="24"/>
        </w:rPr>
        <w:t>20</w:t>
      </w:r>
      <w:r>
        <w:rPr>
          <w:rFonts w:hint="eastAsia" w:ascii="Times New Roman" w:hAnsi="Times New Roman"/>
          <w:b/>
          <w:color w:val="000000"/>
          <w:kern w:val="0"/>
          <w:sz w:val="24"/>
          <w:szCs w:val="24"/>
        </w:rPr>
        <w:t>名的股票明细</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10"/>
        <w:tblW w:w="0" w:type="auto"/>
        <w:tblInd w:w="108" w:type="dxa"/>
        <w:tblLayout w:type="fixed"/>
        <w:tblCellMar>
          <w:top w:w="0" w:type="dxa"/>
          <w:left w:w="108" w:type="dxa"/>
          <w:bottom w:w="0" w:type="dxa"/>
          <w:right w:w="108" w:type="dxa"/>
        </w:tblCellMar>
      </w:tblPr>
      <w:tblGrid>
        <w:gridCol w:w="662"/>
        <w:gridCol w:w="1084"/>
        <w:gridCol w:w="1806"/>
        <w:gridCol w:w="2528"/>
        <w:gridCol w:w="2890"/>
      </w:tblGrid>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序号</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股票代码</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股票名称</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本期累计买入金额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占期末基金资产净值比例</w:t>
            </w:r>
            <w:r>
              <w:rPr>
                <w:rFonts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601398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工商银行</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22,060,700.00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2.78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601939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建设银行</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20,980,600.00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002673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西部证券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2,998,000.00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300059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东方财富</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2,508,000.00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000776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广发证券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2,504,700.00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002739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万达院线</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2,502,520.00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600606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绿地控股</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2,044,700.00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601288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农业银行</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2,028,700.00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002736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国信证券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2,008,500.00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002415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海康威视</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2,008,000.00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002027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分众传媒</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2,004,300.00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002594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比亚迪</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1,998,420.00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002500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山西证券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1,998,050.00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002236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大华股份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1,988,000.00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601901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方正证券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1,580,324.00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600048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保利地产</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1,561,100.00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600030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中信证券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1,557,140.00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601669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中国电建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1,554,800.00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600111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北方稀土</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1,554,280.00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600398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海澜之家</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1,549,293.00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0.20</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注：本期累计买入金额按买卖成交金额</w:t>
      </w:r>
      <w:r>
        <w:rPr>
          <w:rFonts w:ascii="Times New Roman" w:hAnsi="Times New Roman"/>
          <w:color w:val="000000"/>
          <w:kern w:val="0"/>
          <w:szCs w:val="24"/>
        </w:rPr>
        <w:t>,</w:t>
      </w:r>
      <w:r>
        <w:rPr>
          <w:rFonts w:hint="eastAsia" w:ascii="Times New Roman" w:hAnsi="Times New Roman"/>
          <w:color w:val="000000"/>
          <w:kern w:val="0"/>
          <w:szCs w:val="24"/>
        </w:rPr>
        <w:t>不考虑相关交易费用。</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8.4.2 </w:t>
      </w:r>
      <w:r>
        <w:rPr>
          <w:rFonts w:hint="eastAsia" w:ascii="Times New Roman" w:hAnsi="Times New Roman"/>
          <w:b/>
          <w:color w:val="000000"/>
          <w:kern w:val="0"/>
          <w:sz w:val="24"/>
          <w:szCs w:val="24"/>
        </w:rPr>
        <w:t>累计卖出金额超出期末基金资产净值</w:t>
      </w:r>
      <w:r>
        <w:rPr>
          <w:rFonts w:ascii="Times New Roman" w:hAnsi="Times New Roman"/>
          <w:b/>
          <w:color w:val="000000"/>
          <w:kern w:val="0"/>
          <w:sz w:val="24"/>
          <w:szCs w:val="24"/>
        </w:rPr>
        <w:t>2%</w:t>
      </w:r>
      <w:r>
        <w:rPr>
          <w:rFonts w:hint="eastAsia" w:ascii="Times New Roman" w:hAnsi="Times New Roman"/>
          <w:b/>
          <w:color w:val="000000"/>
          <w:kern w:val="0"/>
          <w:sz w:val="24"/>
          <w:szCs w:val="24"/>
        </w:rPr>
        <w:t>或前</w:t>
      </w:r>
      <w:r>
        <w:rPr>
          <w:rFonts w:ascii="Times New Roman" w:hAnsi="Times New Roman"/>
          <w:b/>
          <w:color w:val="000000"/>
          <w:kern w:val="0"/>
          <w:sz w:val="24"/>
          <w:szCs w:val="24"/>
        </w:rPr>
        <w:t>20</w:t>
      </w:r>
      <w:r>
        <w:rPr>
          <w:rFonts w:hint="eastAsia" w:ascii="Times New Roman" w:hAnsi="Times New Roman"/>
          <w:b/>
          <w:color w:val="000000"/>
          <w:kern w:val="0"/>
          <w:sz w:val="24"/>
          <w:szCs w:val="24"/>
        </w:rPr>
        <w:t>名的股票明细</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10"/>
        <w:tblW w:w="0" w:type="auto"/>
        <w:tblInd w:w="108" w:type="dxa"/>
        <w:tblLayout w:type="fixed"/>
        <w:tblCellMar>
          <w:top w:w="0" w:type="dxa"/>
          <w:left w:w="108" w:type="dxa"/>
          <w:bottom w:w="0" w:type="dxa"/>
          <w:right w:w="108" w:type="dxa"/>
        </w:tblCellMar>
      </w:tblPr>
      <w:tblGrid>
        <w:gridCol w:w="662"/>
        <w:gridCol w:w="1084"/>
        <w:gridCol w:w="1806"/>
        <w:gridCol w:w="2528"/>
        <w:gridCol w:w="2890"/>
      </w:tblGrid>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序号</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股票代码</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股票名称</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本期累计卖出金额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占期末基金资产净值比例</w:t>
            </w:r>
            <w:r>
              <w:rPr>
                <w:rFonts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601398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工商银行</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20,984,200.00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601939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建设银行</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19,890,400.00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002027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分众传媒</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2,115,600.00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002236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大华股份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1,971,889.34</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600048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保利地产</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1,723,450.00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0.22</w:t>
            </w:r>
          </w:p>
        </w:tc>
      </w:tr>
      <w:tr>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002500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山西证券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1,672,743.00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000858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五</w:t>
            </w: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粮</w:t>
            </w: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液</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1,590,950.00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000333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美的集团</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1,520,400.00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0.19</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300070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碧水源</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1,489,420.00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0.19</w:t>
            </w:r>
          </w:p>
        </w:tc>
      </w:tr>
      <w:tr>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000686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东北证券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1,340,700.00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0.17</w:t>
            </w:r>
          </w:p>
        </w:tc>
      </w:tr>
      <w:tr>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000728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国元证券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1,300,000.00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000783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长江证券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1,296,640.00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601211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国泰君安</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1,147,700.00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601628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中国人寿</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1,145,465.97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601111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中国国航</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1,117,160.00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300059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东方财富</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1,100,000.00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600886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国投电力</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1,090,490.00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600958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东方证券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1,088,267.00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600606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绿地控股</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1,079,700.00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000063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中兴通讯</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1,078,053.61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0.14</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注：本期累计卖出金额按买卖成交金额</w:t>
      </w:r>
      <w:r>
        <w:rPr>
          <w:rFonts w:ascii="Times New Roman" w:hAnsi="Times New Roman"/>
          <w:color w:val="000000"/>
          <w:kern w:val="0"/>
          <w:szCs w:val="24"/>
        </w:rPr>
        <w:t>,</w:t>
      </w:r>
      <w:r>
        <w:rPr>
          <w:rFonts w:hint="eastAsia" w:ascii="Times New Roman" w:hAnsi="Times New Roman"/>
          <w:color w:val="000000"/>
          <w:kern w:val="0"/>
          <w:szCs w:val="24"/>
        </w:rPr>
        <w:t>不考虑相关交易费用。</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8.4.3 </w:t>
      </w:r>
      <w:r>
        <w:rPr>
          <w:rFonts w:hint="eastAsia" w:ascii="Times New Roman" w:hAnsi="Times New Roman"/>
          <w:b/>
          <w:color w:val="000000"/>
          <w:kern w:val="0"/>
          <w:sz w:val="24"/>
          <w:szCs w:val="24"/>
        </w:rPr>
        <w:t>买入股票的成本总额及卖出股票的收入总额</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10"/>
        <w:tblW w:w="0" w:type="auto"/>
        <w:tblInd w:w="108" w:type="dxa"/>
        <w:tblLayout w:type="fixed"/>
        <w:tblCellMar>
          <w:top w:w="0" w:type="dxa"/>
          <w:left w:w="108" w:type="dxa"/>
          <w:bottom w:w="0" w:type="dxa"/>
          <w:right w:w="108" w:type="dxa"/>
        </w:tblCellMar>
      </w:tblPr>
      <w:tblGrid>
        <w:gridCol w:w="3552"/>
        <w:gridCol w:w="5418"/>
      </w:tblGrid>
      <w:tr>
        <w:tblPrEx>
          <w:tblCellMar>
            <w:top w:w="0" w:type="dxa"/>
            <w:left w:w="108" w:type="dxa"/>
            <w:bottom w:w="0" w:type="dxa"/>
            <w:right w:w="108" w:type="dxa"/>
          </w:tblCellMar>
        </w:tblPrEx>
        <w:trPr>
          <w:wBefore w:w="0" w:type="auto"/>
        </w:trPr>
        <w:tc>
          <w:tcPr>
            <w:tcW w:w="35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买入股票成本（成交）总额</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158,382,140.42</w:t>
            </w:r>
          </w:p>
        </w:tc>
      </w:tr>
      <w:tr>
        <w:tblPrEx>
          <w:tblCellMar>
            <w:top w:w="0" w:type="dxa"/>
            <w:left w:w="108" w:type="dxa"/>
            <w:bottom w:w="0" w:type="dxa"/>
            <w:right w:w="108" w:type="dxa"/>
          </w:tblCellMar>
        </w:tblPrEx>
        <w:trPr>
          <w:wBefore w:w="0" w:type="auto"/>
        </w:trPr>
        <w:tc>
          <w:tcPr>
            <w:tcW w:w="35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卖出股票收入（成交）总额</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111,186,828.04</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注：买入股票成本、卖出股票收入均按买卖成交金额填列，不考虑相关交易费用。</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34" w:name="_Toc477955745"/>
      <w:r>
        <w:rPr>
          <w:rFonts w:ascii="Times New Roman" w:hAnsi="Times New Roman"/>
          <w:b/>
          <w:color w:val="000000"/>
          <w:kern w:val="0"/>
          <w:sz w:val="24"/>
          <w:szCs w:val="24"/>
        </w:rPr>
        <w:t xml:space="preserve">8.5 </w:t>
      </w:r>
      <w:r>
        <w:rPr>
          <w:rFonts w:hint="eastAsia" w:ascii="Times New Roman" w:hAnsi="Times New Roman"/>
          <w:b/>
          <w:color w:val="000000"/>
          <w:kern w:val="0"/>
          <w:sz w:val="24"/>
          <w:szCs w:val="24"/>
        </w:rPr>
        <w:t>期末按债券品种分类的债券投资组合</w:t>
      </w:r>
      <w:bookmarkEnd w:id="34"/>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10"/>
        <w:tblW w:w="0" w:type="auto"/>
        <w:tblInd w:w="108" w:type="dxa"/>
        <w:tblLayout w:type="fixed"/>
        <w:tblCellMar>
          <w:top w:w="0" w:type="dxa"/>
          <w:left w:w="108" w:type="dxa"/>
          <w:bottom w:w="0" w:type="dxa"/>
          <w:right w:w="108" w:type="dxa"/>
        </w:tblCellMar>
      </w:tblPr>
      <w:tblGrid>
        <w:gridCol w:w="662"/>
        <w:gridCol w:w="4335"/>
        <w:gridCol w:w="2167"/>
        <w:gridCol w:w="1806"/>
      </w:tblGrid>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序号</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债券品种</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公允价值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占基金资产净值比例（％）</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国家债券</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央行票据</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金融债券</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234,356,000.00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29.49</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其中：政策性金融债</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234,356,000.00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29.49</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企业债券</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39,568,000.00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4.98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企业短期融资券</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中期票据</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639,589,000.00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80.49</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可转债</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8,369.60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同业存单</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48,190,000.00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其他</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961,711,369.60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121.02</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35" w:name="_Toc477955746"/>
      <w:r>
        <w:rPr>
          <w:rFonts w:ascii="Times New Roman" w:hAnsi="Times New Roman"/>
          <w:b/>
          <w:color w:val="000000"/>
          <w:kern w:val="0"/>
          <w:sz w:val="24"/>
          <w:szCs w:val="24"/>
        </w:rPr>
        <w:t xml:space="preserve">8.6 </w:t>
      </w:r>
      <w:r>
        <w:rPr>
          <w:rFonts w:hint="eastAsia" w:ascii="Times New Roman" w:hAnsi="Times New Roman"/>
          <w:b/>
          <w:color w:val="000000"/>
          <w:kern w:val="0"/>
          <w:sz w:val="24"/>
          <w:szCs w:val="24"/>
        </w:rPr>
        <w:t>期末按公允价值占基金资产净值比例大小排序的前五名债券投资明细</w:t>
      </w:r>
      <w:bookmarkEnd w:id="35"/>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10"/>
        <w:tblW w:w="0" w:type="auto"/>
        <w:tblInd w:w="108" w:type="dxa"/>
        <w:tblLayout w:type="fixed"/>
        <w:tblCellMar>
          <w:top w:w="0" w:type="dxa"/>
          <w:left w:w="108" w:type="dxa"/>
          <w:bottom w:w="0" w:type="dxa"/>
          <w:right w:w="108" w:type="dxa"/>
        </w:tblCellMar>
      </w:tblPr>
      <w:tblGrid>
        <w:gridCol w:w="662"/>
        <w:gridCol w:w="1445"/>
        <w:gridCol w:w="1445"/>
        <w:gridCol w:w="1806"/>
        <w:gridCol w:w="1806"/>
        <w:gridCol w:w="1806"/>
      </w:tblGrid>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序号</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债券代码</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债券名称</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数量（张）</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公允价值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占基金资产净值比例</w:t>
            </w:r>
            <w:r>
              <w:rPr>
                <w:rFonts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160418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16</w:t>
            </w:r>
            <w:r>
              <w:rPr>
                <w:rFonts w:hint="eastAsia" w:ascii="Times New Roman" w:hAnsi="Times New Roman"/>
                <w:color w:val="000000"/>
                <w:kern w:val="0"/>
                <w:sz w:val="24"/>
                <w:szCs w:val="24"/>
              </w:rPr>
              <w:t>农发</w:t>
            </w:r>
            <w:r>
              <w:rPr>
                <w:rFonts w:ascii="Times New Roman" w:hAnsi="Times New Roman"/>
                <w:color w:val="000000"/>
                <w:kern w:val="0"/>
                <w:sz w:val="24"/>
                <w:szCs w:val="24"/>
              </w:rPr>
              <w:t>18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88,281,000.00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11.11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160210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16</w:t>
            </w:r>
            <w:r>
              <w:rPr>
                <w:rFonts w:hint="eastAsia" w:ascii="Times New Roman" w:hAnsi="Times New Roman"/>
                <w:color w:val="000000"/>
                <w:kern w:val="0"/>
                <w:sz w:val="24"/>
                <w:szCs w:val="24"/>
              </w:rPr>
              <w:t>国开</w:t>
            </w:r>
            <w:r>
              <w:rPr>
                <w:rFonts w:ascii="Times New Roman" w:hAnsi="Times New Roman"/>
                <w:color w:val="000000"/>
                <w:kern w:val="0"/>
                <w:sz w:val="24"/>
                <w:szCs w:val="24"/>
              </w:rPr>
              <w:t>10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57,702,000.00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7.26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1382056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13</w:t>
            </w:r>
            <w:r>
              <w:rPr>
                <w:rFonts w:hint="eastAsia" w:ascii="Times New Roman" w:hAnsi="Times New Roman"/>
                <w:color w:val="000000"/>
                <w:kern w:val="0"/>
                <w:sz w:val="24"/>
                <w:szCs w:val="24"/>
              </w:rPr>
              <w:t>北车集</w:t>
            </w:r>
            <w:r>
              <w:rPr>
                <w:rFonts w:ascii="Times New Roman" w:hAnsi="Times New Roman"/>
                <w:color w:val="000000"/>
                <w:kern w:val="0"/>
                <w:sz w:val="24"/>
                <w:szCs w:val="24"/>
              </w:rPr>
              <w:t>MTN1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50,975,000.00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6.41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1382314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13</w:t>
            </w:r>
            <w:r>
              <w:rPr>
                <w:rFonts w:hint="eastAsia" w:ascii="Times New Roman" w:hAnsi="Times New Roman"/>
                <w:color w:val="000000"/>
                <w:kern w:val="0"/>
                <w:sz w:val="24"/>
                <w:szCs w:val="24"/>
              </w:rPr>
              <w:t>津港股</w:t>
            </w:r>
            <w:r>
              <w:rPr>
                <w:rFonts w:ascii="Times New Roman" w:hAnsi="Times New Roman"/>
                <w:color w:val="000000"/>
                <w:kern w:val="0"/>
                <w:sz w:val="24"/>
                <w:szCs w:val="24"/>
              </w:rPr>
              <w:t>MTN3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50,795,000.00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6.39</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140225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14</w:t>
            </w:r>
            <w:r>
              <w:rPr>
                <w:rFonts w:hint="eastAsia" w:ascii="Times New Roman" w:hAnsi="Times New Roman"/>
                <w:color w:val="000000"/>
                <w:kern w:val="0"/>
                <w:sz w:val="24"/>
                <w:szCs w:val="24"/>
              </w:rPr>
              <w:t>国开</w:t>
            </w:r>
            <w:r>
              <w:rPr>
                <w:rFonts w:ascii="Times New Roman" w:hAnsi="Times New Roman"/>
                <w:color w:val="000000"/>
                <w:kern w:val="0"/>
                <w:sz w:val="24"/>
                <w:szCs w:val="24"/>
              </w:rPr>
              <w:t>25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50,385,000.00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6.34</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36" w:name="_Toc477955747"/>
      <w:r>
        <w:rPr>
          <w:rFonts w:ascii="Times New Roman" w:hAnsi="Times New Roman"/>
          <w:b/>
          <w:color w:val="000000"/>
          <w:kern w:val="0"/>
          <w:sz w:val="24"/>
          <w:szCs w:val="24"/>
        </w:rPr>
        <w:t xml:space="preserve">8.7 </w:t>
      </w:r>
      <w:r>
        <w:rPr>
          <w:rFonts w:hint="eastAsia" w:ascii="Times New Roman" w:hAnsi="Times New Roman"/>
          <w:b/>
          <w:color w:val="000000"/>
          <w:kern w:val="0"/>
          <w:sz w:val="24"/>
          <w:szCs w:val="24"/>
        </w:rPr>
        <w:t>期末按公允价值占基金资产净值比例大小排序的所有资产支持证券投资明细</w:t>
      </w:r>
      <w:bookmarkEnd w:id="36"/>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本基金本报告期末未持有资产支持证券。</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37" w:name="_Toc477955748"/>
      <w:r>
        <w:rPr>
          <w:rFonts w:ascii="Times New Roman" w:hAnsi="Times New Roman"/>
          <w:b/>
          <w:color w:val="000000"/>
          <w:kern w:val="0"/>
          <w:sz w:val="24"/>
          <w:szCs w:val="24"/>
        </w:rPr>
        <w:t xml:space="preserve">8.8 </w:t>
      </w:r>
      <w:r>
        <w:rPr>
          <w:rFonts w:hint="eastAsia" w:ascii="Times New Roman" w:hAnsi="Times New Roman"/>
          <w:b/>
          <w:color w:val="000000"/>
          <w:kern w:val="0"/>
          <w:sz w:val="24"/>
          <w:szCs w:val="24"/>
        </w:rPr>
        <w:t>报告期末按公允价值占基金资产净值比例大小排序的前五名贵金属投资明细</w:t>
      </w:r>
      <w:bookmarkEnd w:id="37"/>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本基金本报告期末未持有贵金属。</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38" w:name="_Toc477955749"/>
      <w:r>
        <w:rPr>
          <w:rFonts w:ascii="Times New Roman" w:hAnsi="Times New Roman"/>
          <w:b/>
          <w:color w:val="000000"/>
          <w:kern w:val="0"/>
          <w:sz w:val="24"/>
          <w:szCs w:val="24"/>
        </w:rPr>
        <w:t xml:space="preserve">8.9 </w:t>
      </w:r>
      <w:r>
        <w:rPr>
          <w:rFonts w:hint="eastAsia" w:ascii="Times New Roman" w:hAnsi="Times New Roman"/>
          <w:b/>
          <w:color w:val="000000"/>
          <w:kern w:val="0"/>
          <w:sz w:val="24"/>
          <w:szCs w:val="24"/>
        </w:rPr>
        <w:t>期末按公允价值占基金资产净值比例大小排序的前五名权证投资明细</w:t>
      </w:r>
      <w:bookmarkEnd w:id="38"/>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本基金本报告期末未持有权证。</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39" w:name="_Toc477955750"/>
      <w:r>
        <w:rPr>
          <w:rFonts w:ascii="Times New Roman" w:hAnsi="Times New Roman"/>
          <w:b/>
          <w:color w:val="000000"/>
          <w:kern w:val="0"/>
          <w:sz w:val="24"/>
          <w:szCs w:val="24"/>
        </w:rPr>
        <w:t xml:space="preserve">8.10 </w:t>
      </w:r>
      <w:r>
        <w:rPr>
          <w:rFonts w:hint="eastAsia" w:ascii="Times New Roman" w:hAnsi="Times New Roman"/>
          <w:b/>
          <w:color w:val="000000"/>
          <w:kern w:val="0"/>
          <w:sz w:val="24"/>
          <w:szCs w:val="24"/>
        </w:rPr>
        <w:t>报告期末本基金投资的股指期货交易情况说明</w:t>
      </w:r>
      <w:bookmarkEnd w:id="39"/>
    </w:p>
    <w:p>
      <w:pPr>
        <w:autoSpaceDE w:val="0"/>
        <w:autoSpaceDN w:val="0"/>
        <w:adjustRightInd w:val="0"/>
        <w:spacing w:before="29" w:line="288" w:lineRule="auto"/>
        <w:ind w:left="15"/>
        <w:jc w:val="left"/>
        <w:rPr>
          <w:rFonts w:ascii="Times New Roman" w:hAnsi="Times New Roman"/>
          <w:b/>
          <w:color w:val="000000"/>
          <w:kern w:val="0"/>
          <w:sz w:val="24"/>
          <w:szCs w:val="24"/>
        </w:rPr>
      </w:pP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本基金本报告期未投资股指期货。</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40" w:name="_Toc477955751"/>
      <w:r>
        <w:rPr>
          <w:rFonts w:ascii="Times New Roman" w:hAnsi="Times New Roman"/>
          <w:b/>
          <w:color w:val="000000"/>
          <w:kern w:val="0"/>
          <w:sz w:val="24"/>
          <w:szCs w:val="24"/>
        </w:rPr>
        <w:t xml:space="preserve">8.11 </w:t>
      </w:r>
      <w:r>
        <w:rPr>
          <w:rFonts w:hint="eastAsia" w:ascii="Times New Roman" w:hAnsi="Times New Roman"/>
          <w:b/>
          <w:color w:val="000000"/>
          <w:kern w:val="0"/>
          <w:sz w:val="24"/>
          <w:szCs w:val="24"/>
        </w:rPr>
        <w:t>报告期末本基金投资的国债期货交易情况说明</w:t>
      </w:r>
      <w:bookmarkEnd w:id="40"/>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本基金本报告期未投资国债期货。</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41" w:name="_Toc477955752"/>
      <w:r>
        <w:rPr>
          <w:rFonts w:ascii="Times New Roman" w:hAnsi="Times New Roman"/>
          <w:b/>
          <w:color w:val="000000"/>
          <w:kern w:val="0"/>
          <w:sz w:val="24"/>
          <w:szCs w:val="24"/>
        </w:rPr>
        <w:t xml:space="preserve">8.12 </w:t>
      </w:r>
      <w:r>
        <w:rPr>
          <w:rFonts w:hint="eastAsia" w:ascii="Times New Roman" w:hAnsi="Times New Roman"/>
          <w:b/>
          <w:color w:val="000000"/>
          <w:kern w:val="0"/>
          <w:sz w:val="24"/>
          <w:szCs w:val="24"/>
        </w:rPr>
        <w:t>投资组合报告附注</w:t>
      </w:r>
      <w:bookmarkEnd w:id="41"/>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8.12.1</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本报告期内基金投资的前十名证券发行主体未被监管部门立案调查，也未在编制日前一年内受到公开谴责和处罚。</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8.12.2</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本报告期内基金投资的前十名股票未超出基金合同规定的备选股票库。</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8.12.3 </w:t>
      </w:r>
      <w:r>
        <w:rPr>
          <w:rFonts w:hint="eastAsia" w:ascii="Times New Roman" w:hAnsi="Times New Roman"/>
          <w:b/>
          <w:color w:val="000000"/>
          <w:kern w:val="0"/>
          <w:sz w:val="24"/>
          <w:szCs w:val="24"/>
        </w:rPr>
        <w:t>期末其他各项资产构成</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10"/>
        <w:tblW w:w="0" w:type="auto"/>
        <w:tblInd w:w="108" w:type="dxa"/>
        <w:tblLayout w:type="fixed"/>
        <w:tblCellMar>
          <w:top w:w="0" w:type="dxa"/>
          <w:left w:w="108" w:type="dxa"/>
          <w:bottom w:w="0" w:type="dxa"/>
          <w:right w:w="108" w:type="dxa"/>
        </w:tblCellMar>
      </w:tblPr>
      <w:tblGrid>
        <w:gridCol w:w="662"/>
        <w:gridCol w:w="4335"/>
        <w:gridCol w:w="3973"/>
      </w:tblGrid>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序号</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名称</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金额</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存出保证金</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141,348.67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应收证券清算款</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6,357,114.48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应收股利</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应收利息</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18,104,008.88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应收申购款</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其他应收款</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待摊费用</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其他</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24,602,472.03</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8.12.4 </w:t>
      </w:r>
      <w:r>
        <w:rPr>
          <w:rFonts w:hint="eastAsia" w:ascii="Times New Roman" w:hAnsi="Times New Roman"/>
          <w:b/>
          <w:color w:val="000000"/>
          <w:kern w:val="0"/>
          <w:sz w:val="24"/>
          <w:szCs w:val="24"/>
        </w:rPr>
        <w:t>期末持有的处于转股期的可转换债券明细</w:t>
      </w:r>
    </w:p>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 w:val="24"/>
          <w:szCs w:val="24"/>
        </w:rPr>
        <w:t>本基金本报告期末未持有处于转股期的可转换债券。</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8.12.5 </w:t>
      </w:r>
      <w:r>
        <w:rPr>
          <w:rFonts w:hint="eastAsia" w:ascii="Times New Roman" w:hAnsi="Times New Roman"/>
          <w:b/>
          <w:color w:val="000000"/>
          <w:kern w:val="0"/>
          <w:sz w:val="24"/>
          <w:szCs w:val="24"/>
        </w:rPr>
        <w:t>期末前十名股票中存在流通受限情况的说明</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本基金本报告期末前十名股票不存在流通受限的情况。</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center"/>
        <w:outlineLvl w:val="0"/>
        <w:rPr>
          <w:rFonts w:ascii="Times New Roman" w:hAnsi="Times New Roman"/>
          <w:b/>
          <w:color w:val="000000"/>
          <w:kern w:val="0"/>
          <w:sz w:val="24"/>
          <w:szCs w:val="24"/>
        </w:rPr>
      </w:pPr>
      <w:bookmarkStart w:id="42" w:name="_Toc477955753"/>
      <w:r>
        <w:rPr>
          <w:rFonts w:hint="eastAsia" w:ascii="Times New Roman" w:hAnsi="Times New Roman"/>
          <w:b/>
          <w:color w:val="000000"/>
          <w:kern w:val="0"/>
          <w:sz w:val="24"/>
          <w:szCs w:val="24"/>
        </w:rPr>
        <w:t>§</w:t>
      </w:r>
      <w:r>
        <w:rPr>
          <w:rFonts w:ascii="Times New Roman" w:hAnsi="Times New Roman"/>
          <w:b/>
          <w:color w:val="000000"/>
          <w:kern w:val="0"/>
          <w:sz w:val="24"/>
          <w:szCs w:val="24"/>
        </w:rPr>
        <w:t xml:space="preserve">9 </w:t>
      </w:r>
      <w:r>
        <w:rPr>
          <w:rFonts w:hint="eastAsia" w:ascii="Times New Roman" w:hAnsi="Times New Roman"/>
          <w:b/>
          <w:color w:val="000000"/>
          <w:kern w:val="0"/>
          <w:sz w:val="24"/>
          <w:szCs w:val="24"/>
        </w:rPr>
        <w:t>基金份额持有人信息</w:t>
      </w:r>
      <w:bookmarkEnd w:id="42"/>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43" w:name="_Toc477955754"/>
      <w:r>
        <w:rPr>
          <w:rFonts w:ascii="Times New Roman" w:hAnsi="Times New Roman"/>
          <w:b/>
          <w:color w:val="000000"/>
          <w:kern w:val="0"/>
          <w:sz w:val="24"/>
          <w:szCs w:val="24"/>
        </w:rPr>
        <w:t xml:space="preserve">9.1 </w:t>
      </w:r>
      <w:r>
        <w:rPr>
          <w:rFonts w:hint="eastAsia" w:ascii="Times New Roman" w:hAnsi="Times New Roman"/>
          <w:b/>
          <w:color w:val="000000"/>
          <w:kern w:val="0"/>
          <w:sz w:val="24"/>
          <w:szCs w:val="24"/>
        </w:rPr>
        <w:t>期末基金份额持有人户数及持有人结构</w:t>
      </w:r>
      <w:bookmarkEnd w:id="43"/>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份额单位：份</w:t>
      </w:r>
    </w:p>
    <w:tbl>
      <w:tblPr>
        <w:tblStyle w:val="10"/>
        <w:tblW w:w="0" w:type="auto"/>
        <w:tblInd w:w="108" w:type="dxa"/>
        <w:tblLayout w:type="fixed"/>
        <w:tblCellMar>
          <w:top w:w="0" w:type="dxa"/>
          <w:left w:w="108" w:type="dxa"/>
          <w:bottom w:w="0" w:type="dxa"/>
          <w:right w:w="108" w:type="dxa"/>
        </w:tblCellMar>
      </w:tblPr>
      <w:tblGrid>
        <w:gridCol w:w="1023"/>
        <w:gridCol w:w="1445"/>
        <w:gridCol w:w="1445"/>
        <w:gridCol w:w="1445"/>
        <w:gridCol w:w="1083"/>
        <w:gridCol w:w="1445"/>
        <w:gridCol w:w="1084"/>
      </w:tblGrid>
      <w:tr>
        <w:tblPrEx>
          <w:tblCellMar>
            <w:top w:w="0" w:type="dxa"/>
            <w:left w:w="108" w:type="dxa"/>
            <w:bottom w:w="0" w:type="dxa"/>
            <w:right w:w="108" w:type="dxa"/>
          </w:tblCellMar>
        </w:tblPrEx>
        <w:trPr>
          <w:wBefore w:w="0" w:type="auto"/>
        </w:trPr>
        <w:tc>
          <w:tcPr>
            <w:tcW w:w="1023"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份额</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级别</w:t>
            </w:r>
          </w:p>
        </w:tc>
        <w:tc>
          <w:tcPr>
            <w:tcW w:w="1445"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持有人户数</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w:t>
            </w:r>
            <w:r>
              <w:rPr>
                <w:rFonts w:hint="eastAsia" w:ascii="Times New Roman" w:hAnsi="Times New Roman"/>
                <w:color w:val="000000"/>
                <w:kern w:val="0"/>
                <w:sz w:val="24"/>
                <w:szCs w:val="24"/>
              </w:rPr>
              <w:t>户</w:t>
            </w:r>
            <w:r>
              <w:rPr>
                <w:rFonts w:ascii="Times New Roman" w:hAnsi="Times New Roman"/>
                <w:color w:val="000000"/>
                <w:kern w:val="0"/>
                <w:sz w:val="24"/>
                <w:szCs w:val="24"/>
              </w:rPr>
              <w:t>)</w:t>
            </w:r>
          </w:p>
        </w:tc>
        <w:tc>
          <w:tcPr>
            <w:tcW w:w="1445"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户均持有的基金份额</w:t>
            </w:r>
          </w:p>
        </w:tc>
        <w:tc>
          <w:tcPr>
            <w:tcW w:w="5057" w:type="dxa"/>
            <w:gridSpan w:val="4"/>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持有人结构</w:t>
            </w:r>
          </w:p>
        </w:tc>
      </w:tr>
      <w:tr>
        <w:tblPrEx>
          <w:tblCellMar>
            <w:top w:w="0" w:type="dxa"/>
            <w:left w:w="108" w:type="dxa"/>
            <w:bottom w:w="0" w:type="dxa"/>
            <w:right w:w="108" w:type="dxa"/>
          </w:tblCellMar>
        </w:tblPrEx>
        <w:trPr>
          <w:wBefore w:w="0" w:type="auto"/>
        </w:trPr>
        <w:tc>
          <w:tcPr>
            <w:tcW w:w="1023"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445"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445"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2528"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机构投资者</w:t>
            </w:r>
          </w:p>
        </w:tc>
        <w:tc>
          <w:tcPr>
            <w:tcW w:w="252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个人投资者</w:t>
            </w:r>
          </w:p>
        </w:tc>
      </w:tr>
      <w:tr>
        <w:tblPrEx>
          <w:tblCellMar>
            <w:top w:w="0" w:type="dxa"/>
            <w:left w:w="108" w:type="dxa"/>
            <w:bottom w:w="0" w:type="dxa"/>
            <w:right w:w="108" w:type="dxa"/>
          </w:tblCellMar>
        </w:tblPrEx>
        <w:trPr>
          <w:wBefore w:w="0" w:type="auto"/>
        </w:trPr>
        <w:tc>
          <w:tcPr>
            <w:tcW w:w="1023"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445"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445"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持有</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份额</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占总份额</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比例</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持有</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份额</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占总份额</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比例</w:t>
            </w:r>
          </w:p>
        </w:tc>
      </w:tr>
      <w:tr>
        <w:tblPrEx>
          <w:tblCellMar>
            <w:top w:w="0" w:type="dxa"/>
            <w:left w:w="108" w:type="dxa"/>
            <w:bottom w:w="0" w:type="dxa"/>
            <w:right w:w="108" w:type="dxa"/>
          </w:tblCellMar>
        </w:tblPrEx>
        <w:trPr>
          <w:wBefore w:w="0" w:type="auto"/>
        </w:trPr>
        <w:tc>
          <w:tcPr>
            <w:tcW w:w="10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创金合信鑫动力混合</w:t>
            </w:r>
            <w:r>
              <w:rPr>
                <w:rFonts w:ascii="Times New Roman" w:hAnsi="Times New Roman"/>
                <w:color w:val="000000"/>
                <w:kern w:val="0"/>
                <w:sz w:val="24"/>
                <w:szCs w:val="24"/>
              </w:rPr>
              <w:t>A</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259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3,089,200.81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800,012,333.33</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99.99%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90,676.77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0.01%</w:t>
            </w:r>
          </w:p>
        </w:tc>
      </w:tr>
      <w:tr>
        <w:tblPrEx>
          <w:tblCellMar>
            <w:top w:w="0" w:type="dxa"/>
            <w:left w:w="108" w:type="dxa"/>
            <w:bottom w:w="0" w:type="dxa"/>
            <w:right w:w="108" w:type="dxa"/>
          </w:tblCellMar>
        </w:tblPrEx>
        <w:trPr>
          <w:wBefore w:w="0" w:type="auto"/>
        </w:trPr>
        <w:tc>
          <w:tcPr>
            <w:tcW w:w="10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创金合信鑫动力混合</w:t>
            </w:r>
            <w:r>
              <w:rPr>
                <w:rFonts w:ascii="Times New Roman" w:hAnsi="Times New Roman"/>
                <w:color w:val="000000"/>
                <w:kern w:val="0"/>
                <w:sz w:val="24"/>
                <w:szCs w:val="24"/>
              </w:rPr>
              <w:t>C</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1,366.11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94,261.43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100.00%</w:t>
            </w:r>
          </w:p>
        </w:tc>
      </w:tr>
      <w:tr>
        <w:tblPrEx>
          <w:tblCellMar>
            <w:top w:w="0" w:type="dxa"/>
            <w:left w:w="108" w:type="dxa"/>
            <w:bottom w:w="0" w:type="dxa"/>
            <w:right w:w="108" w:type="dxa"/>
          </w:tblCellMar>
        </w:tblPrEx>
        <w:trPr>
          <w:wBefore w:w="0" w:type="auto"/>
        </w:trPr>
        <w:tc>
          <w:tcPr>
            <w:tcW w:w="10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323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2,477,390.93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800,012,333.33</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99.98%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184,938.20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0.02%</w:t>
            </w:r>
          </w:p>
        </w:tc>
      </w:tr>
    </w:tbl>
    <w:p>
      <w:pPr>
        <w:autoSpaceDE w:val="0"/>
        <w:autoSpaceDN w:val="0"/>
        <w:adjustRightInd w:val="0"/>
        <w:spacing w:line="288" w:lineRule="auto"/>
        <w:jc w:val="left"/>
        <w:rPr>
          <w:rFonts w:ascii="Times New Roman" w:hAnsi="Times New Roman"/>
          <w:color w:val="000000"/>
          <w:kern w:val="0"/>
          <w:sz w:val="24"/>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44" w:name="_Toc477955755"/>
      <w:r>
        <w:rPr>
          <w:rFonts w:ascii="Times New Roman" w:hAnsi="Times New Roman"/>
          <w:b/>
          <w:color w:val="000000"/>
          <w:kern w:val="0"/>
          <w:sz w:val="24"/>
          <w:szCs w:val="24"/>
        </w:rPr>
        <w:t xml:space="preserve">9.2 </w:t>
      </w:r>
      <w:r>
        <w:rPr>
          <w:rFonts w:hint="eastAsia" w:ascii="Times New Roman" w:hAnsi="Times New Roman"/>
          <w:b/>
          <w:color w:val="000000"/>
          <w:kern w:val="0"/>
          <w:sz w:val="24"/>
          <w:szCs w:val="24"/>
        </w:rPr>
        <w:t>期末基金管理人的从业人员持有本基金的情况</w:t>
      </w:r>
      <w:bookmarkEnd w:id="44"/>
    </w:p>
    <w:tbl>
      <w:tblPr>
        <w:tblStyle w:val="10"/>
        <w:tblW w:w="0" w:type="auto"/>
        <w:tblInd w:w="108" w:type="dxa"/>
        <w:tblLayout w:type="fixed"/>
        <w:tblCellMar>
          <w:top w:w="0" w:type="dxa"/>
          <w:left w:w="108" w:type="dxa"/>
          <w:bottom w:w="0" w:type="dxa"/>
          <w:right w:w="108" w:type="dxa"/>
        </w:tblCellMar>
      </w:tblPr>
      <w:tblGrid>
        <w:gridCol w:w="3191"/>
        <w:gridCol w:w="1444"/>
        <w:gridCol w:w="2168"/>
        <w:gridCol w:w="2167"/>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份额级别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持有份额总数（份）</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占基金总份额比例</w:t>
            </w:r>
          </w:p>
        </w:tc>
      </w:tr>
      <w:tr>
        <w:tblPrEx>
          <w:tblCellMar>
            <w:top w:w="0" w:type="dxa"/>
            <w:left w:w="108" w:type="dxa"/>
            <w:bottom w:w="0" w:type="dxa"/>
            <w:right w:w="108" w:type="dxa"/>
          </w:tblCellMar>
        </w:tblPrEx>
        <w:trPr>
          <w:wBefore w:w="0" w:type="auto"/>
        </w:trPr>
        <w:tc>
          <w:tcPr>
            <w:tcW w:w="3191"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基金管理人所有从业人员持有本基金</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创金合信鑫动力混合</w:t>
            </w:r>
            <w:r>
              <w:rPr>
                <w:rFonts w:ascii="Times New Roman" w:hAnsi="Times New Roman"/>
                <w:color w:val="000000"/>
                <w:kern w:val="0"/>
                <w:sz w:val="24"/>
                <w:szCs w:val="24"/>
              </w:rPr>
              <w:t>A</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63,793.65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0.007973%</w:t>
            </w:r>
          </w:p>
        </w:tc>
      </w:tr>
      <w:tr>
        <w:tblPrEx>
          <w:tblCellMar>
            <w:top w:w="0" w:type="dxa"/>
            <w:left w:w="108" w:type="dxa"/>
            <w:bottom w:w="0" w:type="dxa"/>
            <w:right w:w="108" w:type="dxa"/>
          </w:tblCellMar>
        </w:tblPrEx>
        <w:trPr>
          <w:wBefore w:w="0" w:type="auto"/>
        </w:trPr>
        <w:tc>
          <w:tcPr>
            <w:tcW w:w="3191"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创金合信鑫动力混合</w:t>
            </w:r>
            <w:r>
              <w:rPr>
                <w:rFonts w:ascii="Times New Roman" w:hAnsi="Times New Roman"/>
                <w:color w:val="000000"/>
                <w:kern w:val="0"/>
                <w:sz w:val="24"/>
                <w:szCs w:val="24"/>
              </w:rPr>
              <w:t>C</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2,300.00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2.440022%</w:t>
            </w:r>
          </w:p>
        </w:tc>
      </w:tr>
      <w:tr>
        <w:tblPrEx>
          <w:tblCellMar>
            <w:top w:w="0" w:type="dxa"/>
            <w:left w:w="108" w:type="dxa"/>
            <w:bottom w:w="0" w:type="dxa"/>
            <w:right w:w="108" w:type="dxa"/>
          </w:tblCellMar>
        </w:tblPrEx>
        <w:trPr>
          <w:wBefore w:w="0" w:type="auto"/>
        </w:trPr>
        <w:tc>
          <w:tcPr>
            <w:tcW w:w="3191"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66,093.65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0.008260%</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45" w:name="_Toc477955756"/>
      <w:r>
        <w:rPr>
          <w:rFonts w:ascii="Times New Roman" w:hAnsi="Times New Roman"/>
          <w:b/>
          <w:color w:val="000000"/>
          <w:kern w:val="0"/>
          <w:sz w:val="24"/>
          <w:szCs w:val="24"/>
        </w:rPr>
        <w:t xml:space="preserve">9.3 </w:t>
      </w:r>
      <w:r>
        <w:rPr>
          <w:rFonts w:hint="eastAsia" w:ascii="Times New Roman" w:hAnsi="Times New Roman"/>
          <w:b/>
          <w:color w:val="000000"/>
          <w:kern w:val="0"/>
          <w:sz w:val="24"/>
          <w:szCs w:val="24"/>
        </w:rPr>
        <w:t>期末基金管理人的从业人员持有本开放式基金份额总量区间情况</w:t>
      </w:r>
      <w:bookmarkEnd w:id="45"/>
    </w:p>
    <w:tbl>
      <w:tblPr>
        <w:tblStyle w:val="10"/>
        <w:tblW w:w="0" w:type="auto"/>
        <w:tblInd w:w="108" w:type="dxa"/>
        <w:tblLayout w:type="fixed"/>
        <w:tblCellMar>
          <w:top w:w="0" w:type="dxa"/>
          <w:left w:w="108" w:type="dxa"/>
          <w:bottom w:w="0" w:type="dxa"/>
          <w:right w:w="108" w:type="dxa"/>
        </w:tblCellMar>
      </w:tblPr>
      <w:tblGrid>
        <w:gridCol w:w="3191"/>
        <w:gridCol w:w="2167"/>
        <w:gridCol w:w="3612"/>
      </w:tblGrid>
      <w:tr>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份额级别</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持有基金份额总量的数量区间</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（万份）</w:t>
            </w:r>
          </w:p>
        </w:tc>
      </w:tr>
      <w:tr>
        <w:tblPrEx>
          <w:tblCellMar>
            <w:top w:w="0" w:type="dxa"/>
            <w:left w:w="108" w:type="dxa"/>
            <w:bottom w:w="0" w:type="dxa"/>
            <w:right w:w="108" w:type="dxa"/>
          </w:tblCellMar>
        </w:tblPrEx>
        <w:trPr>
          <w:wBefore w:w="0" w:type="auto"/>
        </w:trPr>
        <w:tc>
          <w:tcPr>
            <w:tcW w:w="3191"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本公司高级管理人员、基金投资和研究部门负责人持有本开放式基金</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创金合信鑫动力混合</w:t>
            </w:r>
            <w:r>
              <w:rPr>
                <w:rFonts w:ascii="Times New Roman" w:hAnsi="Times New Roman"/>
                <w:color w:val="000000"/>
                <w:kern w:val="0"/>
                <w:sz w:val="24"/>
                <w:szCs w:val="24"/>
              </w:rPr>
              <w:t>A</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0~10</w:t>
            </w:r>
          </w:p>
        </w:tc>
      </w:tr>
      <w:tr>
        <w:tblPrEx>
          <w:tblCellMar>
            <w:top w:w="0" w:type="dxa"/>
            <w:left w:w="108" w:type="dxa"/>
            <w:bottom w:w="0" w:type="dxa"/>
            <w:right w:w="108" w:type="dxa"/>
          </w:tblCellMar>
        </w:tblPrEx>
        <w:trPr>
          <w:wBefore w:w="0" w:type="auto"/>
        </w:trPr>
        <w:tc>
          <w:tcPr>
            <w:tcW w:w="3191"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创金合信鑫动力混合</w:t>
            </w:r>
            <w:r>
              <w:rPr>
                <w:rFonts w:ascii="Times New Roman" w:hAnsi="Times New Roman"/>
                <w:color w:val="000000"/>
                <w:kern w:val="0"/>
                <w:sz w:val="24"/>
                <w:szCs w:val="24"/>
              </w:rPr>
              <w:t>C</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w:t>
            </w:r>
          </w:p>
        </w:tc>
      </w:tr>
      <w:tr>
        <w:tblPrEx>
          <w:tblCellMar>
            <w:top w:w="0" w:type="dxa"/>
            <w:left w:w="108" w:type="dxa"/>
            <w:bottom w:w="0" w:type="dxa"/>
            <w:right w:w="108" w:type="dxa"/>
          </w:tblCellMar>
        </w:tblPrEx>
        <w:trPr>
          <w:wBefore w:w="0" w:type="auto"/>
        </w:trPr>
        <w:tc>
          <w:tcPr>
            <w:tcW w:w="3191"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0~10</w:t>
            </w:r>
          </w:p>
        </w:tc>
      </w:tr>
      <w:tr>
        <w:tblPrEx>
          <w:tblCellMar>
            <w:top w:w="0" w:type="dxa"/>
            <w:left w:w="108" w:type="dxa"/>
            <w:bottom w:w="0" w:type="dxa"/>
            <w:right w:w="108" w:type="dxa"/>
          </w:tblCellMar>
        </w:tblPrEx>
        <w:trPr>
          <w:wBefore w:w="0" w:type="auto"/>
        </w:trPr>
        <w:tc>
          <w:tcPr>
            <w:tcW w:w="3191"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本基金基金经理持有本开放式基金</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创金合信鑫动力混合</w:t>
            </w:r>
            <w:r>
              <w:rPr>
                <w:rFonts w:ascii="Times New Roman" w:hAnsi="Times New Roman"/>
                <w:color w:val="000000"/>
                <w:kern w:val="0"/>
                <w:sz w:val="24"/>
                <w:szCs w:val="24"/>
              </w:rPr>
              <w:t>A</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0~10</w:t>
            </w:r>
          </w:p>
        </w:tc>
      </w:tr>
      <w:tr>
        <w:tblPrEx>
          <w:tblCellMar>
            <w:top w:w="0" w:type="dxa"/>
            <w:left w:w="108" w:type="dxa"/>
            <w:bottom w:w="0" w:type="dxa"/>
            <w:right w:w="108" w:type="dxa"/>
          </w:tblCellMar>
        </w:tblPrEx>
        <w:trPr>
          <w:wBefore w:w="0" w:type="auto"/>
        </w:trPr>
        <w:tc>
          <w:tcPr>
            <w:tcW w:w="3191"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创金合信鑫动力混合</w:t>
            </w:r>
            <w:r>
              <w:rPr>
                <w:rFonts w:ascii="Times New Roman" w:hAnsi="Times New Roman"/>
                <w:color w:val="000000"/>
                <w:kern w:val="0"/>
                <w:sz w:val="24"/>
                <w:szCs w:val="24"/>
              </w:rPr>
              <w:t>C</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0~10</w:t>
            </w:r>
          </w:p>
        </w:tc>
      </w:tr>
      <w:tr>
        <w:tblPrEx>
          <w:tblCellMar>
            <w:top w:w="0" w:type="dxa"/>
            <w:left w:w="108" w:type="dxa"/>
            <w:bottom w:w="0" w:type="dxa"/>
            <w:right w:w="108" w:type="dxa"/>
          </w:tblCellMar>
        </w:tblPrEx>
        <w:trPr>
          <w:wBefore w:w="0" w:type="auto"/>
        </w:trPr>
        <w:tc>
          <w:tcPr>
            <w:tcW w:w="3191"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0~10</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center"/>
        <w:outlineLvl w:val="0"/>
        <w:rPr>
          <w:rFonts w:ascii="Times New Roman" w:hAnsi="Times New Roman"/>
          <w:b/>
          <w:color w:val="000000"/>
          <w:kern w:val="0"/>
          <w:sz w:val="24"/>
          <w:szCs w:val="24"/>
        </w:rPr>
      </w:pPr>
      <w:bookmarkStart w:id="46" w:name="_Toc477955757"/>
      <w:r>
        <w:rPr>
          <w:rFonts w:hint="eastAsia" w:ascii="Times New Roman" w:hAnsi="Times New Roman"/>
          <w:b/>
          <w:color w:val="000000"/>
          <w:kern w:val="0"/>
          <w:sz w:val="24"/>
          <w:szCs w:val="24"/>
        </w:rPr>
        <w:t>§</w:t>
      </w:r>
      <w:r>
        <w:rPr>
          <w:rFonts w:ascii="Times New Roman" w:hAnsi="Times New Roman"/>
          <w:b/>
          <w:color w:val="000000"/>
          <w:kern w:val="0"/>
          <w:sz w:val="24"/>
          <w:szCs w:val="24"/>
        </w:rPr>
        <w:t xml:space="preserve">10 </w:t>
      </w:r>
      <w:r>
        <w:rPr>
          <w:rFonts w:hint="eastAsia" w:ascii="Times New Roman" w:hAnsi="Times New Roman"/>
          <w:b/>
          <w:color w:val="000000"/>
          <w:kern w:val="0"/>
          <w:sz w:val="24"/>
          <w:szCs w:val="24"/>
        </w:rPr>
        <w:t>开放式基金份额变动</w:t>
      </w:r>
      <w:bookmarkEnd w:id="46"/>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单位：份</w:t>
      </w:r>
    </w:p>
    <w:tbl>
      <w:tblPr>
        <w:tblStyle w:val="10"/>
        <w:tblW w:w="0" w:type="auto"/>
        <w:tblInd w:w="108" w:type="dxa"/>
        <w:tblLayout w:type="fixed"/>
        <w:tblCellMar>
          <w:top w:w="0" w:type="dxa"/>
          <w:left w:w="108" w:type="dxa"/>
          <w:bottom w:w="0" w:type="dxa"/>
          <w:right w:w="108" w:type="dxa"/>
        </w:tblCellMar>
      </w:tblPr>
      <w:tblGrid>
        <w:gridCol w:w="3913"/>
        <w:gridCol w:w="2528"/>
        <w:gridCol w:w="2529"/>
      </w:tblGrid>
      <w:tr>
        <w:tblPrEx>
          <w:tblCellMar>
            <w:top w:w="0" w:type="dxa"/>
            <w:left w:w="108" w:type="dxa"/>
            <w:bottom w:w="0" w:type="dxa"/>
            <w:right w:w="108" w:type="dxa"/>
          </w:tblCellMar>
        </w:tblPrEx>
        <w:trPr>
          <w:wBefore w:w="0" w:type="auto"/>
        </w:trPr>
        <w:tc>
          <w:tcPr>
            <w:tcW w:w="391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创金合信鑫动力混合</w:t>
            </w:r>
            <w:r>
              <w:rPr>
                <w:rFonts w:ascii="Times New Roman" w:hAnsi="Times New Roman"/>
                <w:color w:val="000000"/>
                <w:kern w:val="0"/>
                <w:sz w:val="24"/>
                <w:szCs w:val="24"/>
              </w:rPr>
              <w:t>A</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创金合信鑫动力混合</w:t>
            </w:r>
            <w:r>
              <w:rPr>
                <w:rFonts w:ascii="Times New Roman" w:hAnsi="Times New Roman"/>
                <w:color w:val="000000"/>
                <w:kern w:val="0"/>
                <w:sz w:val="24"/>
                <w:szCs w:val="24"/>
              </w:rPr>
              <w:t>C</w:t>
            </w:r>
          </w:p>
        </w:tc>
      </w:tr>
      <w:tr>
        <w:tblPrEx>
          <w:tblCellMar>
            <w:top w:w="0" w:type="dxa"/>
            <w:left w:w="108" w:type="dxa"/>
            <w:bottom w:w="0" w:type="dxa"/>
            <w:right w:w="108" w:type="dxa"/>
          </w:tblCellMar>
        </w:tblPrEx>
        <w:trPr>
          <w:wBefore w:w="0" w:type="auto"/>
        </w:trPr>
        <w:tc>
          <w:tcPr>
            <w:tcW w:w="391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基金合同生效日</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30</w:t>
            </w:r>
            <w:r>
              <w:rPr>
                <w:rFonts w:hint="eastAsia" w:ascii="Times New Roman" w:hAnsi="Times New Roman"/>
                <w:color w:val="000000"/>
                <w:kern w:val="0"/>
                <w:sz w:val="24"/>
                <w:szCs w:val="24"/>
              </w:rPr>
              <w:t>日</w:t>
            </w:r>
            <w:r>
              <w:rPr>
                <w:rFonts w:ascii="Times New Roman" w:hAnsi="Times New Roman"/>
                <w:color w:val="000000"/>
                <w:kern w:val="0"/>
                <w:sz w:val="24"/>
                <w:szCs w:val="24"/>
              </w:rPr>
              <w:t>)</w:t>
            </w:r>
            <w:r>
              <w:rPr>
                <w:rFonts w:hint="eastAsia" w:ascii="Times New Roman" w:hAnsi="Times New Roman"/>
                <w:color w:val="000000"/>
                <w:kern w:val="0"/>
                <w:sz w:val="24"/>
                <w:szCs w:val="24"/>
              </w:rPr>
              <w:t>基金份额总额</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800,103,491.18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124,562.03</w:t>
            </w:r>
          </w:p>
        </w:tc>
      </w:tr>
      <w:tr>
        <w:tblPrEx>
          <w:tblCellMar>
            <w:top w:w="0" w:type="dxa"/>
            <w:left w:w="108" w:type="dxa"/>
            <w:bottom w:w="0" w:type="dxa"/>
            <w:right w:w="108" w:type="dxa"/>
          </w:tblCellMar>
        </w:tblPrEx>
        <w:trPr>
          <w:wBefore w:w="0" w:type="auto"/>
        </w:trPr>
        <w:tc>
          <w:tcPr>
            <w:tcW w:w="391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本报告期期初基金份额总额</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91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本报告期基金总申购份额</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50,597.84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299.40</w:t>
            </w:r>
          </w:p>
        </w:tc>
      </w:tr>
      <w:tr>
        <w:tblPrEx>
          <w:tblCellMar>
            <w:top w:w="0" w:type="dxa"/>
            <w:left w:w="108" w:type="dxa"/>
            <w:bottom w:w="0" w:type="dxa"/>
            <w:right w:w="108" w:type="dxa"/>
          </w:tblCellMar>
        </w:tblPrEx>
        <w:trPr>
          <w:wBefore w:w="0" w:type="auto"/>
        </w:trPr>
        <w:tc>
          <w:tcPr>
            <w:tcW w:w="391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减：本报告期基金总赎回份额</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51,078.92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30,600.00</w:t>
            </w:r>
          </w:p>
        </w:tc>
      </w:tr>
      <w:tr>
        <w:tblPrEx>
          <w:tblCellMar>
            <w:top w:w="0" w:type="dxa"/>
            <w:left w:w="108" w:type="dxa"/>
            <w:bottom w:w="0" w:type="dxa"/>
            <w:right w:w="108" w:type="dxa"/>
          </w:tblCellMar>
        </w:tblPrEx>
        <w:trPr>
          <w:wBefore w:w="0" w:type="auto"/>
        </w:trPr>
        <w:tc>
          <w:tcPr>
            <w:tcW w:w="391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本报告期基金拆分变动份额</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91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本报告期期末基金份额总额</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800,103,010.10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94,261.43</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center"/>
        <w:outlineLvl w:val="0"/>
        <w:rPr>
          <w:rFonts w:ascii="Times New Roman" w:hAnsi="Times New Roman"/>
          <w:b/>
          <w:color w:val="000000"/>
          <w:kern w:val="0"/>
          <w:sz w:val="24"/>
          <w:szCs w:val="24"/>
        </w:rPr>
      </w:pPr>
      <w:bookmarkStart w:id="47" w:name="_Toc477955758"/>
      <w:r>
        <w:rPr>
          <w:rFonts w:hint="eastAsia" w:ascii="Times New Roman" w:hAnsi="Times New Roman"/>
          <w:b/>
          <w:color w:val="000000"/>
          <w:kern w:val="0"/>
          <w:sz w:val="24"/>
          <w:szCs w:val="24"/>
        </w:rPr>
        <w:t>§</w:t>
      </w:r>
      <w:r>
        <w:rPr>
          <w:rFonts w:ascii="Times New Roman" w:hAnsi="Times New Roman"/>
          <w:b/>
          <w:color w:val="000000"/>
          <w:kern w:val="0"/>
          <w:sz w:val="24"/>
          <w:szCs w:val="24"/>
        </w:rPr>
        <w:t xml:space="preserve">11 </w:t>
      </w:r>
      <w:r>
        <w:rPr>
          <w:rFonts w:hint="eastAsia" w:ascii="Times New Roman" w:hAnsi="Times New Roman"/>
          <w:b/>
          <w:color w:val="000000"/>
          <w:kern w:val="0"/>
          <w:sz w:val="24"/>
          <w:szCs w:val="24"/>
        </w:rPr>
        <w:t>重大事件揭示</w:t>
      </w:r>
      <w:bookmarkEnd w:id="47"/>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48" w:name="_Toc477955759"/>
      <w:r>
        <w:rPr>
          <w:rFonts w:ascii="Times New Roman" w:hAnsi="Times New Roman"/>
          <w:b/>
          <w:color w:val="000000"/>
          <w:kern w:val="0"/>
          <w:sz w:val="24"/>
          <w:szCs w:val="24"/>
        </w:rPr>
        <w:t xml:space="preserve">11.1 </w:t>
      </w:r>
      <w:r>
        <w:rPr>
          <w:rFonts w:hint="eastAsia" w:ascii="Times New Roman" w:hAnsi="Times New Roman"/>
          <w:b/>
          <w:color w:val="000000"/>
          <w:kern w:val="0"/>
          <w:sz w:val="24"/>
          <w:szCs w:val="24"/>
        </w:rPr>
        <w:t>基金份额持有人大会决议</w:t>
      </w:r>
      <w:bookmarkEnd w:id="48"/>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本报告期内未召开基金份额持有人大会。</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49" w:name="_Toc477955760"/>
      <w:r>
        <w:rPr>
          <w:rFonts w:ascii="Times New Roman" w:hAnsi="Times New Roman"/>
          <w:b/>
          <w:color w:val="000000"/>
          <w:kern w:val="0"/>
          <w:sz w:val="24"/>
          <w:szCs w:val="24"/>
        </w:rPr>
        <w:t xml:space="preserve">11.2 </w:t>
      </w:r>
      <w:r>
        <w:rPr>
          <w:rFonts w:hint="eastAsia" w:ascii="Times New Roman" w:hAnsi="Times New Roman"/>
          <w:b/>
          <w:color w:val="000000"/>
          <w:kern w:val="0"/>
          <w:sz w:val="24"/>
          <w:szCs w:val="24"/>
        </w:rPr>
        <w:t>基金管理人、基金托管人的专门基金托管部门的重大人事变动</w:t>
      </w:r>
      <w:bookmarkEnd w:id="49"/>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本报告期内基金管理人、基金托管人的专门基金托管部门无重大人事变动。</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50" w:name="_Toc477955761"/>
      <w:r>
        <w:rPr>
          <w:rFonts w:ascii="Times New Roman" w:hAnsi="Times New Roman"/>
          <w:b/>
          <w:color w:val="000000"/>
          <w:kern w:val="0"/>
          <w:sz w:val="24"/>
          <w:szCs w:val="24"/>
        </w:rPr>
        <w:t xml:space="preserve">11.3 </w:t>
      </w:r>
      <w:r>
        <w:rPr>
          <w:rFonts w:hint="eastAsia" w:ascii="Times New Roman" w:hAnsi="Times New Roman"/>
          <w:b/>
          <w:color w:val="000000"/>
          <w:kern w:val="0"/>
          <w:sz w:val="24"/>
          <w:szCs w:val="24"/>
        </w:rPr>
        <w:t>涉及基金管理人、基金财产、基金托管业务的诉讼</w:t>
      </w:r>
      <w:bookmarkEnd w:id="50"/>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本报告期内，无涉及基金管理人、基金财产、基金托管业务的诉讼。</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51" w:name="_Toc477955762"/>
      <w:r>
        <w:rPr>
          <w:rFonts w:ascii="Times New Roman" w:hAnsi="Times New Roman"/>
          <w:b/>
          <w:color w:val="000000"/>
          <w:kern w:val="0"/>
          <w:sz w:val="24"/>
          <w:szCs w:val="24"/>
        </w:rPr>
        <w:t xml:space="preserve">11.4 </w:t>
      </w:r>
      <w:r>
        <w:rPr>
          <w:rFonts w:hint="eastAsia" w:ascii="Times New Roman" w:hAnsi="Times New Roman"/>
          <w:b/>
          <w:color w:val="000000"/>
          <w:kern w:val="0"/>
          <w:sz w:val="24"/>
          <w:szCs w:val="24"/>
        </w:rPr>
        <w:t>基金投资策略的改变</w:t>
      </w:r>
      <w:bookmarkEnd w:id="51"/>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本报告期内基金投资策略无重大改变。</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52" w:name="_Toc477955763"/>
      <w:r>
        <w:rPr>
          <w:rFonts w:ascii="Times New Roman" w:hAnsi="Times New Roman"/>
          <w:b/>
          <w:color w:val="000000"/>
          <w:kern w:val="0"/>
          <w:sz w:val="24"/>
          <w:szCs w:val="24"/>
        </w:rPr>
        <w:t xml:space="preserve">11.5 </w:t>
      </w:r>
      <w:r>
        <w:rPr>
          <w:rFonts w:hint="eastAsia" w:ascii="Times New Roman" w:hAnsi="Times New Roman"/>
          <w:b/>
          <w:color w:val="000000"/>
          <w:kern w:val="0"/>
          <w:sz w:val="24"/>
          <w:szCs w:val="24"/>
        </w:rPr>
        <w:t>为基金进行审计的会计师事务所情况</w:t>
      </w:r>
      <w:bookmarkEnd w:id="52"/>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本报告期内本基金未更换会计师事务所，本年度支付给普华永道中天会计师事务所</w:t>
      </w:r>
      <w:r>
        <w:rPr>
          <w:rFonts w:ascii="Times New Roman" w:hAnsi="Times New Roman"/>
          <w:color w:val="000000"/>
          <w:kern w:val="0"/>
          <w:sz w:val="24"/>
          <w:szCs w:val="24"/>
        </w:rPr>
        <w:t>(</w:t>
      </w:r>
      <w:r>
        <w:rPr>
          <w:rFonts w:hint="eastAsia" w:ascii="Times New Roman" w:hAnsi="Times New Roman"/>
          <w:color w:val="000000"/>
          <w:kern w:val="0"/>
          <w:sz w:val="24"/>
          <w:szCs w:val="24"/>
        </w:rPr>
        <w:t>特殊普通合伙</w:t>
      </w:r>
      <w:r>
        <w:rPr>
          <w:rFonts w:ascii="Times New Roman" w:hAnsi="Times New Roman"/>
          <w:color w:val="000000"/>
          <w:kern w:val="0"/>
          <w:sz w:val="24"/>
          <w:szCs w:val="24"/>
        </w:rPr>
        <w:t>)</w:t>
      </w:r>
      <w:r>
        <w:rPr>
          <w:rFonts w:hint="eastAsia" w:ascii="Times New Roman" w:hAnsi="Times New Roman"/>
          <w:color w:val="000000"/>
          <w:kern w:val="0"/>
          <w:sz w:val="24"/>
          <w:szCs w:val="24"/>
        </w:rPr>
        <w:t>审计费用</w:t>
      </w:r>
      <w:r>
        <w:rPr>
          <w:rFonts w:ascii="Times New Roman" w:hAnsi="Times New Roman"/>
          <w:color w:val="000000"/>
          <w:kern w:val="0"/>
          <w:sz w:val="24"/>
          <w:szCs w:val="24"/>
        </w:rPr>
        <w:t>86,000.00</w:t>
      </w:r>
      <w:r>
        <w:rPr>
          <w:rFonts w:hint="eastAsia" w:ascii="Times New Roman" w:hAnsi="Times New Roman"/>
          <w:color w:val="000000"/>
          <w:kern w:val="0"/>
          <w:sz w:val="24"/>
          <w:szCs w:val="24"/>
        </w:rPr>
        <w:t>元，该审计机构连续提供审计服务的年限为</w:t>
      </w:r>
      <w:r>
        <w:rPr>
          <w:rFonts w:ascii="Times New Roman" w:hAnsi="Times New Roman"/>
          <w:color w:val="000000"/>
          <w:kern w:val="0"/>
          <w:sz w:val="24"/>
          <w:szCs w:val="24"/>
        </w:rPr>
        <w:t>1</w:t>
      </w:r>
      <w:r>
        <w:rPr>
          <w:rFonts w:hint="eastAsia" w:ascii="Times New Roman" w:hAnsi="Times New Roman"/>
          <w:color w:val="000000"/>
          <w:kern w:val="0"/>
          <w:sz w:val="24"/>
          <w:szCs w:val="24"/>
        </w:rPr>
        <w:t>年。</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53" w:name="_Toc477955764"/>
      <w:r>
        <w:rPr>
          <w:rFonts w:ascii="Times New Roman" w:hAnsi="Times New Roman"/>
          <w:b/>
          <w:color w:val="000000"/>
          <w:kern w:val="0"/>
          <w:sz w:val="24"/>
          <w:szCs w:val="24"/>
        </w:rPr>
        <w:t xml:space="preserve">11.6 </w:t>
      </w:r>
      <w:r>
        <w:rPr>
          <w:rFonts w:hint="eastAsia" w:ascii="Times New Roman" w:hAnsi="Times New Roman"/>
          <w:b/>
          <w:color w:val="000000"/>
          <w:kern w:val="0"/>
          <w:sz w:val="24"/>
          <w:szCs w:val="24"/>
        </w:rPr>
        <w:t>管理人、托管人及其高级管理人员受稽查或处罚等情况</w:t>
      </w:r>
      <w:bookmarkEnd w:id="53"/>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本报告期内，基金管理人、基金托管人及其高级管理人员没有受到监管部门稽查或处罚等情况。</w:t>
      </w: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54" w:name="_Toc477955765"/>
      <w:r>
        <w:rPr>
          <w:rFonts w:ascii="Times New Roman" w:hAnsi="Times New Roman"/>
          <w:b/>
          <w:color w:val="000000"/>
          <w:kern w:val="0"/>
          <w:sz w:val="24"/>
          <w:szCs w:val="24"/>
        </w:rPr>
        <w:t xml:space="preserve">11.7 </w:t>
      </w:r>
      <w:r>
        <w:rPr>
          <w:rFonts w:hint="eastAsia" w:ascii="Times New Roman" w:hAnsi="Times New Roman"/>
          <w:b/>
          <w:color w:val="000000"/>
          <w:kern w:val="0"/>
          <w:sz w:val="24"/>
          <w:szCs w:val="24"/>
        </w:rPr>
        <w:t>基金租用证券公司交易单元的有关情况</w:t>
      </w:r>
      <w:bookmarkEnd w:id="54"/>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11.7.1 </w:t>
      </w:r>
      <w:r>
        <w:rPr>
          <w:rFonts w:hint="eastAsia" w:ascii="Times New Roman" w:hAnsi="Times New Roman"/>
          <w:b/>
          <w:color w:val="000000"/>
          <w:kern w:val="0"/>
          <w:sz w:val="24"/>
          <w:szCs w:val="24"/>
        </w:rPr>
        <w:t>基金租用证券公司交易单元进行股票投资及佣金支付情况</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10"/>
        <w:tblW w:w="0" w:type="auto"/>
        <w:tblInd w:w="108" w:type="dxa"/>
        <w:tblLayout w:type="fixed"/>
        <w:tblCellMar>
          <w:top w:w="0" w:type="dxa"/>
          <w:left w:w="108" w:type="dxa"/>
          <w:bottom w:w="0" w:type="dxa"/>
          <w:right w:w="108" w:type="dxa"/>
        </w:tblCellMar>
      </w:tblPr>
      <w:tblGrid>
        <w:gridCol w:w="1385"/>
        <w:gridCol w:w="1083"/>
        <w:gridCol w:w="1084"/>
        <w:gridCol w:w="1445"/>
        <w:gridCol w:w="1083"/>
        <w:gridCol w:w="1445"/>
        <w:gridCol w:w="1445"/>
      </w:tblGrid>
      <w:tr>
        <w:tblPrEx>
          <w:tblCellMar>
            <w:top w:w="0" w:type="dxa"/>
            <w:left w:w="108" w:type="dxa"/>
            <w:bottom w:w="0" w:type="dxa"/>
            <w:right w:w="108" w:type="dxa"/>
          </w:tblCellMar>
        </w:tblPrEx>
        <w:trPr>
          <w:wBefore w:w="0" w:type="auto"/>
        </w:trPr>
        <w:tc>
          <w:tcPr>
            <w:tcW w:w="1385"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券商名称</w:t>
            </w:r>
          </w:p>
        </w:tc>
        <w:tc>
          <w:tcPr>
            <w:tcW w:w="1083"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交易单元</w:t>
            </w:r>
          </w:p>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数量</w:t>
            </w:r>
          </w:p>
        </w:tc>
        <w:tc>
          <w:tcPr>
            <w:tcW w:w="252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股票交易</w:t>
            </w:r>
          </w:p>
        </w:tc>
        <w:tc>
          <w:tcPr>
            <w:tcW w:w="2528"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应支付该券商的佣金</w:t>
            </w:r>
          </w:p>
        </w:tc>
        <w:tc>
          <w:tcPr>
            <w:tcW w:w="1445"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备注</w:t>
            </w:r>
          </w:p>
        </w:tc>
      </w:tr>
      <w:tr>
        <w:tblPrEx>
          <w:tblCellMar>
            <w:top w:w="0" w:type="dxa"/>
            <w:left w:w="108" w:type="dxa"/>
            <w:bottom w:w="0" w:type="dxa"/>
            <w:right w:w="108" w:type="dxa"/>
          </w:tblCellMar>
        </w:tblPrEx>
        <w:trPr>
          <w:wBefore w:w="0" w:type="auto"/>
        </w:trPr>
        <w:tc>
          <w:tcPr>
            <w:tcW w:w="1385"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083"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成交金额</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占股票</w:t>
            </w:r>
          </w:p>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成交总额比例</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佣金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占当期佣金</w:t>
            </w:r>
          </w:p>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总量的比例</w:t>
            </w:r>
          </w:p>
        </w:tc>
        <w:tc>
          <w:tcPr>
            <w:tcW w:w="1445"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center"/>
              <w:rPr>
                <w:rFonts w:ascii="Times New Roman" w:hAnsi="Times New Roman"/>
                <w:kern w:val="0"/>
                <w:sz w:val="20"/>
                <w:szCs w:val="24"/>
              </w:rPr>
            </w:pPr>
          </w:p>
        </w:tc>
      </w:tr>
      <w:tr>
        <w:tblPrEx>
          <w:tblCellMar>
            <w:top w:w="0" w:type="dxa"/>
            <w:left w:w="108" w:type="dxa"/>
            <w:bottom w:w="0" w:type="dxa"/>
            <w:right w:w="108" w:type="dxa"/>
          </w:tblCellMar>
        </w:tblPrEx>
        <w:trPr>
          <w:wBefore w:w="0" w:type="auto"/>
        </w:trPr>
        <w:tc>
          <w:tcPr>
            <w:tcW w:w="138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第一创业证券</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268,811,678.01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100.00%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194,865.89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100.00%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4"/>
                <w:szCs w:val="24"/>
              </w:rPr>
            </w:pP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注：交易单元的选择标准和程序：</w:t>
      </w:r>
    </w:p>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w:t>
      </w:r>
      <w:r>
        <w:rPr>
          <w:rFonts w:ascii="Times New Roman" w:hAnsi="Times New Roman"/>
          <w:color w:val="000000"/>
          <w:kern w:val="0"/>
          <w:szCs w:val="24"/>
        </w:rPr>
        <w:t>1</w:t>
      </w:r>
      <w:r>
        <w:rPr>
          <w:rFonts w:hint="eastAsia" w:ascii="Times New Roman" w:hAnsi="Times New Roman"/>
          <w:color w:val="000000"/>
          <w:kern w:val="0"/>
          <w:szCs w:val="24"/>
        </w:rPr>
        <w:t>）研究实力较强，有固定的研究机构和专门的研究人员，能及时为基金提供高质量的咨询服务，包括宏观经济报告、行业报告、市场分析、个股分析报告及其它专门报告，并能根据基金投资的特定要求，提供专门研究报告；</w:t>
      </w:r>
    </w:p>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w:t>
      </w:r>
      <w:r>
        <w:rPr>
          <w:rFonts w:ascii="Times New Roman" w:hAnsi="Times New Roman"/>
          <w:color w:val="000000"/>
          <w:kern w:val="0"/>
          <w:szCs w:val="24"/>
        </w:rPr>
        <w:t>2</w:t>
      </w:r>
      <w:r>
        <w:rPr>
          <w:rFonts w:hint="eastAsia" w:ascii="Times New Roman" w:hAnsi="Times New Roman"/>
          <w:color w:val="000000"/>
          <w:kern w:val="0"/>
          <w:szCs w:val="24"/>
        </w:rPr>
        <w:t>）财务状况良好，各项财务指标显示公司经营状况稳定；</w:t>
      </w:r>
    </w:p>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w:t>
      </w:r>
      <w:r>
        <w:rPr>
          <w:rFonts w:ascii="Times New Roman" w:hAnsi="Times New Roman"/>
          <w:color w:val="000000"/>
          <w:kern w:val="0"/>
          <w:szCs w:val="24"/>
        </w:rPr>
        <w:t>3</w:t>
      </w:r>
      <w:r>
        <w:rPr>
          <w:rFonts w:hint="eastAsia" w:ascii="Times New Roman" w:hAnsi="Times New Roman"/>
          <w:color w:val="000000"/>
          <w:kern w:val="0"/>
          <w:szCs w:val="24"/>
        </w:rPr>
        <w:t>）经营行为规范，内部管理规范、严格，具备健全的内部控制制度，并能满足基金运作高度保密的要求；</w:t>
      </w:r>
    </w:p>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w:t>
      </w:r>
      <w:r>
        <w:rPr>
          <w:rFonts w:ascii="Times New Roman" w:hAnsi="Times New Roman"/>
          <w:color w:val="000000"/>
          <w:kern w:val="0"/>
          <w:szCs w:val="24"/>
        </w:rPr>
        <w:t>4</w:t>
      </w:r>
      <w:r>
        <w:rPr>
          <w:rFonts w:hint="eastAsia" w:ascii="Times New Roman" w:hAnsi="Times New Roman"/>
          <w:color w:val="000000"/>
          <w:kern w:val="0"/>
          <w:szCs w:val="24"/>
        </w:rPr>
        <w:t>）具备基金运作所需的高效、安全的通讯条件，交易设施符合代理基金进行证券交易的需要，并能为基金提供全面的信息服务。</w:t>
      </w:r>
    </w:p>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基金管理人根据以上标准进行考察后确定租用券商的交易单元，并与被选中的证券经营机构签订交易单元租用协议。</w:t>
      </w:r>
    </w:p>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本基金在报告期内成立，交易单元均于本期内新增。</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11.7.2 </w:t>
      </w:r>
      <w:r>
        <w:rPr>
          <w:rFonts w:hint="eastAsia" w:ascii="Times New Roman" w:hAnsi="Times New Roman"/>
          <w:b/>
          <w:color w:val="000000"/>
          <w:kern w:val="0"/>
          <w:sz w:val="24"/>
          <w:szCs w:val="24"/>
        </w:rPr>
        <w:t>基金租用证券公司交易单元进行其他证券投资的情况</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10"/>
        <w:tblW w:w="0" w:type="auto"/>
        <w:tblInd w:w="108" w:type="dxa"/>
        <w:tblLayout w:type="fixed"/>
        <w:tblCellMar>
          <w:top w:w="0" w:type="dxa"/>
          <w:left w:w="108" w:type="dxa"/>
          <w:bottom w:w="0" w:type="dxa"/>
          <w:right w:w="108" w:type="dxa"/>
        </w:tblCellMar>
      </w:tblPr>
      <w:tblGrid>
        <w:gridCol w:w="1385"/>
        <w:gridCol w:w="1083"/>
        <w:gridCol w:w="1445"/>
        <w:gridCol w:w="1084"/>
        <w:gridCol w:w="1444"/>
        <w:gridCol w:w="1084"/>
        <w:gridCol w:w="1445"/>
      </w:tblGrid>
      <w:tr>
        <w:tblPrEx>
          <w:tblCellMar>
            <w:top w:w="0" w:type="dxa"/>
            <w:left w:w="108" w:type="dxa"/>
            <w:bottom w:w="0" w:type="dxa"/>
            <w:right w:w="108" w:type="dxa"/>
          </w:tblCellMar>
        </w:tblPrEx>
        <w:trPr>
          <w:wBefore w:w="0" w:type="auto"/>
        </w:trPr>
        <w:tc>
          <w:tcPr>
            <w:tcW w:w="1385"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券商名称</w:t>
            </w:r>
          </w:p>
        </w:tc>
        <w:tc>
          <w:tcPr>
            <w:tcW w:w="2528"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债券交易</w:t>
            </w:r>
          </w:p>
        </w:tc>
        <w:tc>
          <w:tcPr>
            <w:tcW w:w="2528"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债券回购交易</w:t>
            </w:r>
          </w:p>
        </w:tc>
        <w:tc>
          <w:tcPr>
            <w:tcW w:w="252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权证交易</w:t>
            </w:r>
          </w:p>
        </w:tc>
      </w:tr>
      <w:tr>
        <w:tblPrEx>
          <w:tblCellMar>
            <w:top w:w="0" w:type="dxa"/>
            <w:left w:w="108" w:type="dxa"/>
            <w:bottom w:w="0" w:type="dxa"/>
            <w:right w:w="108" w:type="dxa"/>
          </w:tblCellMar>
        </w:tblPrEx>
        <w:trPr>
          <w:wBefore w:w="0" w:type="auto"/>
        </w:trPr>
        <w:tc>
          <w:tcPr>
            <w:tcW w:w="1385"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成交金额</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占债券</w:t>
            </w:r>
          </w:p>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成交总额比例</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成交金额</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占债券回购</w:t>
            </w:r>
          </w:p>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成交总额比例</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成交金额</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占权证</w:t>
            </w:r>
          </w:p>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成交总额比例</w:t>
            </w:r>
          </w:p>
        </w:tc>
      </w:tr>
      <w:tr>
        <w:tblPrEx>
          <w:tblCellMar>
            <w:top w:w="0" w:type="dxa"/>
            <w:left w:w="108" w:type="dxa"/>
            <w:bottom w:w="0" w:type="dxa"/>
            <w:right w:w="108" w:type="dxa"/>
          </w:tblCellMar>
        </w:tblPrEx>
        <w:trPr>
          <w:wBefore w:w="0" w:type="auto"/>
        </w:trPr>
        <w:tc>
          <w:tcPr>
            <w:tcW w:w="138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第一创业证券</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145,780,775.78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100.00%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3,369,900,000.00</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100.00%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55" w:name="_Toc477955766"/>
      <w:r>
        <w:rPr>
          <w:rFonts w:ascii="Times New Roman" w:hAnsi="Times New Roman"/>
          <w:b/>
          <w:color w:val="000000"/>
          <w:kern w:val="0"/>
          <w:sz w:val="24"/>
          <w:szCs w:val="24"/>
        </w:rPr>
        <w:t xml:space="preserve">11.8 </w:t>
      </w:r>
      <w:r>
        <w:rPr>
          <w:rFonts w:hint="eastAsia" w:ascii="Times New Roman" w:hAnsi="Times New Roman"/>
          <w:b/>
          <w:color w:val="000000"/>
          <w:kern w:val="0"/>
          <w:sz w:val="24"/>
          <w:szCs w:val="24"/>
        </w:rPr>
        <w:t>其他重大事件</w:t>
      </w:r>
      <w:bookmarkEnd w:id="55"/>
    </w:p>
    <w:tbl>
      <w:tblPr>
        <w:tblStyle w:val="10"/>
        <w:tblW w:w="0" w:type="auto"/>
        <w:tblInd w:w="108" w:type="dxa"/>
        <w:tblLayout w:type="fixed"/>
        <w:tblCellMar>
          <w:top w:w="0" w:type="dxa"/>
          <w:left w:w="108" w:type="dxa"/>
          <w:bottom w:w="0" w:type="dxa"/>
          <w:right w:w="108" w:type="dxa"/>
        </w:tblCellMar>
      </w:tblPr>
      <w:tblGrid>
        <w:gridCol w:w="662"/>
        <w:gridCol w:w="3612"/>
        <w:gridCol w:w="2890"/>
        <w:gridCol w:w="1806"/>
      </w:tblGrid>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公告事项</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法定披露方式</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法定披露日期</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创金合信鑫动力灵活配置混合型证券投资基金基金份额发售公告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公司官网、证券时报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2016-08-18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创金合信鑫动力灵活配置混合型证券投资基金基金合同</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公司官网、证券时报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2016-08-18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创金合信鑫动力灵活配置混合型证券投资基金基金合同摘要</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公司官网、证券时报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2016-08-18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创金合信鑫动力灵活配置混合型证券投资基金托管协议</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公司官网、证券时报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2016-08-18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创金合信鑫动力灵活配置混合型证券投资基金招募说明书</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公司官网、证券时报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2016-08-18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创金合信基金管理有限公司关于创金合信鑫动力灵活配置混合型证券投资基金提前结束募集的公告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公司官网、证券时报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2016-08-24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创金合信鑫动力灵活配置混合型证券投资基金基金合同生效公告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公司官网、证券时报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2016-08-31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创金合信鑫动力灵活配置混合型证券投资基金基金经理变更公告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公司官网、证券时报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2016-09-06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创金合信鑫动力灵活配置混合型证券投资基金基金经理变更公告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公司官网、证券时报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2016-09-21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创金合信鑫动力灵活配置混合型证券投资基金开放日常申购、赎回业务的公告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公司官网、证券时报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2016-11-22</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center"/>
        <w:outlineLvl w:val="0"/>
        <w:rPr>
          <w:rFonts w:ascii="Times New Roman" w:hAnsi="Times New Roman"/>
          <w:b/>
          <w:color w:val="000000"/>
          <w:kern w:val="0"/>
          <w:sz w:val="24"/>
          <w:szCs w:val="24"/>
        </w:rPr>
      </w:pPr>
      <w:bookmarkStart w:id="56" w:name="_Toc477955767"/>
      <w:r>
        <w:rPr>
          <w:rFonts w:hint="eastAsia" w:ascii="Times New Roman" w:hAnsi="Times New Roman"/>
          <w:b/>
          <w:color w:val="000000"/>
          <w:kern w:val="0"/>
          <w:sz w:val="24"/>
          <w:szCs w:val="24"/>
        </w:rPr>
        <w:t>§</w:t>
      </w:r>
      <w:r>
        <w:rPr>
          <w:rFonts w:ascii="Times New Roman" w:hAnsi="Times New Roman"/>
          <w:b/>
          <w:color w:val="000000"/>
          <w:kern w:val="0"/>
          <w:sz w:val="24"/>
          <w:szCs w:val="24"/>
        </w:rPr>
        <w:t xml:space="preserve">12 </w:t>
      </w:r>
      <w:r>
        <w:rPr>
          <w:rFonts w:hint="eastAsia" w:ascii="Times New Roman" w:hAnsi="Times New Roman"/>
          <w:b/>
          <w:color w:val="000000"/>
          <w:kern w:val="0"/>
          <w:sz w:val="24"/>
          <w:szCs w:val="24"/>
        </w:rPr>
        <w:t>影响投资者决策的其他重要信息</w:t>
      </w:r>
      <w:bookmarkEnd w:id="56"/>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本报告期内，未出现影响投资者决策的其他重要信息。</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center"/>
        <w:outlineLvl w:val="0"/>
        <w:rPr>
          <w:rFonts w:ascii="Times New Roman" w:hAnsi="Times New Roman"/>
          <w:b/>
          <w:color w:val="000000"/>
          <w:kern w:val="0"/>
          <w:sz w:val="24"/>
          <w:szCs w:val="24"/>
        </w:rPr>
      </w:pPr>
      <w:bookmarkStart w:id="57" w:name="_Toc477955768"/>
      <w:r>
        <w:rPr>
          <w:rFonts w:hint="eastAsia" w:ascii="Times New Roman" w:hAnsi="Times New Roman"/>
          <w:b/>
          <w:color w:val="000000"/>
          <w:kern w:val="0"/>
          <w:sz w:val="24"/>
          <w:szCs w:val="24"/>
        </w:rPr>
        <w:t>§</w:t>
      </w:r>
      <w:r>
        <w:rPr>
          <w:rFonts w:ascii="Times New Roman" w:hAnsi="Times New Roman"/>
          <w:b/>
          <w:color w:val="000000"/>
          <w:kern w:val="0"/>
          <w:sz w:val="24"/>
          <w:szCs w:val="24"/>
        </w:rPr>
        <w:t xml:space="preserve">13 </w:t>
      </w:r>
      <w:r>
        <w:rPr>
          <w:rFonts w:hint="eastAsia" w:ascii="Times New Roman" w:hAnsi="Times New Roman"/>
          <w:b/>
          <w:color w:val="000000"/>
          <w:kern w:val="0"/>
          <w:sz w:val="24"/>
          <w:szCs w:val="24"/>
        </w:rPr>
        <w:t>备查文件目录</w:t>
      </w:r>
      <w:bookmarkEnd w:id="57"/>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58" w:name="_Toc477955769"/>
      <w:r>
        <w:rPr>
          <w:rFonts w:ascii="Times New Roman" w:hAnsi="Times New Roman"/>
          <w:b/>
          <w:color w:val="000000"/>
          <w:kern w:val="0"/>
          <w:sz w:val="24"/>
          <w:szCs w:val="24"/>
        </w:rPr>
        <w:t xml:space="preserve">13.1 </w:t>
      </w:r>
      <w:r>
        <w:rPr>
          <w:rFonts w:hint="eastAsia" w:ascii="Times New Roman" w:hAnsi="Times New Roman"/>
          <w:b/>
          <w:color w:val="000000"/>
          <w:kern w:val="0"/>
          <w:sz w:val="24"/>
          <w:szCs w:val="24"/>
        </w:rPr>
        <w:t>备查文件目录</w:t>
      </w:r>
      <w:bookmarkEnd w:id="58"/>
    </w:p>
    <w:p>
      <w:pPr>
        <w:autoSpaceDE w:val="0"/>
        <w:autoSpaceDN w:val="0"/>
        <w:adjustRightInd w:val="0"/>
        <w:spacing w:before="29" w:line="288" w:lineRule="auto"/>
        <w:ind w:left="15" w:leftChars="7" w:firstLine="480" w:firstLineChars="200"/>
        <w:jc w:val="left"/>
        <w:rPr>
          <w:rFonts w:hint="eastAsia" w:ascii="Times New Roman" w:hAnsi="Times New Roman"/>
          <w:color w:val="000000"/>
          <w:kern w:val="0"/>
          <w:sz w:val="24"/>
          <w:szCs w:val="24"/>
        </w:rPr>
      </w:pPr>
      <w:r>
        <w:rPr>
          <w:rFonts w:ascii="Times New Roman" w:hAnsi="Times New Roman"/>
          <w:color w:val="000000"/>
          <w:kern w:val="0"/>
          <w:sz w:val="24"/>
          <w:szCs w:val="24"/>
        </w:rPr>
        <w:t>1</w:t>
      </w:r>
      <w:r>
        <w:rPr>
          <w:rFonts w:hint="eastAsia" w:ascii="Times New Roman" w:hAnsi="Times New Roman"/>
          <w:color w:val="000000"/>
          <w:kern w:val="0"/>
          <w:sz w:val="24"/>
          <w:szCs w:val="24"/>
        </w:rPr>
        <w:t>、《</w:t>
      </w: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创金合信鑫动力灵活配置混合型证券投资基金基金合同》；</w:t>
      </w:r>
    </w:p>
    <w:p>
      <w:pPr>
        <w:autoSpaceDE w:val="0"/>
        <w:autoSpaceDN w:val="0"/>
        <w:adjustRightInd w:val="0"/>
        <w:spacing w:before="29" w:line="288" w:lineRule="auto"/>
        <w:ind w:left="15" w:leftChars="7" w:firstLine="480" w:firstLineChars="200"/>
        <w:jc w:val="left"/>
        <w:rPr>
          <w:rFonts w:hint="eastAsia" w:ascii="Times New Roman" w:hAnsi="Times New Roman"/>
          <w:color w:val="000000"/>
          <w:kern w:val="0"/>
          <w:sz w:val="24"/>
          <w:szCs w:val="24"/>
        </w:rPr>
      </w:pPr>
      <w:r>
        <w:rPr>
          <w:rFonts w:ascii="Times New Roman" w:hAnsi="Times New Roman"/>
          <w:color w:val="000000"/>
          <w:kern w:val="0"/>
          <w:sz w:val="24"/>
          <w:szCs w:val="24"/>
        </w:rPr>
        <w:t>2</w:t>
      </w:r>
      <w:r>
        <w:rPr>
          <w:rFonts w:hint="eastAsia" w:ascii="Times New Roman" w:hAnsi="Times New Roman"/>
          <w:color w:val="000000"/>
          <w:kern w:val="0"/>
          <w:sz w:val="24"/>
          <w:szCs w:val="24"/>
        </w:rPr>
        <w:t>、《创金合信鑫动力灵活配置混合型证券投资基金托管协议》；</w:t>
      </w:r>
    </w:p>
    <w:p>
      <w:pPr>
        <w:autoSpaceDE w:val="0"/>
        <w:autoSpaceDN w:val="0"/>
        <w:adjustRightInd w:val="0"/>
        <w:spacing w:before="29" w:line="288" w:lineRule="auto"/>
        <w:ind w:left="15" w:leftChars="7" w:firstLine="480" w:firstLineChars="200"/>
        <w:jc w:val="left"/>
        <w:rPr>
          <w:rFonts w:ascii="Times New Roman" w:hAnsi="Times New Roman"/>
          <w:color w:val="000000"/>
          <w:kern w:val="0"/>
          <w:sz w:val="24"/>
          <w:szCs w:val="24"/>
        </w:rPr>
      </w:pPr>
      <w:r>
        <w:rPr>
          <w:rFonts w:ascii="Times New Roman" w:hAnsi="Times New Roman"/>
          <w:color w:val="000000"/>
          <w:kern w:val="0"/>
          <w:sz w:val="24"/>
          <w:szCs w:val="24"/>
        </w:rPr>
        <w:t>3</w:t>
      </w:r>
      <w:r>
        <w:rPr>
          <w:rFonts w:hint="eastAsia" w:ascii="Times New Roman" w:hAnsi="Times New Roman"/>
          <w:color w:val="000000"/>
          <w:kern w:val="0"/>
          <w:sz w:val="24"/>
          <w:szCs w:val="24"/>
        </w:rPr>
        <w:t>、创金合信鑫动力灵活配置混合型证券投资基金</w:t>
      </w:r>
      <w:r>
        <w:rPr>
          <w:rFonts w:ascii="Times New Roman" w:hAnsi="Times New Roman"/>
          <w:color w:val="000000"/>
          <w:kern w:val="0"/>
          <w:sz w:val="24"/>
          <w:szCs w:val="24"/>
        </w:rPr>
        <w:t>2016</w:t>
      </w:r>
      <w:r>
        <w:rPr>
          <w:rFonts w:hint="eastAsia" w:ascii="Times New Roman" w:hAnsi="Times New Roman"/>
          <w:color w:val="000000"/>
          <w:kern w:val="0"/>
          <w:sz w:val="24"/>
          <w:szCs w:val="24"/>
        </w:rPr>
        <w:t>年年度报告</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59" w:name="_Toc477955770"/>
      <w:r>
        <w:rPr>
          <w:rFonts w:ascii="Times New Roman" w:hAnsi="Times New Roman"/>
          <w:b/>
          <w:color w:val="000000"/>
          <w:kern w:val="0"/>
          <w:sz w:val="24"/>
          <w:szCs w:val="24"/>
        </w:rPr>
        <w:t xml:space="preserve">13.2 </w:t>
      </w:r>
      <w:r>
        <w:rPr>
          <w:rFonts w:hint="eastAsia" w:ascii="Times New Roman" w:hAnsi="Times New Roman"/>
          <w:b/>
          <w:color w:val="000000"/>
          <w:kern w:val="0"/>
          <w:sz w:val="24"/>
          <w:szCs w:val="24"/>
        </w:rPr>
        <w:t>存放地点</w:t>
      </w:r>
      <w:bookmarkEnd w:id="59"/>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深圳市福田中心区福华一路</w:t>
      </w:r>
      <w:r>
        <w:rPr>
          <w:rFonts w:ascii="Times New Roman" w:hAnsi="Times New Roman"/>
          <w:color w:val="000000"/>
          <w:kern w:val="0"/>
          <w:sz w:val="24"/>
          <w:szCs w:val="24"/>
        </w:rPr>
        <w:t>115</w:t>
      </w:r>
      <w:r>
        <w:rPr>
          <w:rFonts w:hint="eastAsia" w:ascii="Times New Roman" w:hAnsi="Times New Roman"/>
          <w:color w:val="000000"/>
          <w:kern w:val="0"/>
          <w:sz w:val="24"/>
          <w:szCs w:val="24"/>
        </w:rPr>
        <w:t>号投行大厦</w:t>
      </w:r>
      <w:r>
        <w:rPr>
          <w:rFonts w:ascii="Times New Roman" w:hAnsi="Times New Roman"/>
          <w:color w:val="000000"/>
          <w:kern w:val="0"/>
          <w:sz w:val="24"/>
          <w:szCs w:val="24"/>
        </w:rPr>
        <w:t>15</w:t>
      </w:r>
      <w:r>
        <w:rPr>
          <w:rFonts w:hint="eastAsia" w:ascii="Times New Roman" w:hAnsi="Times New Roman"/>
          <w:color w:val="000000"/>
          <w:kern w:val="0"/>
          <w:sz w:val="24"/>
          <w:szCs w:val="24"/>
        </w:rPr>
        <w:t>楼</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60" w:name="_Toc477955771"/>
      <w:r>
        <w:rPr>
          <w:rFonts w:ascii="Times New Roman" w:hAnsi="Times New Roman"/>
          <w:b/>
          <w:color w:val="000000"/>
          <w:kern w:val="0"/>
          <w:sz w:val="24"/>
          <w:szCs w:val="24"/>
        </w:rPr>
        <w:t xml:space="preserve">13.3 </w:t>
      </w:r>
      <w:r>
        <w:rPr>
          <w:rFonts w:hint="eastAsia" w:ascii="Times New Roman" w:hAnsi="Times New Roman"/>
          <w:b/>
          <w:color w:val="000000"/>
          <w:kern w:val="0"/>
          <w:sz w:val="24"/>
          <w:szCs w:val="24"/>
        </w:rPr>
        <w:t>查阅方式</w:t>
      </w:r>
      <w:bookmarkEnd w:id="60"/>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ascii="Times New Roman" w:hAnsi="Times New Roman"/>
          <w:color w:val="000000"/>
          <w:kern w:val="0"/>
          <w:sz w:val="24"/>
          <w:szCs w:val="24"/>
        </w:rPr>
        <w:t>www.cjhxfund.com</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firstLine="482"/>
        <w:jc w:val="right"/>
        <w:rPr>
          <w:rFonts w:ascii="Times New Roman" w:hAnsi="Times New Roman"/>
          <w:b/>
          <w:color w:val="000000"/>
          <w:kern w:val="0"/>
          <w:sz w:val="24"/>
          <w:szCs w:val="24"/>
        </w:rPr>
      </w:pPr>
      <w:r>
        <w:rPr>
          <w:rFonts w:hint="eastAsia" w:ascii="Times New Roman" w:hAnsi="Times New Roman"/>
          <w:b/>
          <w:color w:val="000000"/>
          <w:kern w:val="0"/>
          <w:sz w:val="24"/>
          <w:szCs w:val="24"/>
        </w:rPr>
        <w:t>创金合信基金管理有限公司</w:t>
      </w:r>
    </w:p>
    <w:p>
      <w:pPr>
        <w:autoSpaceDE w:val="0"/>
        <w:autoSpaceDN w:val="0"/>
        <w:adjustRightInd w:val="0"/>
        <w:spacing w:before="29" w:line="288" w:lineRule="auto"/>
        <w:ind w:left="15" w:firstLine="482"/>
        <w:jc w:val="right"/>
        <w:rPr>
          <w:rFonts w:ascii="Times New Roman" w:hAnsi="Times New Roman"/>
          <w:b/>
          <w:color w:val="000000"/>
          <w:kern w:val="0"/>
          <w:sz w:val="24"/>
          <w:szCs w:val="24"/>
        </w:rPr>
      </w:pPr>
      <w:r>
        <w:rPr>
          <w:rFonts w:hint="eastAsia" w:ascii="Times New Roman" w:hAnsi="Times New Roman"/>
          <w:b/>
          <w:color w:val="000000"/>
          <w:kern w:val="0"/>
          <w:sz w:val="24"/>
          <w:szCs w:val="24"/>
        </w:rPr>
        <w:t>二〇一七年三月二十七日</w:t>
      </w:r>
    </w:p>
    <w:sectPr>
      <w:pgSz w:w="11926" w:h="15840"/>
      <w:pgMar w:top="1420" w:right="1420" w:bottom="852" w:left="1420" w:header="851" w:footer="992"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MS Sans Serif">
    <w:altName w:val="Times New Roman"/>
    <w:panose1 w:val="00000000000000000000"/>
    <w:charset w:val="00"/>
    <w:family w:val="auto"/>
    <w:pitch w:val="default"/>
    <w:sig w:usb0="00000003" w:usb1="00000000" w:usb2="00000000" w:usb3="00000000" w:csb0="0000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ascii="宋体" w:hAnsi="宋体" w:cs="宋体"/>
      </w:rPr>
    </w:pPr>
    <w:r>
      <w:rPr>
        <w:rFonts w:ascii="宋体"/>
        <w:kern w:val="0"/>
        <w:sz w:val="24"/>
        <w:szCs w:val="24"/>
      </w:rPr>
      <w:t xml:space="preserve"> </w:t>
    </w:r>
    <w:r>
      <w:rPr>
        <w:rFonts w:hint="eastAsia" w:ascii="宋体" w:hAnsi="宋体" w:cs="宋体"/>
        <w:kern w:val="0"/>
        <w:szCs w:val="21"/>
      </w:rPr>
      <w:t>第</w:t>
    </w:r>
    <w:r>
      <w:rPr>
        <w:rFonts w:ascii="宋体" w:hAnsi="宋体" w:cs="宋体"/>
        <w:kern w:val="0"/>
        <w:szCs w:val="21"/>
      </w:rPr>
      <w:t xml:space="preserve"> </w:t>
    </w:r>
    <w:r>
      <w:rPr>
        <w:rFonts w:ascii="宋体" w:hAnsi="宋体" w:cs="宋体"/>
        <w:kern w:val="0"/>
        <w:szCs w:val="21"/>
      </w:rPr>
      <w:fldChar w:fldCharType="begin"/>
    </w:r>
    <w:r>
      <w:rPr>
        <w:rFonts w:ascii="宋体" w:hAnsi="宋体" w:cs="宋体"/>
        <w:kern w:val="0"/>
        <w:szCs w:val="21"/>
      </w:rPr>
      <w:instrText xml:space="preserve"> PAGE </w:instrText>
    </w:r>
    <w:r>
      <w:rPr>
        <w:rFonts w:ascii="宋体" w:hAnsi="宋体" w:cs="宋体"/>
        <w:kern w:val="0"/>
        <w:szCs w:val="21"/>
      </w:rPr>
      <w:fldChar w:fldCharType="separate"/>
    </w:r>
    <w:r>
      <w:rPr>
        <w:rFonts w:ascii="宋体" w:hAnsi="宋体" w:cs="宋体"/>
        <w:kern w:val="0"/>
        <w:szCs w:val="21"/>
        <w:lang/>
      </w:rPr>
      <w:t>17</w:t>
    </w:r>
    <w:r>
      <w:rPr>
        <w:rFonts w:ascii="宋体" w:hAnsi="宋体" w:cs="宋体"/>
        <w:kern w:val="0"/>
        <w:szCs w:val="21"/>
      </w:rPr>
      <w:fldChar w:fldCharType="end"/>
    </w:r>
    <w:r>
      <w:rPr>
        <w:rFonts w:ascii="宋体" w:hAnsi="宋体" w:cs="宋体"/>
        <w:kern w:val="0"/>
        <w:szCs w:val="21"/>
      </w:rPr>
      <w:t xml:space="preserve"> </w:t>
    </w:r>
    <w:r>
      <w:rPr>
        <w:rFonts w:hint="eastAsia" w:ascii="宋体" w:hAnsi="宋体" w:cs="宋体"/>
        <w:kern w:val="0"/>
        <w:szCs w:val="21"/>
      </w:rPr>
      <w:t>页</w:t>
    </w:r>
    <w:r>
      <w:rPr>
        <w:rFonts w:ascii="宋体" w:hAnsi="宋体" w:cs="宋体"/>
        <w:kern w:val="0"/>
        <w:szCs w:val="21"/>
      </w:rPr>
      <w:t xml:space="preserve"> </w:t>
    </w:r>
    <w:r>
      <w:rPr>
        <w:rFonts w:hint="eastAsia" w:ascii="宋体" w:hAnsi="宋体" w:cs="宋体"/>
        <w:kern w:val="0"/>
        <w:szCs w:val="21"/>
      </w:rPr>
      <w:t>共</w:t>
    </w:r>
    <w:r>
      <w:rPr>
        <w:rFonts w:ascii="宋体" w:hAnsi="宋体" w:cs="宋体"/>
        <w:kern w:val="0"/>
        <w:szCs w:val="21"/>
      </w:rPr>
      <w:t xml:space="preserve"> </w:t>
    </w:r>
    <w:r>
      <w:rPr>
        <w:rFonts w:ascii="宋体" w:hAnsi="宋体" w:cs="宋体"/>
        <w:kern w:val="0"/>
        <w:szCs w:val="21"/>
      </w:rPr>
      <w:fldChar w:fldCharType="begin"/>
    </w:r>
    <w:r>
      <w:rPr>
        <w:rFonts w:ascii="宋体" w:hAnsi="宋体" w:cs="宋体"/>
        <w:kern w:val="0"/>
        <w:szCs w:val="21"/>
      </w:rPr>
      <w:instrText xml:space="preserve"> NUMPAGES </w:instrText>
    </w:r>
    <w:r>
      <w:rPr>
        <w:rFonts w:ascii="宋体" w:hAnsi="宋体" w:cs="宋体"/>
        <w:kern w:val="0"/>
        <w:szCs w:val="21"/>
      </w:rPr>
      <w:fldChar w:fldCharType="separate"/>
    </w:r>
    <w:r>
      <w:rPr>
        <w:rFonts w:ascii="宋体" w:hAnsi="宋体" w:cs="宋体"/>
        <w:kern w:val="0"/>
        <w:szCs w:val="21"/>
        <w:lang/>
      </w:rPr>
      <w:t>58</w:t>
    </w:r>
    <w:r>
      <w:rPr>
        <w:rFonts w:ascii="宋体" w:hAnsi="宋体" w:cs="宋体"/>
        <w:kern w:val="0"/>
        <w:szCs w:val="21"/>
      </w:rPr>
      <w:fldChar w:fldCharType="end"/>
    </w:r>
    <w:r>
      <w:rPr>
        <w:rFonts w:ascii="宋体" w:hAnsi="宋体" w:cs="宋体"/>
        <w:kern w:val="0"/>
        <w:szCs w:val="21"/>
      </w:rPr>
      <w:t xml:space="preserve"> </w:t>
    </w:r>
    <w:r>
      <w:rPr>
        <w:rFonts w:hint="eastAsia" w:ascii="宋体" w:hAnsi="宋体" w:cs="宋体"/>
        <w:kern w:val="0"/>
        <w:szCs w:val="21"/>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0"/>
      <w:tblW w:w="0" w:type="auto"/>
      <w:tblInd w:w="108" w:type="dxa"/>
      <w:tblLayout w:type="fixed"/>
      <w:tblCellMar>
        <w:top w:w="0" w:type="dxa"/>
        <w:left w:w="108" w:type="dxa"/>
        <w:bottom w:w="0" w:type="dxa"/>
        <w:right w:w="108" w:type="dxa"/>
      </w:tblCellMar>
    </w:tblPr>
    <w:tblGrid>
      <w:gridCol w:w="301"/>
      <w:gridCol w:w="8669"/>
    </w:tblGrid>
    <w:tr>
      <w:tblPrEx>
        <w:tblCellMar>
          <w:top w:w="0" w:type="dxa"/>
          <w:left w:w="108" w:type="dxa"/>
          <w:bottom w:w="0" w:type="dxa"/>
          <w:right w:w="108" w:type="dxa"/>
        </w:tblCellMar>
      </w:tblPrEx>
      <w:trPr>
        <w:wBefore w:w="0" w:type="auto"/>
      </w:trPr>
      <w:tc>
        <w:tcPr>
          <w:tcW w:w="301" w:type="dxa"/>
          <w:tcBorders>
            <w:top w:val="nil"/>
            <w:left w:val="nil"/>
            <w:bottom w:val="nil"/>
            <w:right w:val="nil"/>
          </w:tcBorders>
          <w:noWrap w:val="0"/>
          <w:vAlign w:val="top"/>
        </w:tcPr>
        <w:p>
          <w:pPr>
            <w:autoSpaceDE w:val="0"/>
            <w:autoSpaceDN w:val="0"/>
            <w:adjustRightInd w:val="0"/>
            <w:spacing w:line="240" w:lineRule="atLeast"/>
            <w:jc w:val="left"/>
            <w:rPr>
              <w:rFonts w:ascii="宋体"/>
              <w:kern w:val="0"/>
              <w:sz w:val="24"/>
              <w:szCs w:val="24"/>
            </w:rPr>
          </w:pPr>
          <w:r>
            <w:rPr>
              <w:rFonts w:ascii="宋体"/>
              <w:kern w:val="0"/>
              <w:sz w:val="24"/>
              <w:szCs w:val="24"/>
            </w:rPr>
            <w:pict>
              <v:shape id="_x0000_i1025" o:spt="75" type="#_x0000_t75" style="height:17.65pt;width:17.65pt;" filled="f" stroked="f" coordsize="21600,21600">
                <v:path/>
                <v:fill on="f" focussize="0,0"/>
                <v:stroke on="f"/>
                <v:imagedata r:id="rId1" o:title=""/>
                <o:lock v:ext="edit" aspectratio="t"/>
                <w10:wrap type="none"/>
                <w10:anchorlock/>
              </v:shape>
            </w:pict>
          </w:r>
        </w:p>
      </w:tc>
      <w:tc>
        <w:tcPr>
          <w:tcW w:w="8669" w:type="dxa"/>
          <w:tcBorders>
            <w:top w:val="nil"/>
            <w:left w:val="nil"/>
            <w:bottom w:val="nil"/>
            <w:right w:val="nil"/>
          </w:tcBorders>
          <w:noWrap w:val="0"/>
          <w:vAlign w:val="center"/>
        </w:tcPr>
        <w:p>
          <w:pPr>
            <w:autoSpaceDE w:val="0"/>
            <w:autoSpaceDN w:val="0"/>
            <w:adjustRightInd w:val="0"/>
            <w:spacing w:before="30" w:line="211" w:lineRule="exact"/>
            <w:ind w:left="15"/>
            <w:jc w:val="right"/>
            <w:rPr>
              <w:rFonts w:ascii="宋体" w:cs="宋体"/>
              <w:color w:val="000000"/>
              <w:kern w:val="0"/>
              <w:szCs w:val="21"/>
            </w:rPr>
          </w:pPr>
          <w:r>
            <w:rPr>
              <w:rFonts w:hint="eastAsia" w:ascii="宋体" w:cs="宋体"/>
              <w:color w:val="000000"/>
              <w:kern w:val="0"/>
              <w:szCs w:val="21"/>
            </w:rPr>
            <w:t>创金合信鑫动力灵活配置混合型证券投资基金</w:t>
          </w:r>
          <w:r>
            <w:rPr>
              <w:rFonts w:ascii="宋体" w:cs="宋体"/>
              <w:color w:val="000000"/>
              <w:kern w:val="0"/>
              <w:szCs w:val="21"/>
            </w:rPr>
            <w:t>2016</w:t>
          </w:r>
          <w:r>
            <w:rPr>
              <w:rFonts w:hint="eastAsia" w:ascii="宋体" w:cs="宋体"/>
              <w:color w:val="000000"/>
              <w:kern w:val="0"/>
              <w:szCs w:val="21"/>
            </w:rPr>
            <w:t>年年度报告</w:t>
          </w:r>
        </w:p>
      </w:tc>
    </w:tr>
    <w:tr>
      <w:tblPrEx>
        <w:tblCellMar>
          <w:top w:w="0" w:type="dxa"/>
          <w:left w:w="108" w:type="dxa"/>
          <w:bottom w:w="0" w:type="dxa"/>
          <w:right w:w="108" w:type="dxa"/>
        </w:tblCellMar>
      </w:tblPrEx>
      <w:trPr>
        <w:wBefore w:w="0" w:type="auto"/>
      </w:trPr>
      <w:tc>
        <w:tcPr>
          <w:tcW w:w="8970" w:type="dxa"/>
          <w:gridSpan w:val="2"/>
          <w:tcBorders>
            <w:top w:val="single" w:color="000000" w:sz="8" w:space="0"/>
            <w:left w:val="nil"/>
            <w:bottom w:val="nil"/>
            <w:right w:val="nil"/>
          </w:tcBorders>
          <w:noWrap w:val="0"/>
          <w:vAlign w:val="top"/>
        </w:tcPr>
        <w:p>
          <w:pPr>
            <w:autoSpaceDE w:val="0"/>
            <w:autoSpaceDN w:val="0"/>
            <w:adjustRightInd w:val="0"/>
            <w:jc w:val="left"/>
            <w:rPr>
              <w:rFonts w:ascii="Arial" w:hAnsi="Arial" w:cs="Arial"/>
              <w:color w:val="000000"/>
              <w:kern w:val="0"/>
              <w:szCs w:val="21"/>
            </w:rPr>
          </w:pPr>
        </w:p>
      </w:tc>
    </w:tr>
  </w:tbl>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720"/>
  <w:hyphenationZone w:val="360"/>
  <w:drawingGridHorizontalSpacing w:val="120"/>
  <w:drawingGridVerticalSpacing w:val="120"/>
  <w:displayHorizontalDrawingGridEvery w:val="0"/>
  <w:displayVerticalDrawingGridEvery w:val="3"/>
  <w:doNotUseMarginsForDrawingGridOrigin w:val="1"/>
  <w:drawingGridHorizontalOrigin w:val="1701"/>
  <w:drawingGridVerticalOrigin w:val="1984"/>
  <w:doNotShadeFormData w:val="1"/>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827C6"/>
    <w:rsid w:val="00052CA4"/>
    <w:rsid w:val="000530EB"/>
    <w:rsid w:val="001C460D"/>
    <w:rsid w:val="003A0A87"/>
    <w:rsid w:val="004C10B3"/>
    <w:rsid w:val="0056244E"/>
    <w:rsid w:val="0071351B"/>
    <w:rsid w:val="00752D5F"/>
    <w:rsid w:val="007723FD"/>
    <w:rsid w:val="007E4D0E"/>
    <w:rsid w:val="00854033"/>
    <w:rsid w:val="009A0370"/>
    <w:rsid w:val="009A60FF"/>
    <w:rsid w:val="00A76A18"/>
    <w:rsid w:val="00A827C6"/>
    <w:rsid w:val="00BF69B6"/>
    <w:rsid w:val="00C26E41"/>
    <w:rsid w:val="00D27CD1"/>
    <w:rsid w:val="00E57519"/>
    <w:rsid w:val="00EB01FC"/>
    <w:rsid w:val="00F5756F"/>
    <w:rsid w:val="43BB1373"/>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11">
    <w:name w:val="Default Paragraph Font"/>
    <w:semiHidden/>
    <w:unhideWhenUsed/>
    <w:uiPriority w:val="1"/>
  </w:style>
  <w:style w:type="table" w:default="1" w:styleId="10">
    <w:name w:val="Normal Table"/>
    <w:semiHidden/>
    <w:unhideWhenUsed/>
    <w:qFormat/>
    <w:uiPriority w:val="99"/>
    <w:tblPr>
      <w:tblStyle w:val="10"/>
      <w:tblCellMar>
        <w:top w:w="0" w:type="dxa"/>
        <w:left w:w="108" w:type="dxa"/>
        <w:bottom w:w="0" w:type="dxa"/>
        <w:right w:w="108" w:type="dxa"/>
      </w:tblCellMar>
    </w:tblPr>
    <w:trPr>
      <w:wBefore w:w="0" w:type="dxa"/>
    </w:trPr>
  </w:style>
  <w:style w:type="paragraph" w:styleId="2">
    <w:name w:val="Document Map"/>
    <w:basedOn w:val="1"/>
    <w:link w:val="14"/>
    <w:semiHidden/>
    <w:unhideWhenUsed/>
    <w:uiPriority w:val="99"/>
    <w:rPr>
      <w:rFonts w:ascii="宋体" w:eastAsia="宋体"/>
      <w:sz w:val="18"/>
      <w:szCs w:val="18"/>
    </w:rPr>
  </w:style>
  <w:style w:type="paragraph" w:styleId="3">
    <w:name w:val="annotation text"/>
    <w:basedOn w:val="1"/>
    <w:link w:val="17"/>
    <w:semiHidden/>
    <w:unhideWhenUsed/>
    <w:uiPriority w:val="99"/>
    <w:pPr>
      <w:jc w:val="left"/>
    </w:pPr>
  </w:style>
  <w:style w:type="paragraph" w:styleId="4">
    <w:name w:val="Balloon Text"/>
    <w:basedOn w:val="1"/>
    <w:link w:val="19"/>
    <w:semiHidden/>
    <w:unhideWhenUsed/>
    <w:uiPriority w:val="99"/>
    <w:rPr>
      <w:sz w:val="18"/>
      <w:szCs w:val="18"/>
    </w:rPr>
  </w:style>
  <w:style w:type="paragraph" w:styleId="5">
    <w:name w:val="footer"/>
    <w:basedOn w:val="1"/>
    <w:link w:val="16"/>
    <w:semiHidden/>
    <w:unhideWhenUsed/>
    <w:uiPriority w:val="99"/>
    <w:pPr>
      <w:tabs>
        <w:tab w:val="center" w:pos="4153"/>
        <w:tab w:val="right" w:pos="8306"/>
      </w:tabs>
      <w:snapToGrid w:val="0"/>
      <w:jc w:val="left"/>
    </w:pPr>
    <w:rPr>
      <w:sz w:val="18"/>
      <w:szCs w:val="18"/>
    </w:rPr>
  </w:style>
  <w:style w:type="paragraph" w:styleId="6">
    <w:name w:val="header"/>
    <w:basedOn w:val="1"/>
    <w:link w:val="15"/>
    <w:semiHidden/>
    <w:unhideWhenUsed/>
    <w:uiPriority w:val="99"/>
    <w:pPr>
      <w:pBdr>
        <w:bottom w:val="single" w:color="auto" w:sz="6" w:space="1"/>
      </w:pBdr>
      <w:tabs>
        <w:tab w:val="center" w:pos="4153"/>
        <w:tab w:val="right" w:pos="8306"/>
      </w:tabs>
      <w:snapToGrid w:val="0"/>
      <w:jc w:val="center"/>
    </w:pPr>
    <w:rPr>
      <w:sz w:val="18"/>
      <w:szCs w:val="18"/>
    </w:rPr>
  </w:style>
  <w:style w:type="paragraph" w:styleId="7">
    <w:name w:val="toc 1"/>
    <w:basedOn w:val="1"/>
    <w:next w:val="1"/>
    <w:unhideWhenUsed/>
    <w:uiPriority w:val="39"/>
  </w:style>
  <w:style w:type="paragraph" w:styleId="8">
    <w:name w:val="toc 2"/>
    <w:basedOn w:val="1"/>
    <w:next w:val="1"/>
    <w:unhideWhenUsed/>
    <w:uiPriority w:val="39"/>
    <w:pPr>
      <w:ind w:left="420" w:leftChars="200"/>
    </w:pPr>
  </w:style>
  <w:style w:type="paragraph" w:styleId="9">
    <w:name w:val="annotation subject"/>
    <w:basedOn w:val="3"/>
    <w:next w:val="3"/>
    <w:link w:val="18"/>
    <w:semiHidden/>
    <w:unhideWhenUsed/>
    <w:uiPriority w:val="99"/>
    <w:rPr>
      <w:b/>
      <w:bCs/>
    </w:rPr>
  </w:style>
  <w:style w:type="character" w:styleId="12">
    <w:name w:val="Hyperlink"/>
    <w:unhideWhenUsed/>
    <w:uiPriority w:val="99"/>
    <w:rPr>
      <w:rFonts w:cs="Times New Roman"/>
      <w:color w:val="0000FF"/>
      <w:u w:val="single"/>
    </w:rPr>
  </w:style>
  <w:style w:type="character" w:styleId="13">
    <w:name w:val="annotation reference"/>
    <w:semiHidden/>
    <w:unhideWhenUsed/>
    <w:uiPriority w:val="99"/>
    <w:rPr>
      <w:sz w:val="21"/>
      <w:szCs w:val="21"/>
    </w:rPr>
  </w:style>
  <w:style w:type="character" w:customStyle="1" w:styleId="14">
    <w:name w:val="文档结构图 Char"/>
    <w:link w:val="2"/>
    <w:semiHidden/>
    <w:locked/>
    <w:uiPriority w:val="99"/>
    <w:rPr>
      <w:rFonts w:ascii="宋体" w:eastAsia="宋体" w:cs="Times New Roman"/>
      <w:sz w:val="18"/>
      <w:szCs w:val="18"/>
    </w:rPr>
  </w:style>
  <w:style w:type="character" w:customStyle="1" w:styleId="15">
    <w:name w:val="页眉 Char"/>
    <w:link w:val="6"/>
    <w:semiHidden/>
    <w:locked/>
    <w:uiPriority w:val="99"/>
    <w:rPr>
      <w:rFonts w:cs="Times New Roman"/>
      <w:sz w:val="18"/>
      <w:szCs w:val="18"/>
    </w:rPr>
  </w:style>
  <w:style w:type="character" w:customStyle="1" w:styleId="16">
    <w:name w:val="页脚 Char"/>
    <w:link w:val="5"/>
    <w:semiHidden/>
    <w:locked/>
    <w:uiPriority w:val="99"/>
    <w:rPr>
      <w:rFonts w:cs="Times New Roman"/>
      <w:sz w:val="18"/>
      <w:szCs w:val="18"/>
    </w:rPr>
  </w:style>
  <w:style w:type="character" w:customStyle="1" w:styleId="17">
    <w:name w:val="批注文字 Char"/>
    <w:link w:val="3"/>
    <w:semiHidden/>
    <w:uiPriority w:val="99"/>
    <w:rPr>
      <w:rFonts w:cs="Times New Roman"/>
      <w:szCs w:val="22"/>
    </w:rPr>
  </w:style>
  <w:style w:type="character" w:customStyle="1" w:styleId="18">
    <w:name w:val="批注主题 Char"/>
    <w:link w:val="9"/>
    <w:semiHidden/>
    <w:uiPriority w:val="99"/>
    <w:rPr>
      <w:rFonts w:cs="Times New Roman"/>
      <w:b/>
      <w:bCs/>
      <w:szCs w:val="22"/>
    </w:rPr>
  </w:style>
  <w:style w:type="character" w:customStyle="1" w:styleId="19">
    <w:name w:val="批注框文本 Char"/>
    <w:link w:val="4"/>
    <w:semiHidden/>
    <w:uiPriority w:val="99"/>
    <w:rPr>
      <w:rFonts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emf"/><Relationship Id="rId8" Type="http://schemas.openxmlformats.org/officeDocument/2006/relationships/image" Target="media/image4.emf"/><Relationship Id="rId7" Type="http://schemas.openxmlformats.org/officeDocument/2006/relationships/image" Target="media/image3.emf"/><Relationship Id="rId6" Type="http://schemas.openxmlformats.org/officeDocument/2006/relationships/image" Target="media/image2.emf"/><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58</Pages>
  <Words>6743</Words>
  <Characters>38438</Characters>
  <Lines>320</Lines>
  <Paragraphs>90</Paragraphs>
  <TotalTime>0</TotalTime>
  <ScaleCrop>false</ScaleCrop>
  <LinksUpToDate>false</LinksUpToDate>
  <CharactersWithSpaces>45091</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2017-03-22T05:54:00Z</dcterms:created>
  <dc:creator>FastReport</dc:creator>
  <cp:lastModifiedBy>Administrator</cp:lastModifiedBy>
  <dcterms:modified xsi:type="dcterms:W3CDTF">2019-12-26T14:07:15Z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