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创金合信鑫动力灵活配置混合型证券投资基金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基金托管人:中国邮政储蓄银行股份有限公司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803"/>
      <w:r>
        <w:rPr>
          <w:rFonts w:hint="eastAsia" w:hAnsi="Calibri"/>
          <w:b/>
          <w:color w:val="000000"/>
        </w:rPr>
        <w:t>§1  重要提示及目录</w:t>
      </w:r>
      <w:bookmarkEnd w:id="0"/>
      <w:r>
        <w:rPr>
          <w:rFonts w:hint="eastAsia"/>
        </w:rPr>
        <w:t xml:space="preserve"> </w:t>
      </w:r>
    </w:p>
    <w:p>
      <w:pPr>
        <w:pStyle w:val="14"/>
        <w:rPr>
          <w:rFonts w:hint="eastAsia"/>
        </w:rPr>
      </w:pPr>
      <w:bookmarkStart w:id="1" w:name="_Toc51010080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邮政储蓄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805"/>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"_Toc510100803"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_Toc510100803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_Toc510100804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_Toc510100805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"_Toc510100806"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_Toc510100806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_Toc510100807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_Toc510100808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_Toc510100809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_Toc510100810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_Toc510100811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"_Toc510100812"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_Toc510100812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_Toc510100813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_Toc510100814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_Toc510100815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"_Toc510100816"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_Toc510100816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_Toc510100817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"_Toc510100818"</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_Toc510100818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"_Toc510100819"</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_Toc510100819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"_Toc510100820"</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_Toc510100820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"_Toc510100821"</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_Toc510100821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"_Toc510100822"</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_Toc510100822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"_Toc510100823"</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_Toc510100823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_Toc510100824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_Toc510100825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"_Toc510100826"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_Toc510100826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_Toc510100827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_Toc510100828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_Toc510100829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"_Toc510100830"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_Toc510100830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_Toc510100831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_Toc510100832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"_Toc510100833"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_Toc510100833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_Toc510100834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_Toc510100835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_Toc510100836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_Toc510100837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"_Toc510100838"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_Toc510100838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_Toc510100839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_Toc510100840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_Toc510100841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_Toc510100842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_Toc510100843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_Toc510100844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_Toc510100845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_Toc510100846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_Toc510100847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_Toc510100848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_Toc510100849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_Toc510100850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"_Toc510100851"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_Toc510100851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_Toc510100852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"_Toc510100853"</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_Toc510100853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"_Toc510100854"</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_Toc510100854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"_Toc510100855"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_Toc510100855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"_Toc510100856"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_Toc510100856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_Toc510100857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_Toc510100858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_Toc510100859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_Toc510100860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_Toc510100861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_Toc510100862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_Toc510100863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_Toc510100864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"_Toc510100865"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_Toc510100865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_Toc510100866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_Toc510100867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"_Toc510100868"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_Toc510100868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_Toc510100869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"_Toc510100870"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_Toc510100870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"_Toc510100871"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_Toc510100871 \h </w:instrText>
      </w:r>
      <w:r>
        <w:rPr>
          <w:lang/>
        </w:rPr>
        <w:fldChar w:fldCharType="separate"/>
      </w:r>
      <w:r>
        <w:rPr>
          <w:lang/>
        </w:rPr>
        <w:t>64</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80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80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003230</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2016年08月30日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4,161,012.40份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003231</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4,100,212.38份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60,800.02份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80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在严格控制风险的前提下，追求基金资产的稳健增值。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本基金为混合型基金，理论上其预期风险与预期收益水平低于股票型基金，高于债券型基金和货币市场基金。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80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田东辉</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010-68858113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tiandonghui@psbc.com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010-68858120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北京市西城区金融大街3号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北京市西城区金融大街3号A座</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100808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李国华</w:t>
            </w:r>
          </w:p>
        </w:tc>
      </w:tr>
    </w:tbl>
    <w:p>
      <w:pPr>
        <w:widowControl/>
        <w:jc w:val="left"/>
        <w:rPr>
          <w:rFonts w:hint="eastAsia" w:ascii="宋体" w:hAnsi="宋体" w:cs="宋体"/>
          <w:kern w:val="0"/>
          <w:sz w:val="24"/>
          <w:szCs w:val="24"/>
        </w:rPr>
      </w:pPr>
    </w:p>
    <w:p>
      <w:pPr>
        <w:pStyle w:val="14"/>
        <w:rPr>
          <w:rFonts w:hint="eastAsia"/>
        </w:rPr>
      </w:pPr>
      <w:bookmarkStart w:id="7" w:name="_Toc51010081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81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81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81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01"/>
        <w:gridCol w:w="1576"/>
        <w:gridCol w:w="1576"/>
        <w:gridCol w:w="1774"/>
        <w:gridCol w:w="1774"/>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2016年8月30日（基金合同生效日）-2016年12月31日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创金合信鑫动力混合C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-11,760,523.02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4,062,826.05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-2,237,719.22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-5,556,653.19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-681.34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-0.0059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358,522.15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-5,557,406.60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-716.94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4,458,734.53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62,444.64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794,545,603.50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93,544.49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4.本基金合同生效日为2016年8月30日，上年度可比期间的相关数据和指标按实际存续期计算。</w:t>
      </w:r>
    </w:p>
    <w:p>
      <w:pPr>
        <w:pStyle w:val="14"/>
        <w:rPr>
          <w:rFonts w:hint="eastAsia"/>
        </w:rPr>
      </w:pPr>
      <w:bookmarkStart w:id="11" w:name="_Toc51010081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创金合信鑫动力混合A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r>
    </w:tbl>
    <w:p>
      <w:pPr>
        <w:pStyle w:val="17"/>
        <w:rPr>
          <w:rFonts w:hint="eastAsia"/>
        </w:rPr>
      </w:pPr>
      <w:r>
        <w:rPr>
          <w:rFonts w:hint="eastAsia" w:hAnsi="Calibri"/>
          <w:color w:val="000000"/>
        </w:rPr>
        <w:t>创金合信鑫动力混合C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230_FB010010_20180002_2.jpg" type="#_x0000_t75" style="height:286.2pt;width:441pt;" filled="f" stroked="f" coordsize="21600,21600">
            <v:path/>
            <v:fill on="f" focussize="0,0"/>
            <v:stroke on="f"/>
            <v:imagedata r:id="rId10" grayscale="f" bilevel="f" o:title="CN_50990000_003230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230_FB010010_20180002_3.jpg" type="#_x0000_t75" style="height:286.2pt;width:441pt;" filled="f" stroked="f" coordsize="21600,21600">
            <v:path/>
            <v:fill on="f" focussize="0,0"/>
            <v:stroke on="f"/>
            <v:imagedata r:id="rId11" grayscale="f" bilevel="f" o:title="CN_50990000_003230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230_FB010010_20180002_4.jpg" type="#_x0000_t75" style="height:285.95pt;width:440.6pt;" filled="f" stroked="f" coordsize="21600,21600">
            <v:path/>
            <v:fill on="f" focussize="0,0"/>
            <v:stroke on="f"/>
            <v:imagedata r:id="rId12" grayscale="f" bilevel="f" o:title="CN_50990000_003230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230_FB010010_20180002_5.jpg" type="#_x0000_t75" style="height:285.95pt;width:440.6pt;" filled="f" stroked="f" coordsize="21600,21600">
            <v:path/>
            <v:fill on="f" focussize="0,0"/>
            <v:stroke on="f"/>
            <v:imagedata r:id="rId13" grayscale="f" bilevel="f" o:title="CN_50990000_003230_FB010010_20180002_5"/>
            <o:lock v:ext="edit" grouping="f" rotation="f" aspectratio="t"/>
            <w10:wrap type="none"/>
            <w10:anchorlock/>
          </v:shape>
        </w:pict>
      </w:r>
    </w:p>
    <w:p>
      <w:pPr>
        <w:pStyle w:val="14"/>
        <w:rPr>
          <w:rFonts w:hint="eastAsia"/>
        </w:rPr>
      </w:pPr>
      <w:bookmarkStart w:id="12" w:name="_Toc510100815"/>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本基金自基金合同生效日（2016年8月30日）至本报告期末未发生利润分配。</w:t>
      </w:r>
    </w:p>
    <w:p>
      <w:pPr>
        <w:pStyle w:val="13"/>
        <w:rPr>
          <w:rFonts w:hint="eastAsia"/>
        </w:rPr>
      </w:pPr>
      <w:bookmarkStart w:id="13" w:name="_Toc51010081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81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先生，中国国籍，新加坡南洋理工大学金融学硕士。2008年7月就职于国泰君安证券股份有限公司。2011年5月加入永安财产保险股份有限公司投资管理中心任固定收益研究员，2012年10月加入第一创业证券股份有限公司资产管理部任固定收益研究员，负责债券类组合的债券信用研究、组合投资管理等工作。2014年8月加入创金合信基金管理有限公司，历任信用研究主管、投资经理，负责固定收益研究、债券组合管理等工作，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818"/>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819"/>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820"/>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动力混合A基金份额净值为1.087元;本报告期内，基金份额净值增长率为9.47%，同期业绩比较基准收益率为7.32%;截至报告期末创金合信鑫动力混合C基金份额净值为1.027元;本报告期内，基金份额净值增长率为3.53%，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0821"/>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0822"/>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823"/>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824"/>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825"/>
      <w:r>
        <w:rPr>
          <w:rFonts w:hint="eastAsia"/>
          <w:b/>
          <w:bCs/>
        </w:rPr>
        <w:t>4.9 报告期内管理人对本基金持有人数或基金资产净值预警情形的说明</w:t>
      </w:r>
      <w:bookmarkEnd w:id="22"/>
    </w:p>
    <w:p>
      <w:pPr>
        <w:pStyle w:val="20"/>
        <w:rPr>
          <w:rFonts w:hint="eastAsia"/>
        </w:rPr>
      </w:pPr>
      <w:r>
        <w:rPr>
          <w:rFonts w:hint="eastAsia"/>
        </w:rPr>
        <w:t>  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51010082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827"/>
      <w:r>
        <w:rPr>
          <w:rFonts w:hint="eastAsia"/>
          <w:b/>
          <w:bCs/>
        </w:rPr>
        <w:t>5.1 报告期内本基金托管人遵规守信情况声明</w:t>
      </w:r>
      <w:bookmarkEnd w:id="24"/>
    </w:p>
    <w:p>
      <w:pPr>
        <w:pStyle w:val="20"/>
        <w:rPr>
          <w:rFonts w:hint="eastAsia"/>
        </w:rPr>
      </w:pPr>
      <w:r>
        <w:rPr>
          <w:rFonts w:hint="eastAsia"/>
        </w:rPr>
        <w:t>  本报告期内，中国邮政储蓄银行股份有限公司（以下称"本托管人"）在创金合信鑫动力灵活配置混合型证券投资基金（以下称"本基金"）的托管过程中，严格遵守《证券投资基金法》及其他有关法律法规、基金合同和托管协议的有关规定，不存在损害基金份额持有人利益的行为，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0828"/>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r>
        <w:rPr>
          <w:rFonts w:hint="eastAsia"/>
        </w:rPr>
        <w:br w:type="textWrapping"/>
      </w:r>
      <w:r>
        <w:rPr>
          <w:rFonts w:hint="eastAsia"/>
        </w:rPr>
        <w:t>  报告期内，本基金未实施利润分配。</w:t>
      </w:r>
    </w:p>
    <w:p>
      <w:pPr>
        <w:widowControl/>
        <w:jc w:val="left"/>
        <w:rPr>
          <w:rFonts w:hint="eastAsia" w:ascii="宋体" w:hAnsi="宋体" w:cs="宋体"/>
          <w:kern w:val="0"/>
          <w:sz w:val="24"/>
          <w:szCs w:val="24"/>
        </w:rPr>
      </w:pPr>
    </w:p>
    <w:p>
      <w:pPr>
        <w:pStyle w:val="14"/>
        <w:rPr>
          <w:rFonts w:hint="eastAsia"/>
        </w:rPr>
      </w:pPr>
      <w:bookmarkStart w:id="26" w:name="_Toc510100829"/>
      <w:r>
        <w:rPr>
          <w:rFonts w:hint="eastAsia"/>
          <w:b/>
          <w:bCs/>
        </w:rPr>
        <w:t>5.3 托管人对本年度报告中财务信息等内容的真实、准确和完整发表意见</w:t>
      </w:r>
      <w:bookmarkEnd w:id="26"/>
    </w:p>
    <w:p>
      <w:pPr>
        <w:pStyle w:val="20"/>
        <w:rPr>
          <w:rFonts w:hint="eastAsia"/>
        </w:rPr>
      </w:pPr>
      <w:r>
        <w:rPr>
          <w:rFonts w:hint="eastAsia"/>
        </w:rPr>
        <w:t>  本报告中的财务指标、净值表现、收益分配情况、财务会计报告、投资组合报告等数据真实、准确和完整。</w:t>
      </w:r>
    </w:p>
    <w:p>
      <w:pPr>
        <w:pStyle w:val="13"/>
        <w:rPr>
          <w:rFonts w:hint="eastAsia"/>
        </w:rPr>
      </w:pPr>
      <w:bookmarkStart w:id="27" w:name="_Toc51010083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83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普华永道中天审字(2018)第21844号</w:t>
            </w:r>
          </w:p>
        </w:tc>
      </w:tr>
    </w:tbl>
    <w:p>
      <w:pPr>
        <w:widowControl/>
        <w:jc w:val="left"/>
        <w:rPr>
          <w:rFonts w:hint="eastAsia" w:ascii="宋体" w:hAnsi="宋体" w:cs="宋体"/>
          <w:kern w:val="0"/>
          <w:sz w:val="24"/>
          <w:szCs w:val="24"/>
        </w:rPr>
      </w:pPr>
    </w:p>
    <w:p>
      <w:pPr>
        <w:pStyle w:val="14"/>
        <w:rPr>
          <w:rFonts w:hint="eastAsia"/>
        </w:rPr>
      </w:pPr>
      <w:bookmarkStart w:id="29" w:name="_Toc51010083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我们审计了创金合信鑫动力灵活配置混合型证券投资基金 (以下简称"创金合信鑫动力混合基金")的财务报表，包括2017年12月31日的资产负债表，2017年度的利润表和所有者权益(基金净值)变动表以及财务报表附注。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动力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按照中国注册会计师职业道德守则，我们独立于创金合信鑫动力混合基金，并履行了职业道德方面的其他责任。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动力混合基金的持续经营能力，披露与持续经营相关的事项(如适用)，并运用持续经营假设，除非基金管理人管理层计划清算创金合信鑫动力混合基金、终止运营或别无其他现实的选择。 基金管理人治理层负责监督创金合信鑫动力混合基金的财务报告过程。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动力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动力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83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834"/>
      <w:r>
        <w:rPr>
          <w:rFonts w:hint="eastAsia"/>
          <w:b/>
          <w:bCs/>
        </w:rPr>
        <w:t>7.1 资产负债表</w:t>
      </w:r>
      <w:bookmarkEnd w:id="31"/>
    </w:p>
    <w:p>
      <w:pPr>
        <w:pStyle w:val="17"/>
        <w:rPr>
          <w:rFonts w:hint="eastAsia"/>
        </w:rPr>
      </w:pPr>
      <w:r>
        <w:rPr>
          <w:rFonts w:hint="eastAsia"/>
        </w:rPr>
        <w:t>会计主体：创金合信鑫动力灵活配置混合型证券投资基金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3,260,186.65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141,348.67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1,006,616,698.41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44,905,328.81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961,711,369.60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6,357,114.48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18,104,008.88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4,600,730.70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1,055,583,526.52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259,749,210.37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144,908.51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2,306.68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403,238.93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134,412.98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187,936.68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199,655.08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79,551.53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260,944,378.53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4,161,012.40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800,197,271.53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360,166.77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-5,558,123.54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4,521,179.17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794,639,147.99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4,600,730.70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1,055,583,526.52</w:t>
            </w:r>
          </w:p>
        </w:tc>
      </w:tr>
    </w:tbl>
    <w:p>
      <w:pPr>
        <w:pStyle w:val="20"/>
        <w:rPr>
          <w:rFonts w:hint="eastAsia"/>
        </w:rPr>
      </w:pPr>
      <w:r>
        <w:rPr>
          <w:rFonts w:hint="eastAsia"/>
        </w:rPr>
        <w:t>1.报告截止日2017年12月31日，基金份额总额4,161,012.40份，其中下属A类基金份额4,100,212.38份，C类基金份额60,800.02份。下属A类基金份额净值1.087元，C类基金份额净值1.027元。</w:t>
      </w:r>
      <w:r>
        <w:rPr>
          <w:rFonts w:hint="eastAsia"/>
        </w:rPr>
        <w:br w:type="textWrapping"/>
      </w:r>
      <w:r>
        <w:rPr>
          <w:rFonts w:hint="eastAsia"/>
        </w:rPr>
        <w:t>2.本基金合同生效日为2016年8月30日，上年度可比期间为2016年8月30日至2016年12月31日。</w:t>
      </w:r>
    </w:p>
    <w:p>
      <w:pPr>
        <w:pStyle w:val="14"/>
        <w:rPr>
          <w:rFonts w:hint="eastAsia"/>
        </w:rPr>
      </w:pPr>
      <w:bookmarkStart w:id="32" w:name="_Toc510100835"/>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会计主体：创金合信鑫动力灵活配置混合型证券投资基金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2016年08月30日（基金合同生效日）至2016年12月31日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1,750,356.29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-1,803,293.30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10,490,612.93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9,245,679.09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497,630.20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9,331,359.49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8,409,280.98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1,055,936.15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338,767.91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-18,269,435.81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-1,428,342.31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-849,068.31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1,047,576.28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-17,432,074.10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-2,563,997.09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9,522,533.04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-9,620,758.04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3,985,625.99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3,754,041.23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1,491,607.66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1,611,459.14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537,153.03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448,749.41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347,244.40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1,444,126.03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1,132,706.26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1,444,126.03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1,132,706.26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-2,235,269.70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-5,557,334.53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-2,235,269.70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-5,557,334.53</w:t>
            </w:r>
          </w:p>
        </w:tc>
      </w:tr>
    </w:tbl>
    <w:p>
      <w:pPr>
        <w:pStyle w:val="20"/>
        <w:rPr>
          <w:rFonts w:hint="eastAsia"/>
        </w:rPr>
      </w:pPr>
      <w:r>
        <w:rPr>
          <w:rFonts w:hint="eastAsia"/>
        </w:rPr>
        <w:t>注：本基金合同生效日为2016年8月30日，上年度可比期间为2016年8月30日至2016年12月31日。</w:t>
      </w:r>
    </w:p>
    <w:p>
      <w:pPr>
        <w:pStyle w:val="14"/>
        <w:rPr>
          <w:rFonts w:hint="eastAsia"/>
        </w:rPr>
      </w:pPr>
      <w:bookmarkStart w:id="33" w:name="_Toc510100836"/>
      <w:r>
        <w:rPr>
          <w:rFonts w:hint="eastAsia"/>
          <w:b/>
          <w:bCs/>
        </w:rPr>
        <w:t>7.3 所有者权益（基金净值）变动表</w:t>
      </w:r>
      <w:bookmarkEnd w:id="33"/>
    </w:p>
    <w:p>
      <w:pPr>
        <w:pStyle w:val="17"/>
        <w:rPr>
          <w:rFonts w:hint="eastAsia"/>
        </w:rPr>
      </w:pPr>
      <w:r>
        <w:rPr>
          <w:rFonts w:hint="eastAsia"/>
        </w:rPr>
        <w:t>会计主体：创金合信鑫动力灵活配置混合型证券投资基金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800,197,271.53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-5,558,123.54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794,639,147.99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-2,235,269.70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-2,235,269.70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-796,036,259.13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8,153,560.01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-787,882,699.12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1,415,325.05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97,917.45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1,513,242.50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-797,451,584.18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8,055,642.56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-789,395,941.62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4,161,012.40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360,166.77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4,521,179.17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2016年08月30日（基金合同生效日）至2016年12月31日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800,228,053.21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800,228,053.21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-5,557,334.53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-5,557,334.53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-30,781.68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-31,570.69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50,897.24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50,240.07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-81,678.92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-81,810.76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800,197,271.53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-5,558,123.54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794,639,147.99</w:t>
            </w:r>
          </w:p>
        </w:tc>
      </w:tr>
    </w:tbl>
    <w:p>
      <w:pPr>
        <w:pStyle w:val="20"/>
        <w:rPr>
          <w:rFonts w:hint="eastAsia"/>
        </w:rPr>
      </w:pPr>
      <w:r>
        <w:rPr>
          <w:rFonts w:hint="eastAsia"/>
        </w:rPr>
        <w:t>注：本基金合同生效日为2016年8月30日，上年度可比期间为2016年8月30日至2016年12月31日。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837"/>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创金合信鑫动力灵活配置混合型证券投资基金(以下简称"本基金")经中国证券监督管理委员会(以下简称"中国证监会") 证监许可[2015]2099号《关于准予创金合信鑫动力灵活配置混合型证券投资基金注册的批复》和中国证监会机构部函[2016]1427号《关于创金合信鑫动力灵活配置混合型证券投资基金延期募集备案的回函》核准，由创金合信基金管理有限公司依照《中华人民共和国证券投资基金法》和《创金合信鑫动力灵活配置混合型证券投资基金基金合同》负责公开募集。本基金为契约型开放式，存续期限不定，首次设立募集不包括认购资金利息共募集人民币800,214,719.75元，业经普华永道中天会计师事务所(特殊普通合伙)普华永道中天验字(2016)第1131号验资报告予以验证。经向中国证监会备案，《创金合信鑫动力灵活配置混合型证券投资基金基金合同》于2016年8月30日正式生效，基金合同生效日的基金份额总额为800,228,053.21份基金份额，其中认购资金利息折合13,333.46份基金份额。本基金的基金管理人为创金合信基金管理有限公司，基金托管人为中国邮政储蓄银行股份有限公司(以下简称"中国邮政储蓄银行")。</w:t>
      </w:r>
      <w:r>
        <w:rPr>
          <w:rFonts w:hint="eastAsia"/>
        </w:rPr>
        <w:br w:type="textWrapping"/>
      </w:r>
      <w:r>
        <w:rPr>
          <w:rFonts w:hint="eastAsia"/>
        </w:rPr>
        <w:t>  根据《中华人民共和国证券投资基金法》和《创金合信鑫动力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动力灵活配置混合型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2017年12月31日，本基金出现连续60个工作日基金资产净值低于5,000万元的情形，本基金的基金管理人已向中国证监会报告并在评估后续处理方案，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本基金会计年度为公历1月1日起至12月31日止。比较财务报表的实际编制期间为2016年8月30日(基金合同生效日)至2016年12月31日止期间。</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 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w:t>
      </w:r>
      <w:r>
        <w:rPr>
          <w:rFonts w:hint="eastAsia"/>
        </w:rPr>
        <w:br w:type="textWrapping"/>
      </w:r>
      <w:r>
        <w:rPr>
          <w:rFonts w:hint="eastAsia"/>
        </w:rPr>
        <w:t>  (2) 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本基金持有的股票投资和债券投资按如下原则确定公允价值并进行估值：</w:t>
      </w:r>
      <w:r>
        <w:rPr>
          <w:rFonts w:hint="eastAsia"/>
        </w:rPr>
        <w:br w:type="textWrapping"/>
      </w:r>
      <w:r>
        <w:rPr>
          <w:rFonts w:hint="eastAsia"/>
        </w:rPr>
        <w:t>  </w:t>
      </w:r>
      <w:r>
        <w:rPr>
          <w:rFonts w:hint="eastAsia"/>
        </w:rPr>
        <w:br w:type="textWrapping"/>
      </w:r>
      <w:r>
        <w:rPr>
          <w:rFonts w:hint="eastAsia"/>
        </w:rPr>
        <w:t>  (1)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w:t>
      </w:r>
      <w:r>
        <w:rPr>
          <w:rFonts w:hint="eastAsia"/>
        </w:rPr>
        <w:br w:type="textWrapping"/>
      </w:r>
      <w:r>
        <w:rPr>
          <w:rFonts w:hint="eastAsia"/>
        </w:rPr>
        <w:t>  (2)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w:t>
      </w:r>
      <w:r>
        <w:rPr>
          <w:rFonts w:hint="eastAsia"/>
        </w:rPr>
        <w:br w:type="textWrapping"/>
      </w:r>
      <w:r>
        <w:rPr>
          <w:rFonts w:hint="eastAsia"/>
        </w:rPr>
        <w:t>  (3)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2,902,025.00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-20,135.00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2,902,025.00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-20,135.00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3,893,825.00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3,795,600.00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-98,225.00</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48,242,888.66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44,905,328.81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-3,337,559.85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40,215,164.93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39,576,369.60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-638,795.33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927,779,402.86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922,135,000.00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-5,644,402.86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967,994,567.79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961,711,369.60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-6,283,198.19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1,016,237,456.45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1,006,616,698.41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-9,620,758.04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685"/>
        <w:gridCol w:w="4485"/>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18,099,750.42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18,104,008.88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162,495.72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25,440.96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187,936.68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创金合信鑫动力混合A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(创金合信鑫动力混合A)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800,103,010.10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800,103,010.10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1,370,551.68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1,370,551.68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-797,373,349.40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-797,373,349.40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4,100,212.38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4,100,212.38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创金合信鑫动力混合C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(创金合信鑫动力混合C)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94,261.43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94,261.43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44,773.37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44,773.37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-78,234.78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-78,234.78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60,800.02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60,800.02</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创金合信鑫动力混合A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(创金合信鑫动力混合A)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4,062,839.06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-9,620,245.66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-5,557,406.60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-11,760,523.02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9,522,803.80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-2,237,719.22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8,144,860.71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8,787.26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8,153,647.97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116,248.22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97,592.65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8,028,612.49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27,442.83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8,056,055.32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447,176.75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-88,654.60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358,522.15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创金合信鑫动力混合C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(创金合信鑫动力混合C)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2,720.28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2,449.52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324.80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-412.76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1,644.62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92,475.88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178,075.95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298,958.33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20,290.55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497,630.20</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178,090,423.75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111,186,828.04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178,939,492.06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110,139,251.76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-849,068.31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1,047,576.28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-17,432,074.10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-2,563,997.09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-17,432,074.10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-2,563,997.09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1,767,827,350.57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970,667,634.53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1,754,360,131.21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959,702,048.96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30,899,293.46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13,529,582.66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-17,432,074.10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-2,563,997.09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9,522,533.04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-9,620,758.04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3,259,469.85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-3,337,559.85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6,263,063.19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-6,283,198.19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9,522,533.04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-9,620,758.04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430,574.41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330,044.40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448,749.41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347,244.40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29,589.30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36,985.95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5192"/>
        <w:gridCol w:w="4006"/>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1274"/>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308,967,282.55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268,811,678.01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本基金本报告期及上年度可比期间未有通过关联方交易单元进行的权证交易。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225,026.34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194,865.89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162,495.72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34"/>
        <w:gridCol w:w="1803"/>
        <w:gridCol w:w="1158"/>
        <w:gridCol w:w="1939"/>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51,018,396.45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145,780,775.78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78"/>
        <w:gridCol w:w="1786"/>
        <w:gridCol w:w="1218"/>
        <w:gridCol w:w="1852"/>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1,491,607.66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1,611,459.14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187.23</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537,153.03</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基金托管费每日计提，逐日累计至每月月末，按月支付。由基金管理人在次月初3个工作日内出具资金划拨指令，基金托管人复核无误后于2个工作日内进行支付。若遇法定节假日、休息日等，支付日期顺延。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855"/>
        <w:gridCol w:w="2855"/>
        <w:gridCol w:w="80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 0.2%/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2"/>
        <w:gridCol w:w="1022"/>
        <w:gridCol w:w="1151"/>
        <w:gridCol w:w="1688"/>
        <w:gridCol w:w="1592"/>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92,475.88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178,075.95</w:t>
            </w:r>
          </w:p>
        </w:tc>
      </w:tr>
    </w:tbl>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本基金本期末无因认购新发/增发证券而于期末持有的流通受限证券。</w:t>
      </w: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截至本报告期末2017年12月31日止，本基金从事交易所市场债券正回购交易形成的卖出回购证券款余额为0，无抵押债券。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邮政储蓄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48,190,000.00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48,190,000.00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679,165,369.60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234,356,000.00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913,521,369.60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w:t>
      </w:r>
      <w:r>
        <w:rPr>
          <w:rFonts w:hint="eastAsia"/>
        </w:rPr>
        <w:br w:type="textWrapping"/>
      </w:r>
      <w:r>
        <w:rPr>
          <w:rFonts w:hint="eastAsia"/>
        </w:rPr>
        <w:t>  于2017年12月31日，本基金所承担的全部金融负债的合约约定到期日均较短且不计息，可赎回基金份额净值(所有者权益)无固定到期日且不计息，因此账面余额即为未折现的合约到期现金流量。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3660007.45元，超过经确认的当日净赎回金额。于2017年12月31日，本基金持有的流动性受限资产为停牌股票，占基金资产净值的比例为20.21%。</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07"/>
        <w:gridCol w:w="1392"/>
        <w:gridCol w:w="1392"/>
        <w:gridCol w:w="1392"/>
        <w:gridCol w:w="1316"/>
        <w:gridCol w:w="1546"/>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26,818.18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26,818.18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417.77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249,650.00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2,632,240.00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3,795,600.00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1,071,798.59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4,600,730.70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2,306.68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79,551.53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79,551.53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992,247.06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4,521,179.17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3,260,186.65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3,260,186.65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141,348.67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141,348.67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169,630,000.00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608,110,369.60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183,971,000.00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44,905,328.81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1,006,616,698.41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6,357,114.48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6,357,114.48</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18,104,008.88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18,104,008.88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194,135,704.75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608,110,369.60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183,971,000.00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69,366,452.17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1,055,583,526.52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259,749,210.37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259,749,210.37</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144,908.51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403,238.93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403,238.93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134,412.98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134,412.98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187,936.68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187,936.68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199,655.08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199,655.08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259,749,210.37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1,195,168.16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260,944,378.53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-65,613,505.62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608,110,369.60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183,971,000.00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68,171,284.01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794,639,147.99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-6,916,207.42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6,470.42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7,028,607.44</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913,710.00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44,905,328.81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913,710.00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44,905,328.81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2,542,732.07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-2,542,732.07</w:t>
            </w:r>
          </w:p>
        </w:tc>
      </w:tr>
    </w:tbl>
    <w:p>
      <w:pPr>
        <w:pStyle w:val="20"/>
        <w:rPr>
          <w:rFonts w:hint="eastAsia"/>
        </w:rPr>
      </w:pPr>
      <w:r>
        <w:rPr>
          <w:rFonts w:hint="eastAsia"/>
        </w:rPr>
        <w:t>本基金的业绩比较基准=沪深300指数收益率×30% + 一年期人民币定期存款利率(税后)×70%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 公允价值</w:t>
      </w:r>
      <w:r>
        <w:rPr>
          <w:rFonts w:hint="eastAsia"/>
        </w:rPr>
        <w:br w:type="textWrapping"/>
      </w:r>
      <w:r>
        <w:rPr>
          <w:rFonts w:hint="eastAsia"/>
        </w:rPr>
        <w:t>  </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w:t>
      </w:r>
      <w:r>
        <w:rPr>
          <w:rFonts w:hint="eastAsia"/>
        </w:rPr>
        <w:br w:type="textWrapping"/>
      </w:r>
      <w:r>
        <w:rPr>
          <w:rFonts w:hint="eastAsia"/>
        </w:rPr>
        <w:t>  (b) 持续的以公允价值计量的金融工具</w:t>
      </w:r>
      <w:r>
        <w:rPr>
          <w:rFonts w:hint="eastAsia"/>
        </w:rPr>
        <w:br w:type="textWrapping"/>
      </w:r>
      <w:r>
        <w:rPr>
          <w:rFonts w:hint="eastAsia"/>
        </w:rPr>
        <w:t>  (i) 各层次金融工具公允价值</w:t>
      </w:r>
      <w:r>
        <w:rPr>
          <w:rFonts w:hint="eastAsia"/>
        </w:rPr>
        <w:br w:type="textWrapping"/>
      </w:r>
      <w:r>
        <w:rPr>
          <w:rFonts w:hint="eastAsia"/>
        </w:rPr>
        <w:t>  于2017年12月31日，本基金持有的以公允价值计量且其变动计入当期损益的金融资产中属于第二层次的余额为3,795,600.00元，无属于第一层次和第三层次的余额(2016年12月31日：第一层次42,115,393.09元，第二层次964,501,305.32元，无第三层次)。</w:t>
      </w:r>
      <w:r>
        <w:rPr>
          <w:rFonts w:hint="eastAsia"/>
        </w:rPr>
        <w:br w:type="textWrapping"/>
      </w:r>
      <w:r>
        <w:rPr>
          <w:rFonts w:hint="eastAsia"/>
        </w:rPr>
        <w:t>  </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w:t>
      </w:r>
      <w:r>
        <w:rPr>
          <w:rFonts w:hint="eastAsia"/>
        </w:rPr>
        <w:br w:type="textWrapping"/>
      </w:r>
      <w:r>
        <w:rPr>
          <w:rFonts w:hint="eastAsia"/>
        </w:rPr>
        <w:t>  (iii) 第三层次公允价值余额和本期变动金额</w:t>
      </w:r>
      <w:r>
        <w:rPr>
          <w:rFonts w:hint="eastAsia"/>
        </w:rPr>
        <w:br w:type="textWrapping"/>
      </w:r>
      <w:r>
        <w:rPr>
          <w:rFonts w:hint="eastAsia"/>
        </w:rPr>
        <w:t>  无。</w:t>
      </w:r>
      <w:r>
        <w:rPr>
          <w:rFonts w:hint="eastAsia"/>
        </w:rPr>
        <w:br w:type="textWrapping"/>
      </w:r>
      <w:r>
        <w:rPr>
          <w:rFonts w:hint="eastAsia"/>
        </w:rPr>
        <w:t>  </w:t>
      </w:r>
      <w:r>
        <w:rPr>
          <w:rFonts w:hint="eastAsia"/>
        </w:rPr>
        <w:br w:type="textWrapping"/>
      </w:r>
      <w:r>
        <w:rPr>
          <w:rFonts w:hint="eastAsia"/>
        </w:rPr>
        <w:t>  (c) 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w:t>
      </w:r>
      <w:r>
        <w:rPr>
          <w:rFonts w:hint="eastAsia"/>
        </w:rPr>
        <w:br w:type="textWrapping"/>
      </w:r>
      <w:r>
        <w:rPr>
          <w:rFonts w:hint="eastAsia"/>
        </w:rPr>
        <w:t>  (d) 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w:t>
      </w:r>
      <w:r>
        <w:rPr>
          <w:rFonts w:hint="eastAsia"/>
        </w:rPr>
        <w:br w:type="textWrapping"/>
      </w:r>
      <w:r>
        <w:rPr>
          <w:rFonts w:hint="eastAsia"/>
        </w:rPr>
        <w:t>  (2) 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w:t>
      </w:r>
      <w:r>
        <w:rPr>
          <w:rFonts w:hint="eastAsia"/>
        </w:rPr>
        <w:br w:type="textWrapping"/>
      </w:r>
      <w:r>
        <w:rPr>
          <w:rFonts w:hint="eastAsia"/>
        </w:rPr>
        <w:t>  (3) 除公允价值和增值税外，截至资产负债表日本基金无需要说明的其他重要事项。</w:t>
      </w:r>
    </w:p>
    <w:p>
      <w:pPr>
        <w:pStyle w:val="13"/>
        <w:rPr>
          <w:rFonts w:hint="eastAsia"/>
        </w:rPr>
      </w:pPr>
      <w:bookmarkStart w:id="35" w:name="_Toc510100838"/>
      <w:r>
        <w:rPr>
          <w:rFonts w:hint="eastAsia" w:hAnsi="Calibri"/>
          <w:b/>
          <w:color w:val="000000"/>
        </w:rPr>
        <w:t>§8 投资组合报告</w:t>
      </w:r>
      <w:bookmarkEnd w:id="35"/>
    </w:p>
    <w:p>
      <w:pPr>
        <w:pStyle w:val="14"/>
        <w:rPr>
          <w:rFonts w:hint="eastAsia"/>
        </w:rPr>
      </w:pPr>
      <w:bookmarkStart w:id="36" w:name="_Toc51010083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146,624.34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158,506.36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4,600,730.70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840"/>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841"/>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w:t>
            </w:r>
          </w:p>
        </w:tc>
      </w:tr>
    </w:tbl>
    <w:p>
      <w:pPr>
        <w:pStyle w:val="14"/>
        <w:rPr>
          <w:rFonts w:hint="eastAsia"/>
        </w:rPr>
      </w:pPr>
      <w:bookmarkStart w:id="39" w:name="_Toc510100842"/>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7,035,380.00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4,273,884.60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4,025,286.60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3,484,845.00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4,698,568.00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4,439,253.00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4,099,303.00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4,085,627.52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3,829,720.00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3,544,047.00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3,311,803.00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131,688,403.40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178,090,423.75</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0843"/>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249,650.00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63.74</w:t>
            </w:r>
          </w:p>
        </w:tc>
      </w:tr>
    </w:tbl>
    <w:p>
      <w:pPr>
        <w:pStyle w:val="14"/>
        <w:rPr>
          <w:rFonts w:hint="eastAsia"/>
        </w:rPr>
      </w:pPr>
      <w:bookmarkStart w:id="41" w:name="_Toc510100844"/>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bl>
    <w:p>
      <w:pPr>
        <w:pStyle w:val="14"/>
        <w:rPr>
          <w:rFonts w:hint="eastAsia"/>
        </w:rPr>
      </w:pPr>
      <w:bookmarkStart w:id="42" w:name="_Toc510100845"/>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084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084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0848"/>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0849"/>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0850"/>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158,506.36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0851"/>
      <w:r>
        <w:rPr>
          <w:rFonts w:hint="eastAsia" w:hAnsi="Calibri"/>
          <w:b/>
          <w:color w:val="000000"/>
        </w:rPr>
        <w:t>§9  基金份额持有人信息</w:t>
      </w:r>
      <w:bookmarkEnd w:id="48"/>
    </w:p>
    <w:p>
      <w:pPr>
        <w:pStyle w:val="14"/>
        <w:rPr>
          <w:rFonts w:hint="eastAsia"/>
        </w:rPr>
      </w:pPr>
      <w:bookmarkStart w:id="49" w:name="_Toc510100852"/>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20,298.08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212,400.05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273,200.07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w:t>
            </w:r>
          </w:p>
        </w:tc>
      </w:tr>
    </w:tbl>
    <w:p>
      <w:pPr>
        <w:widowControl/>
        <w:jc w:val="left"/>
        <w:rPr>
          <w:rFonts w:hint="eastAsia" w:ascii="宋体" w:hAnsi="宋体" w:cs="宋体"/>
          <w:kern w:val="0"/>
          <w:sz w:val="24"/>
          <w:szCs w:val="24"/>
        </w:rPr>
      </w:pPr>
    </w:p>
    <w:p>
      <w:pPr>
        <w:pStyle w:val="14"/>
        <w:rPr>
          <w:rFonts w:hint="eastAsia"/>
        </w:rPr>
      </w:pPr>
      <w:bookmarkStart w:id="50" w:name="_Toc510100853"/>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15"/>
        <w:gridCol w:w="1970"/>
        <w:gridCol w:w="1950"/>
        <w:gridCol w:w="201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10,198.81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0.2900%</w:t>
            </w:r>
          </w:p>
        </w:tc>
      </w:tr>
    </w:tbl>
    <w:p>
      <w:pPr>
        <w:widowControl/>
        <w:jc w:val="left"/>
        <w:rPr>
          <w:rFonts w:hint="eastAsia" w:ascii="宋体" w:hAnsi="宋体" w:cs="宋体"/>
          <w:kern w:val="0"/>
          <w:sz w:val="24"/>
          <w:szCs w:val="24"/>
        </w:rPr>
      </w:pPr>
    </w:p>
    <w:p>
      <w:pPr>
        <w:pStyle w:val="14"/>
        <w:rPr>
          <w:rFonts w:hint="eastAsia"/>
        </w:rPr>
      </w:pPr>
      <w:bookmarkStart w:id="51" w:name="_Toc510100854"/>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0855"/>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基金合同生效日(2016年08月30日)基金份额总额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800,103,491.18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124,562.03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800,103,010.10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94,261.43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1,370,551.68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44,773.37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797,373,349.40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78,234.78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4,100,212.38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60,800.02</w:t>
            </w:r>
          </w:p>
        </w:tc>
      </w:tr>
    </w:tbl>
    <w:p>
      <w:pPr>
        <w:pStyle w:val="13"/>
        <w:rPr>
          <w:rFonts w:hint="eastAsia"/>
        </w:rPr>
      </w:pPr>
      <w:bookmarkStart w:id="53" w:name="_Toc510100856"/>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0857"/>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0858"/>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0859"/>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0860"/>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0861"/>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本报告期内本基金未更换会计师事务所,本年度支付给普华永道中天会计师事务所(特殊普通合伙)审计费用29,589.30元,该审计机构连续提供审计服务的年限为2年。 </w:t>
      </w:r>
    </w:p>
    <w:p>
      <w:pPr>
        <w:pStyle w:val="14"/>
        <w:rPr>
          <w:rFonts w:hint="eastAsia"/>
        </w:rPr>
      </w:pPr>
      <w:bookmarkStart w:id="59" w:name="_Toc510100862"/>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0863"/>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65"/>
        <w:gridCol w:w="1071"/>
        <w:gridCol w:w="1456"/>
        <w:gridCol w:w="1071"/>
        <w:gridCol w:w="73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308,967,282.55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225,026.34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63"/>
        <w:gridCol w:w="1071"/>
        <w:gridCol w:w="899"/>
        <w:gridCol w:w="1071"/>
        <w:gridCol w:w="685"/>
        <w:gridCol w:w="1050"/>
        <w:gridCol w:w="685"/>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51,018,396.45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632,600,000.00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0864"/>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创金合信基金管理有限公司关于调整创金合信鑫动力灵活配置混合型证券投资基金A类份额赎回费率的公告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0865"/>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866"/>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800,012,333.33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796,124,521.00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0867"/>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0868"/>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0869"/>
      <w:r>
        <w:rPr>
          <w:rFonts w:hint="eastAsia"/>
          <w:b/>
          <w:bCs/>
        </w:rPr>
        <w:t>13.1 备查文件目录</w:t>
      </w:r>
      <w:r>
        <w:rPr>
          <w:rFonts w:hint="eastAsia"/>
        </w:rPr>
        <w:t>.</w:t>
      </w:r>
      <w:bookmarkEnd w:id="66"/>
    </w:p>
    <w:p>
      <w:pPr>
        <w:pStyle w:val="20"/>
        <w:rPr>
          <w:rFonts w:hint="eastAsia"/>
        </w:rPr>
      </w:pPr>
      <w:r>
        <w:rPr>
          <w:rFonts w:hint="eastAsia"/>
        </w:rPr>
        <w:t>  1、《创金合信鑫动力灵活配置混合型证券投资基金基金合同》;</w:t>
      </w:r>
      <w:r>
        <w:rPr>
          <w:rFonts w:hint="eastAsia"/>
        </w:rPr>
        <w:br w:type="textWrapping"/>
      </w:r>
      <w:r>
        <w:rPr>
          <w:rFonts w:hint="eastAsia"/>
        </w:rPr>
        <w:t>  2、《创金合信鑫动力灵活配置混合型证券投资基金托管协议》;</w:t>
      </w:r>
      <w:r>
        <w:rPr>
          <w:rFonts w:hint="eastAsia"/>
        </w:rPr>
        <w:br w:type="textWrapping"/>
      </w:r>
      <w:r>
        <w:rPr>
          <w:rFonts w:hint="eastAsia"/>
        </w:rPr>
        <w:t>  3、创金合信鑫动力灵活配置混合型证券投资基金2017年年度报告</w:t>
      </w:r>
    </w:p>
    <w:p>
      <w:pPr>
        <w:pStyle w:val="14"/>
        <w:rPr>
          <w:rFonts w:hint="eastAsia"/>
        </w:rPr>
      </w:pPr>
      <w:bookmarkStart w:id="67" w:name="_Toc510100870"/>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0871"/>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w:t>
    </w:r>
    <w:r>
      <w:rPr>
        <w:rStyle w:val="10"/>
      </w:rPr>
      <w:fldChar w:fldCharType="end"/>
    </w:r>
  </w:p>
  <w:p>
    <w:pPr>
      <w:pStyle w:val="2"/>
      <w:jc w:val="center"/>
    </w:pPr>
    <w:r>
      <w:rPr>
        <w:rFonts w:hint="eastAsia"/>
      </w:rPr>
      <w:t xml:space="preserve">                   第       页，共66页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创金合信鑫动力灵活配置混合型证券投资基金2017年年度报告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799C"/>
    <w:rsid w:val="00A3799C"/>
    <w:rsid w:val="00A77049"/>
    <w:rsid w:val="00B62773"/>
    <w:rsid w:val="00FA5687"/>
    <w:rsid w:val="32C203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65</Pages>
  <Words>7496</Words>
  <Characters>42731</Characters>
  <Lines>356</Lines>
  <Paragraphs>100</Paragraphs>
  <TotalTime>0</TotalTime>
  <ScaleCrop>false</ScaleCrop>
  <LinksUpToDate>false</LinksUpToDate>
  <CharactersWithSpaces>50127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2018-03-29T07:31:00Z</dcterms:created>
  <dc:creator>贺祎琪</dc:creator>
  <cp:lastModifiedBy>Administrator</cp:lastModifiedBy>
  <dcterms:modified xsi:type="dcterms:W3CDTF">2019-12-26T14:07:27Z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