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1" w:name="_GoBack"/>
      <w:bookmarkEnd w:id="61"/>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创金合信鑫价值灵活配置混合型证券投资基金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基金托管人：中国邮政储蓄银行股份有限公司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475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4753"/>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基金托管人中国邮政储蓄银行股份有限公司根据本基金合同规定，于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4754"/>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"_Toc477954752"</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_Toc477954752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_Toc477954753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"_Toc477954754"</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_Toc477954754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"_Toc477954755"</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_Toc477954755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"_Toc477954756"</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_Toc477954756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"_Toc477954757"</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_Toc477954757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"_Toc477954758"</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_Toc477954758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"_Toc477954759"</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_Toc477954759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"_Toc477954760"</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_Toc477954760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"_Toc477954761"</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_Toc477954761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"_Toc477954762"</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_Toc477954762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"_Toc477954763"</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_Toc477954763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"_Toc477954764"</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_Toc477954764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"_Toc477954765"</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_Toc477954765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"_Toc477954766"</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_Toc477954766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"_Toc477954767"</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_Toc477954767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"_Toc477954768"</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_Toc477954768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"_Toc477954769"</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_Toc477954769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"_Toc477954770"</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_Toc477954770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"_Toc477954771"</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_Toc477954771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"_Toc477954772"</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_Toc477954772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"_Toc477954773"</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_Toc477954773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"_Toc477954774"</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_Toc477954774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"_Toc477954775"</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_Toc477954775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"_Toc477954776"</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_Toc477954776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"_Toc477954777"</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_Toc477954777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"_Toc477954778"</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_Toc477954778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"_Toc477954779"</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_Toc477954779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"_Toc477954780"</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_Toc477954780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"_Toc477954781"</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_Toc477954781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"_Toc477954782"</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_Toc477954782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"_Toc477954783"</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_Toc477954783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"_Toc477954784"</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_Toc477954784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"_Toc477954785"</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_Toc477954785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"_Toc477954786"</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_Toc477954786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"_Toc477954787"</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_Toc477954787 \h </w:instrText>
      </w:r>
      <w:r>
        <w:rPr>
          <w:lang/>
        </w:rPr>
        <w:fldChar w:fldCharType="separate"/>
      </w:r>
      <w:r>
        <w:rPr>
          <w:lang/>
        </w:rPr>
        <w:t>47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"_Toc477954788"</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_Toc477954788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"_Toc477954789"</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_Toc477954789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"_Toc477954790"</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_Toc477954790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"_Toc477954791"</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_Toc477954791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"_Toc477954792"</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_Toc477954792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"_Toc477954793"</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_Toc477954793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"_Toc477954794"</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_Toc477954794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"_Toc477954795"</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_Toc477954795 \h </w:instrText>
      </w:r>
      <w:r>
        <w:rPr>
          <w:lang/>
        </w:rPr>
        <w:fldChar w:fldCharType="separate"/>
      </w:r>
      <w:r>
        <w:rPr>
          <w:lang/>
        </w:rPr>
        <w:t>52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"_Toc477954796"</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_Toc477954796 \h </w:instrText>
      </w:r>
      <w:r>
        <w:rPr>
          <w:lang/>
        </w:rPr>
        <w:fldChar w:fldCharType="separate"/>
      </w:r>
      <w:r>
        <w:rPr>
          <w:lang/>
        </w:rPr>
        <w:t>53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"_Toc477954797"</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_Toc477954797 \h </w:instrText>
      </w:r>
      <w:r>
        <w:rPr>
          <w:lang/>
        </w:rPr>
        <w:fldChar w:fldCharType="separate"/>
      </w:r>
      <w:r>
        <w:rPr>
          <w:lang/>
        </w:rPr>
        <w:t>53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"_Toc477954798"</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_Toc477954798 \h </w:instrText>
      </w:r>
      <w:r>
        <w:rPr>
          <w:lang/>
        </w:rPr>
        <w:fldChar w:fldCharType="separate"/>
      </w:r>
      <w:r>
        <w:rPr>
          <w:lang/>
        </w:rPr>
        <w:t>53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"_Toc477954799"</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_Toc477954799 \h </w:instrText>
      </w:r>
      <w:r>
        <w:rPr>
          <w:lang/>
        </w:rPr>
        <w:fldChar w:fldCharType="separate"/>
      </w:r>
      <w:r>
        <w:rPr>
          <w:lang/>
        </w:rPr>
        <w:t>54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"_Toc477954800"</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_Toc477954800 \h </w:instrText>
      </w:r>
      <w:r>
        <w:rPr>
          <w:lang/>
        </w:rPr>
        <w:fldChar w:fldCharType="separate"/>
      </w:r>
      <w:r>
        <w:rPr>
          <w:lang/>
        </w:rPr>
        <w:t>54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"_Toc477954801"</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_Toc477954801 \h </w:instrText>
      </w:r>
      <w:r>
        <w:rPr>
          <w:lang/>
        </w:rPr>
        <w:fldChar w:fldCharType="separate"/>
      </w:r>
      <w:r>
        <w:rPr>
          <w:lang/>
        </w:rPr>
        <w:t>55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"_Toc477954802"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_Toc477954802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_Toc477954803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_Toc477954804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_Toc477954805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_Toc477954806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_Toc477954807 \h </w:instrText>
      </w:r>
      <w:r>
        <w:rPr>
          <w:lang/>
        </w:rPr>
        <w:fldChar w:fldCharType="separate"/>
      </w:r>
      <w:r>
        <w:rPr>
          <w:lang/>
        </w:rPr>
        <w:t>55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_Toc477954808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_Toc477954809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_Toc477954810 \h </w:instrText>
      </w:r>
      <w:r>
        <w:rPr>
          <w:lang/>
        </w:rPr>
        <w:fldChar w:fldCharType="separate"/>
      </w:r>
      <w:r>
        <w:rPr>
          <w:lang/>
        </w:rPr>
        <w:t>56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"_Toc477954811"</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_Toc477954811 \h </w:instrText>
      </w:r>
      <w:r>
        <w:rPr>
          <w:lang/>
        </w:rPr>
        <w:fldChar w:fldCharType="separate"/>
      </w:r>
      <w:r>
        <w:rPr>
          <w:lang/>
        </w:rPr>
        <w:t>57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"_Toc477954812"</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_Toc477954812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"_Toc477954813"</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_Toc477954813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"_Toc477954814"</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_Toc477954814 \h </w:instrText>
      </w:r>
      <w:r>
        <w:rPr>
          <w:lang/>
        </w:rPr>
        <w:fldChar w:fldCharType="separate"/>
      </w:r>
      <w:r>
        <w:rPr>
          <w:lang/>
        </w:rPr>
        <w:t>57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"_Toc477954815"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_Toc477954815 \h </w:instrText>
      </w:r>
      <w:r>
        <w:rPr>
          <w:lang/>
        </w:rPr>
        <w:fldChar w:fldCharType="separate"/>
      </w:r>
      <w:r>
        <w:rPr>
          <w:lang/>
        </w:rPr>
        <w:t>57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475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4756"/>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800,107,977.84</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003233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800,087,177.47</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20,800.37</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4757"/>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4758"/>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田东辉</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010-68858113</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tiandonghui@psbc.com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010-68858120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北京市西城区金融大街</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座</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100808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李国华</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4759"/>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证券日报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4760"/>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476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4762"/>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3,636,282.42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-6,090,570.23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793,996,607.24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20,628.58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4763"/>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日）至本报告期末未发生利润分配。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476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4765"/>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闫一帆</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20</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闫一帆先生，中国国籍，新加坡南洋理工大学金融学硕士。</w:t>
            </w:r>
            <w:r>
              <w:rPr>
                <w:rFonts w:ascii="Times New Roman" w:hAnsi="Times New Roman"/>
                <w:color w:val="000000"/>
                <w:kern w:val="0"/>
                <w:sz w:val="24"/>
                <w:szCs w:val="24"/>
              </w:rPr>
              <w:t>2008</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月就职于国泰君安证券股份有限公司。</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月加入永安财产保险股份有限公司投资管理中心任固定收益研究员，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10</w:t>
            </w:r>
            <w:r>
              <w:rPr>
                <w:rFonts w:hint="eastAsia" w:ascii="Times New Roman" w:hAnsi="Times New Roman"/>
                <w:color w:val="000000"/>
                <w:kern w:val="0"/>
                <w:sz w:val="24"/>
                <w:szCs w:val="24"/>
              </w:rPr>
              <w:t>月加入第一创业证券股份有限公司资产管理部任固定收益研究员，负责债券类组合的债券信用研究、组合投资管理等工作。</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月加入创金合信基金管理有限公司，历任信用研究主管、投资经理，负责固定收益研究、债券组合管理等工作，现任基金经理。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4766"/>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价值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4767"/>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4768"/>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-0.80%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0.42%</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4769"/>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4770"/>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4771"/>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4772"/>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477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中国邮政储蓄银行股份有限公司（以下称“本托管人”）在创金合信鑫价值灵活配置混合型证券投资基金（以下称“本基金”）的托管过程中，严格遵守《证券投资基金法》及其他有关法律法规、基金合同和托管协议的有关规定，不存在损害基金份额持有人利益的行为，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报告期内，本基金未实施利润分配。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本报告中的财务指标、净值表现、收益分配情况、财务会计报告、投资组合报告等数据真实、准确和完整。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2" w:name="_Toc47795477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4778"/>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3"/>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22104</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4779"/>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4"/>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我们审计了后附的创金合信鑫价值灵活配置混合型证券投资基金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编制和公允列报财务报表是创金合信鑫价值混合基金的基金管理人创金合信基金管理有限公司管理层的责任。这种责任包括：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价值混合基金的财务报表在所有重大方面按照企业会计准则和在财务报表附注中所列示的中国证监会、中国基金业协会发布的有关规定及允许的基金行业实务操作编制，公允反映了创金合信鑫价值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478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4781"/>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261,483,501.42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800,107,977.84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-6,090,742.02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800,107,977.84</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800,087,177.47</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20,800.37</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0.992</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4782"/>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27"/>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-2,250,105.54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9,315,366.44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494,826.47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8,367,659.20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452,880.77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-1,838,364.12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3,840,641.18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1,610,721.39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536,907.18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350,094.99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1,214,504.09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1,214,504.09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8" w:name="_Toc477954783"/>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2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会计主体：创金合信鑫价值灵活配置混合型证券投资基金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800,108,876.94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800,108,876.94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-6,090,746.72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800,107,977.84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30</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4784"/>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29"/>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创金合信鑫价值灵活配置混合型证券投资基金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[2015]1933</w:t>
      </w:r>
      <w:r>
        <w:rPr>
          <w:rFonts w:hint="eastAsia" w:ascii="Times New Roman" w:hAnsi="Times New Roman"/>
          <w:color w:val="000000"/>
          <w:kern w:val="0"/>
          <w:sz w:val="24"/>
          <w:szCs w:val="24"/>
        </w:rPr>
        <w:t>号《关于准予创金合信鑫价值灵活配置混合型证券投资基金注册的批复》和中国证监会机构部函</w:t>
      </w:r>
      <w:r>
        <w:rPr>
          <w:rFonts w:ascii="Times New Roman" w:hAnsi="Times New Roman"/>
          <w:color w:val="000000"/>
          <w:kern w:val="0"/>
          <w:sz w:val="24"/>
          <w:szCs w:val="24"/>
        </w:rPr>
        <w:t>[2016]1424</w:t>
      </w:r>
      <w:r>
        <w:rPr>
          <w:rFonts w:hint="eastAsia" w:ascii="Times New Roman" w:hAnsi="Times New Roman"/>
          <w:color w:val="000000"/>
          <w:kern w:val="0"/>
          <w:sz w:val="24"/>
          <w:szCs w:val="24"/>
        </w:rPr>
        <w:t>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800,052,876.11</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1129</w:t>
      </w:r>
      <w:r>
        <w:rPr>
          <w:rFonts w:hint="eastAsia" w:ascii="Times New Roman" w:hAnsi="Times New Roman"/>
          <w:color w:val="000000"/>
          <w:kern w:val="0"/>
          <w:sz w:val="24"/>
          <w:szCs w:val="24"/>
        </w:rPr>
        <w:t>号验资报告予以验证。经向中国证监会备案，《创金合信鑫价值灵活配置混合型证券投资基金基金合同》于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800,108,876.94</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56,000.83</w:t>
      </w:r>
      <w:r>
        <w:rPr>
          <w:rFonts w:hint="eastAsia" w:ascii="Times New Roman" w:hAnsi="Times New Roman"/>
          <w:color w:val="000000"/>
          <w:kern w:val="0"/>
          <w:sz w:val="24"/>
          <w:szCs w:val="24"/>
        </w:rPr>
        <w:t>份基金份额。本基金的基金管理人为创金合信基金管理有限公司，基金托管人为中国邮政储蓄银行股份有限公司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根据《中华人民共和国证券投资基金法》和《创金合信鑫价值灵活配置混合型证券投资基金基金合同》的有关规定，本基金的投资范围包括国内依法发行上市的股票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包括国债、央行票据、地方政府债、金融债、企业债、公司债、证券公司短期公司债、中小企业私募债、次级债、中期票据、短期融资券、可转换债券、可交换债券等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包括权证、股指期货等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颁布的《证券投资基金会计核算业务指引》、《创金合信鑫价值灵活配置混合型证券投资基金基金合同》和在财务报表附注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48,491,752.75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-3,358,947.97</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50,258,626.03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49,460,000.00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-798,626.03</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913,896,536.11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908,327,000.00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-5,569,536.11</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964,155,162.14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-6,368,162.14</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1,012,646,914.89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3,099.95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881.98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20,845,354.71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69.74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163,157.20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30,974.40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24</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800,052,876.10</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800,032,076.10</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20,800.00</w:t>
      </w:r>
      <w:r>
        <w:rPr>
          <w:rFonts w:hint="eastAsia" w:ascii="Times New Roman" w:hAnsi="Times New Roman"/>
          <w:color w:val="000000"/>
          <w:kern w:val="0"/>
          <w:szCs w:val="24"/>
        </w:rPr>
        <w:t>元。根据《创金合信鑫价值灵活配置混合型证券投资基金招募说明书》的规定，本基金设立募集期内认购资金产生的利息收入</w:t>
      </w:r>
      <w:r>
        <w:rPr>
          <w:rFonts w:ascii="Times New Roman" w:hAnsi="Times New Roman"/>
          <w:color w:val="000000"/>
          <w:kern w:val="0"/>
          <w:szCs w:val="24"/>
        </w:rPr>
        <w:t>56,000.83</w:t>
      </w:r>
      <w:r>
        <w:rPr>
          <w:rFonts w:hint="eastAsia" w:ascii="Times New Roman" w:hAnsi="Times New Roman"/>
          <w:color w:val="000000"/>
          <w:kern w:val="0"/>
          <w:szCs w:val="24"/>
        </w:rPr>
        <w:t>元在本基金成立后，折算为</w:t>
      </w:r>
      <w:r>
        <w:rPr>
          <w:rFonts w:ascii="Times New Roman" w:hAnsi="Times New Roman"/>
          <w:color w:val="000000"/>
          <w:kern w:val="0"/>
          <w:szCs w:val="24"/>
        </w:rPr>
        <w:t>56,000.83</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56,000.46</w:t>
      </w:r>
      <w:r>
        <w:rPr>
          <w:rFonts w:hint="eastAsia" w:ascii="Times New Roman" w:hAnsi="Times New Roman"/>
          <w:color w:val="000000"/>
          <w:kern w:val="0"/>
          <w:szCs w:val="24"/>
        </w:rPr>
        <w:t>元，折算为</w:t>
      </w:r>
      <w:r>
        <w:rPr>
          <w:rFonts w:ascii="Times New Roman" w:hAnsi="Times New Roman"/>
          <w:color w:val="000000"/>
          <w:kern w:val="0"/>
          <w:szCs w:val="24"/>
        </w:rPr>
        <w:t>56,000.46</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0.37</w:t>
      </w:r>
      <w:r>
        <w:rPr>
          <w:rFonts w:hint="eastAsia" w:ascii="Times New Roman" w:hAnsi="Times New Roman"/>
          <w:color w:val="000000"/>
          <w:kern w:val="0"/>
          <w:szCs w:val="24"/>
        </w:rPr>
        <w:t>元，折算为</w:t>
      </w:r>
      <w:r>
        <w:rPr>
          <w:rFonts w:ascii="Times New Roman" w:hAnsi="Times New Roman"/>
          <w:color w:val="000000"/>
          <w:kern w:val="0"/>
          <w:szCs w:val="24"/>
        </w:rPr>
        <w:t>0.37</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3,636,282.42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-9,726,857.35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-6,090,574.93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3,636,275.57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-9,726,845.80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-6,090,570.23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-171.79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176,257.90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298,958.33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19,304.51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494,826.47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111,687,759.28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110,300,089.79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1,387,669.49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959,947,717.20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951,248,200.65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12,013,628.66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-3,314,112.11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88,078.50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-3,358,947.97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-6,368,162.14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-9,727,110.11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331,269.99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18,825.00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350,094.99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“中国邮政储蓄银行”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269,715,519.33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195,513.85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163,157.20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142,711,369.50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3,288,000,000.00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1,610,721.39</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注：本基金的管理费按前一日基金资产净值的</w:t>
      </w:r>
      <w:r>
        <w:rPr>
          <w:rFonts w:ascii="Times New Roman" w:hAnsi="Times New Roman"/>
          <w:color w:val="000000"/>
          <w:kern w:val="0"/>
          <w:szCs w:val="24"/>
        </w:rPr>
        <w:t>0.60%</w:t>
      </w:r>
      <w:r>
        <w:rPr>
          <w:rFonts w:hint="eastAsia" w:ascii="Times New Roman" w:hAnsi="Times New Roman"/>
          <w:color w:val="000000"/>
          <w:kern w:val="0"/>
          <w:szCs w:val="24"/>
        </w:rPr>
        <w:t>年费率计提。管理费的计算方法如下：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为每日应计提的基金管理费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536,907.18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注：本基金的托管费按前一日基金资产净值的</w:t>
      </w:r>
      <w:r>
        <w:rPr>
          <w:rFonts w:ascii="Times New Roman" w:hAnsi="Times New Roman"/>
          <w:color w:val="000000"/>
          <w:kern w:val="0"/>
          <w:szCs w:val="24"/>
        </w:rPr>
        <w:t>0.2%</w:t>
      </w:r>
      <w:r>
        <w:rPr>
          <w:rFonts w:hint="eastAsia" w:ascii="Times New Roman" w:hAnsi="Times New Roman"/>
          <w:color w:val="000000"/>
          <w:kern w:val="0"/>
          <w:szCs w:val="24"/>
        </w:rPr>
        <w:t>的年费率计提。托管费的计算方法如下：</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w:t>
      </w:r>
      <w:r>
        <w:rPr>
          <w:rFonts w:ascii="Times New Roman" w:hAnsi="Times New Roman"/>
          <w:color w:val="000000"/>
          <w:kern w:val="0"/>
          <w:szCs w:val="24"/>
        </w:rPr>
        <w:t>E</w:t>
      </w:r>
      <w:r>
        <w:rPr>
          <w:rFonts w:hint="eastAsia" w:ascii="Times New Roman" w:hAnsi="Times New Roman"/>
          <w:color w:val="000000"/>
          <w:kern w:val="0"/>
          <w:szCs w:val="24"/>
        </w:rPr>
        <w:t>×</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H</w:t>
      </w:r>
      <w:r>
        <w:rPr>
          <w:rFonts w:hint="eastAsia" w:ascii="Times New Roman" w:hAnsi="Times New Roman"/>
          <w:color w:val="000000"/>
          <w:kern w:val="0"/>
          <w:szCs w:val="24"/>
        </w:rPr>
        <w:t>为每日应计提的基金托管费</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E</w:t>
      </w:r>
      <w:r>
        <w:rPr>
          <w:rFonts w:hint="eastAsia" w:ascii="Times New Roman" w:hAnsi="Times New Roman"/>
          <w:color w:val="000000"/>
          <w:kern w:val="0"/>
          <w:szCs w:val="24"/>
        </w:rPr>
        <w:t>为前一日的基金资产净值</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基金托管费每日计提，逐日累计至每月月末，按月支付。由基金管理人在次月初</w:t>
      </w:r>
      <w:r>
        <w:rPr>
          <w:rFonts w:ascii="Times New Roman" w:hAnsi="Times New Roman"/>
          <w:color w:val="000000"/>
          <w:kern w:val="0"/>
          <w:szCs w:val="24"/>
        </w:rPr>
        <w:t>3</w:t>
      </w:r>
      <w:r>
        <w:rPr>
          <w:rFonts w:hint="eastAsia" w:ascii="Times New Roman" w:hAnsi="Times New Roman"/>
          <w:color w:val="000000"/>
          <w:kern w:val="0"/>
          <w:szCs w:val="24"/>
        </w:rPr>
        <w:t>个工作日内出具资金划拨指令，基金托管人复核无误后于</w:t>
      </w:r>
      <w:r>
        <w:rPr>
          <w:rFonts w:ascii="Times New Roman" w:hAnsi="Times New Roman"/>
          <w:color w:val="000000"/>
          <w:kern w:val="0"/>
          <w:szCs w:val="24"/>
        </w:rPr>
        <w:t>2</w:t>
      </w:r>
      <w:r>
        <w:rPr>
          <w:rFonts w:hint="eastAsia" w:ascii="Times New Roman" w:hAnsi="Times New Roman"/>
          <w:color w:val="000000"/>
          <w:kern w:val="0"/>
          <w:szCs w:val="24"/>
        </w:rPr>
        <w:t>个工作日内进行支付。若遇法定节假日、休息日等，支付日期顺延。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中国邮政储蓄银行活期存款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176,257.90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注：本基金的银行存款由基金托管人中国邮政储蓄银行保管，按金融机构同业存款利率计息。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937,500.00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国海证券</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906,100.00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600485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信威集团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57,000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991,800.00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260,288,889.56</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101454027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大唐集</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31,155,000.00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联通</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40,144,000.00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29,961,000.00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穗地铁</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20,342,000.00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101558024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华润药</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20,256,000.00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17,401,200.00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宁城建</w:t>
            </w:r>
            <w:r>
              <w:rPr>
                <w:rFonts w:ascii="Times New Roman" w:hAnsi="Times New Roman"/>
                <w:color w:val="000000"/>
                <w:kern w:val="0"/>
                <w:sz w:val="24"/>
                <w:szCs w:val="24"/>
              </w:rPr>
              <w:t>MTN2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15,294,000.00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1382059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闽投</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51,150,000.00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267,034,800.00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邮储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无按短期信用评级列示的债券投资。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762,014,000.00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18,789,000.00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176,984,000.00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957,787,000.00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23,455,763.09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1,781,727.68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1,002,919,804.78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65,686,319.66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72,335,417.58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144,421.25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402,796.77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134,265.60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194,131.60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190,993.23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260,288,889.56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1,194,611.86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261,483,501.42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-194,602,569.90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780,803,000.00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136,676,000.00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71,140,805.72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794,017,235.82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-6,370,181.48</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6,464,164.32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本基金通过投资组合的分散化降低其他价格风险。本基金投资组合中股票投资占基金资产的比例为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5.68</w:t>
      </w:r>
      <w:r>
        <w:rPr>
          <w:rFonts w:hint="eastAsia" w:ascii="Times New Roman" w:hAnsi="Times New Roman"/>
          <w:color w:val="000000"/>
          <w:kern w:val="0"/>
          <w:sz w:val="24"/>
          <w:szCs w:val="24"/>
        </w:rPr>
        <w:t>％，因此除市场利率以外的其它市场价格因素对于本基金资产净值无重大影响。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42,342,869.06</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960,576,935.72</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0" w:name="_Toc47795478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4786"/>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1"/>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25,237,490.77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27,343,441.69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1,055,500,737.24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8,157,416.58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2,591,402.23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2,197,560.00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25,303,624.51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2,279,080.00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228,291.46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45,132,804.78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4787"/>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2"/>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1,568,030.00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1,339,520.00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华夏幸福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1,315,080.00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中国中铁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1,012,460.00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平安银行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999,040.00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993,870.00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中国平安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东方明珠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华侨城Ａ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961,400.00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国海证券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陕西煤业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信威集团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交通银行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浦发银行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中国交建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526,854.51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228,291.46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3" w:name="_Toc477954788"/>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万达院线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2,502,280.00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2,250,669.20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2,185,250.00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2,044,700.00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农业银行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2,028,700.00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海康威视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比亚迪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1,998,420.00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1,997,931.00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方正证券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1,579,910.00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1,561,100.00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1,556,740.00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北方稀土</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1,554,280.00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中国电建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1,551,692.00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21,079,800.00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2,114,240.00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1,971,670.00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保利地产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1,723,450.00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山西证券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1,668,775.00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美的集团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碧水源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1,489,420.00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国元证券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1,297,340.00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1,148,193.00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中国人寿</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1,145,400.00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中国国航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1,117,160.00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1,090,490.00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1,088,500.00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绿地控股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中兴通讯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158,791,842.54</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111,687,759.28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4789"/>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19,472,000.00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206,562,000.00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157,512,000.00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68,249,000.00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663,504,000.00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957,787,000.00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120.63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4790"/>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98,090,000.00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101570007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光明</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60,228,000.00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101453001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京国资</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52,995,000.00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101461013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京技投</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52,680,000.00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1382059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闽投</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51,150,000.00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4791"/>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6"/>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4792"/>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3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4793"/>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38"/>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4794"/>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4795"/>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4796"/>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本基金投资的前十名证券的发行主体未被监管部门立案调查，也未在编制日前一年内受到公开谴责和处罚。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140,828.89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6,353,206.42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20,849,406.38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27,343,441.69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2" w:name="_Toc47795479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2"/>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4798"/>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3"/>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3,187,598.32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800,055,000.00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32,177.47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2,606,214.91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800,055,000.00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52,977.84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4799"/>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4"/>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0.001674%</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11.057592%</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15,695.07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0.001962%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5" w:name="_Toc477954800"/>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5"/>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6" w:name="_Toc47795480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30</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800,088,076.57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899.10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800,087,177.47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20,800.37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7" w:name="_Toc47795480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47"/>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4803"/>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48"/>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9" w:name="_Toc477954804"/>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49"/>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0" w:name="_Toc477954805"/>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0"/>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4806"/>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4807"/>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86,000.00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4808"/>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4809"/>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269,715,519.33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195,513.85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142,711,369.50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3,288,000,000.00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4810"/>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5"/>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创金合信基金管理有限公司关于创金合信鑫价值灵活配置混合型证券投资基金提前结束募集的公告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创金合信鑫价值灵活配置混合型证券投资基金开放日常申购、赎回业务的公告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6" w:name="_Toc4779548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6"/>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7" w:name="_Toc47795481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57"/>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4813"/>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58"/>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创金合信鑫价值灵活配置混合型证券投资基金基金合同》；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、《创金合信鑫价值灵活配置混合型证券投资基金托管协议》；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、创金合信鑫价值灵活配置混合型证券投资基金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9" w:name="_Toc477954814"/>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0" w:name="_Toc477954815"/>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21</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创金合信鑫价值灵活配置混合型证券投资基金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D57"/>
    <w:rsid w:val="00052CA4"/>
    <w:rsid w:val="000768E0"/>
    <w:rsid w:val="00160D3B"/>
    <w:rsid w:val="00352D57"/>
    <w:rsid w:val="003722D8"/>
    <w:rsid w:val="003A4EE1"/>
    <w:rsid w:val="00477DE4"/>
    <w:rsid w:val="0056691D"/>
    <w:rsid w:val="00764743"/>
    <w:rsid w:val="007723FD"/>
    <w:rsid w:val="00922266"/>
    <w:rsid w:val="00954BAF"/>
    <w:rsid w:val="00980A67"/>
    <w:rsid w:val="009E7BE9"/>
    <w:rsid w:val="00B1053A"/>
    <w:rsid w:val="00B63DAB"/>
    <w:rsid w:val="00BF4216"/>
    <w:rsid w:val="00CE6B69"/>
    <w:rsid w:val="00D13C68"/>
    <w:rsid w:val="00DD3C82"/>
    <w:rsid w:val="00FD1BE4"/>
    <w:rsid w:val="145C218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6692</Words>
  <Characters>38151</Characters>
  <Lines>317</Lines>
  <Paragraphs>89</Paragraphs>
  <TotalTime>0</TotalTime>
  <ScaleCrop>false</ScaleCrop>
  <LinksUpToDate>false</LinksUpToDate>
  <CharactersWithSpaces>44754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2017-03-22T06:03:00Z</dcterms:created>
  <dc:creator>FastReport</dc:creator>
  <cp:lastModifiedBy>Administrator</cp:lastModifiedBy>
  <dcterms:modified xsi:type="dcterms:W3CDTF">2019-12-26T14:07:42Z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