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创金合信量化发现灵活配置混合型证券投资基金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基金托管人：中国工商银行股份有限公司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804440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8044408"/>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基金托管人中国工商银行股份有限公司根据本基金合同规定，于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8044409"/>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"_Toc478044407"</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_Toc478044407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"_Toc478044408"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_Toc478044408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"_Toc478044409"</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_Toc478044409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"_Toc478044410"</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_Toc478044410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"_Toc478044411"</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_Toc478044411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"_Toc478044412"</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_Toc478044412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"_Toc478044413"</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_Toc478044413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"_Toc478044414"</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_Toc478044414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"_Toc478044415"</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_Toc478044415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"_Toc478044416"</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_Toc478044416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"_Toc478044417"</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_Toc478044417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"_Toc478044418"</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_Toc478044418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"_Toc478044419"</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_Toc478044419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"_Toc478044420"</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_Toc478044420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"_Toc478044421"</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_Toc478044421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"_Toc478044422"</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_Toc478044422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"_Toc478044423"</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_Toc478044423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"_Toc478044424"</w:instrText>
      </w:r>
      <w:r>
        <w:rPr>
          <w:rStyle w:val="10"/>
          <w:lang/>
        </w:rPr>
        <w:instrText xml:space="preserve"> </w:instrText>
      </w:r>
      <w:r>
        <w:rPr>
          <w:rStyle w:val="10"/>
          <w:lang/>
        </w:rPr>
        <w:fldChar w:fldCharType="separate"/>
      </w:r>
      <w:r>
        <w:rPr>
          <w:rStyle w:val="10"/>
          <w:rFonts w:ascii="宋体"/>
          <w:b/>
          <w:kern w:val="0"/>
          <w:lang/>
        </w:rPr>
        <w:t xml:space="preserve">4.5 </w:t>
      </w:r>
      <w:r>
        <w:rPr>
          <w:rStyle w:val="10"/>
          <w:rFonts w:hint="eastAsia" w:ascii="宋体"/>
          <w:b/>
          <w:kern w:val="0"/>
          <w:lang/>
        </w:rPr>
        <w:t>管理人对宏观经济、证券市场及行业走势的简要展望</w:t>
      </w:r>
      <w:r>
        <w:rPr>
          <w:lang/>
        </w:rPr>
        <w:tab/>
      </w:r>
      <w:r>
        <w:rPr>
          <w:lang/>
        </w:rPr>
        <w:fldChar w:fldCharType="begin"/>
      </w:r>
      <w:r>
        <w:rPr>
          <w:lang/>
        </w:rPr>
        <w:instrText xml:space="preserve"> PAGEREF _Toc478044424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"_Toc478044425"</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_Toc478044425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"_Toc478044426"</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_Toc478044426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"_Toc478044427"</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_Toc478044427 \h </w:instrText>
      </w:r>
      <w:r>
        <w:rPr>
          <w:lang/>
        </w:rPr>
        <w:fldChar w:fldCharType="separate"/>
      </w:r>
      <w:r>
        <w:rPr>
          <w:lang/>
        </w:rPr>
        <w:t>14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"_Toc478044428"</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_Toc478044428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"_Toc478044429"</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_Toc478044429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"_Toc478044430"</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_Toc478044430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"_Toc478044431"</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_Toc478044431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"_Toc478044432"</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_Toc478044432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"_Toc478044433"</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_Toc478044433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"_Toc478044434"</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_Toc478044434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"_Toc478044435"</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_Toc478044435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"_Toc478044436"</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_Toc478044436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"_Toc478044437"</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_Toc478044437 \h </w:instrText>
      </w:r>
      <w:r>
        <w:rPr>
          <w:lang/>
        </w:rPr>
        <w:fldChar w:fldCharType="separate"/>
      </w:r>
      <w:r>
        <w:rPr>
          <w:lang/>
        </w:rPr>
        <w:t>19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"_Toc478044438"</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_Toc478044438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"_Toc478044439"</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_Toc478044439 \h </w:instrText>
      </w:r>
      <w:r>
        <w:rPr>
          <w:lang/>
        </w:rPr>
        <w:fldChar w:fldCharType="separate"/>
      </w:r>
      <w:r>
        <w:rPr>
          <w:lang/>
        </w:rPr>
        <w:t>21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"_Toc478044440"</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_Toc478044440 \h </w:instrText>
      </w:r>
      <w:r>
        <w:rPr>
          <w:lang/>
        </w:rPr>
        <w:fldChar w:fldCharType="separate"/>
      </w:r>
      <w:r>
        <w:rPr>
          <w:lang/>
        </w:rPr>
        <w:t>44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_Toc478044441 \h </w:instrText>
      </w:r>
      <w:r>
        <w:rPr>
          <w:lang/>
        </w:rPr>
        <w:fldChar w:fldCharType="separate"/>
      </w:r>
      <w:r>
        <w:rPr>
          <w:lang/>
        </w:rPr>
        <w:t>44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"_Toc478044442"</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_Toc478044442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"_Toc478044443"</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_Toc478044443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"_Toc478044444"</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_Toc478044444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"_Toc478044445"</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_Toc478044445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"_Toc478044446"</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_Toc478044446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"_Toc478044447"</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_Toc478044447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"_Toc478044448"</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_Toc478044448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"_Toc478044449"</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_Toc478044449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"_Toc478044450"</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_Toc478044450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_Toc478044451 \h </w:instrText>
      </w:r>
      <w:r>
        <w:rPr>
          <w:lang/>
        </w:rPr>
        <w:fldChar w:fldCharType="separate"/>
      </w:r>
      <w:r>
        <w:rPr>
          <w:lang/>
        </w:rPr>
        <w:t>63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"_Toc478044452"</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_Toc478044452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"_Toc478044453"</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_Toc478044453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"_Toc478044454"</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_Toc478044454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"_Toc478044455"</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_Toc478044455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"_Toc478044456"</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_Toc478044456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"_Toc478044457"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_Toc478044457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_Toc478044458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_Toc478044459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_Toc478044460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_Toc478044461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_Toc478044462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_Toc478044463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_Toc478044464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_Toc478044465 \h </w:instrText>
      </w:r>
      <w:r>
        <w:rPr>
          <w:lang/>
        </w:rPr>
        <w:fldChar w:fldCharType="separate"/>
      </w:r>
      <w:r>
        <w:rPr>
          <w:lang/>
        </w:rPr>
        <w:t>68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"_Toc478044466"</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_Toc478044466 \h </w:instrText>
      </w:r>
      <w:r>
        <w:rPr>
          <w:lang/>
        </w:rPr>
        <w:fldChar w:fldCharType="separate"/>
      </w:r>
      <w:r>
        <w:rPr>
          <w:lang/>
        </w:rPr>
        <w:t>70</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"_Toc478044467"</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_Toc478044467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"_Toc478044468"</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_Toc478044468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"_Toc478044469"</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_Toc478044469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"_Toc478044470"</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_Toc478044470 \h </w:instrText>
      </w:r>
      <w:r>
        <w:rPr>
          <w:lang/>
        </w:rPr>
        <w:fldChar w:fldCharType="separate"/>
      </w:r>
      <w:r>
        <w:rPr>
          <w:lang/>
        </w:rPr>
        <w:t>71</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804441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8044411"/>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003241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1,307,963,127.28</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003242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842,469,870.56</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465,493,256.72</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8044412"/>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本基金运用数量化投资模型指导资产配置和股票选择决策，力争持续获取超越业绩比较基准的投资回报。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和</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相结合的方式，以宏观经济数据、上市公司相关数据、资本</w:t>
            </w:r>
            <w:r>
              <w:rPr>
                <w:rFonts w:ascii="Times New Roman" w:hAnsi="Times New Roman"/>
                <w:color w:val="000000"/>
                <w:kern w:val="0"/>
                <w:sz w:val="24"/>
                <w:szCs w:val="24"/>
              </w:rPr>
              <w:t>/</w:t>
            </w:r>
            <w:r>
              <w:rPr>
                <w:rFonts w:hint="eastAsia" w:ascii="Times New Roman" w:hAnsi="Times New Roman"/>
                <w:color w:val="000000"/>
                <w:kern w:val="0"/>
                <w:sz w:val="24"/>
                <w:szCs w:val="24"/>
              </w:rPr>
              <w:t>资金市场相关数据为研究与分析对象，建立数量化投资模型，指导资产配置和股票选择决策。一方面，本基金基于对资本市场参与主体行为趋势的研究，从</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的角度进行资产配置；另一方面，本基金采用量化选股模型，从与上市公司相关的数据中发现有价值的信息，以</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的视角精选股票投资组合。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60%</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本基金为混合型基金。长期来看，其预期风险与预期收益水平高于货币市场基金、债券型基金，低于股票型基金。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本基金为混合型基金。长期来看，其预期风险与预期收益水平高于货币市场基金、债券型基金，低于股票型基金。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本基金为混合型基金。长期来看，其预期风险与预期收益水平高于货币市场基金、债券型基金，低于股票型基金。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8044413"/>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郭明</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010-66105799</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custody@icbc.com.cn</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100140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易会满</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8044414"/>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中国证券报</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8044415"/>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804441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8044417"/>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16,666,040.51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10,155,463.73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-7,648,993.17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-342,594.37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-7,907,614.70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-5,438,410.64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834,562,255.86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460,054,846.08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0.9883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8044418"/>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-0.76</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12</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-1.36</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11</w:t>
            </w:r>
            <w:r>
              <w:rPr>
                <w:rFonts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-0.98</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12</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-1.59</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11</w:t>
            </w:r>
            <w:r>
              <w:rPr>
                <w:rFonts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804441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8044420"/>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0"/>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firstLine="480"/>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程志田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程志田先生，中国国籍，金融学硕士，</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月加入长江证券股份有限公司任高级研究经理。</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月加入国海证券股份有限公司任金融工程总监。</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月加入摩根士丹利华鑫基金管理有限公司，于</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日至</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日担任大摩深证</w:t>
            </w:r>
            <w:r>
              <w:rPr>
                <w:rFonts w:ascii="Times New Roman" w:hAnsi="Times New Roman"/>
                <w:color w:val="000000"/>
                <w:kern w:val="0"/>
                <w:sz w:val="24"/>
                <w:szCs w:val="24"/>
              </w:rPr>
              <w:t>300</w:t>
            </w:r>
            <w:r>
              <w:rPr>
                <w:rFonts w:hint="eastAsia" w:ascii="Times New Roman" w:hAnsi="Times New Roman"/>
                <w:color w:val="000000"/>
                <w:kern w:val="0"/>
                <w:sz w:val="24"/>
                <w:szCs w:val="24"/>
              </w:rPr>
              <w:t>基金的基金经理。</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月加入泰康资产管理有限责任公司任量化投资总监。</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月加入创金合信基金管理有限公司，现任量化投资部总监、基金经理。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8044421"/>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量化发现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8044422"/>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本报告期内，公司旗下所有投资组合参与的交易所公开竞价交易中，同日反向交易成交较少的单边交易量超过该证券当日成交量的</w:t>
      </w:r>
      <w:r>
        <w:rPr>
          <w:rFonts w:ascii="Times New Roman" w:hAnsi="Times New Roman"/>
          <w:color w:val="000000"/>
          <w:kern w:val="0"/>
          <w:sz w:val="24"/>
          <w:szCs w:val="24"/>
        </w:rPr>
        <w:t>5%</w:t>
      </w:r>
      <w:r>
        <w:rPr>
          <w:rFonts w:hint="eastAsia" w:ascii="Times New Roman" w:hAnsi="Times New Roman"/>
          <w:color w:val="000000"/>
          <w:kern w:val="0"/>
          <w:sz w:val="24"/>
          <w:szCs w:val="24"/>
        </w:rPr>
        <w:t>的交易共</w:t>
      </w:r>
      <w:r>
        <w:rPr>
          <w:rFonts w:ascii="Times New Roman" w:hAnsi="Times New Roman"/>
          <w:color w:val="000000"/>
          <w:kern w:val="0"/>
          <w:sz w:val="24"/>
          <w:szCs w:val="24"/>
        </w:rPr>
        <w:t>6</w:t>
      </w:r>
      <w:r>
        <w:rPr>
          <w:rFonts w:hint="eastAsia" w:ascii="Times New Roman" w:hAnsi="Times New Roman"/>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8044423"/>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回顾</w:t>
      </w:r>
      <w:r>
        <w:rPr>
          <w:rFonts w:ascii="Times New Roman" w:hAnsi="Times New Roman"/>
          <w:color w:val="000000"/>
          <w:kern w:val="0"/>
          <w:sz w:val="24"/>
          <w:szCs w:val="24"/>
        </w:rPr>
        <w:t>2016</w:t>
      </w:r>
      <w:r>
        <w:rPr>
          <w:rFonts w:hint="eastAsia" w:ascii="Times New Roman" w:hAnsi="Times New Roman"/>
          <w:color w:val="000000"/>
          <w:kern w:val="0"/>
          <w:sz w:val="24"/>
          <w:szCs w:val="24"/>
        </w:rPr>
        <w:t>年，我们严格依据量化模型进行投资，并严格进行风险管理。一方面，量化选股模型提供了持续稳健的</w:t>
      </w:r>
      <w:r>
        <w:rPr>
          <w:rFonts w:ascii="Times New Roman" w:hAnsi="Times New Roman"/>
          <w:color w:val="000000"/>
          <w:kern w:val="0"/>
          <w:sz w:val="24"/>
          <w:szCs w:val="24"/>
        </w:rPr>
        <w:t>Alpha</w:t>
      </w:r>
      <w:r>
        <w:rPr>
          <w:rFonts w:hint="eastAsia" w:ascii="Times New Roman" w:hAnsi="Times New Roman"/>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w:t>
      </w:r>
      <w:r>
        <w:rPr>
          <w:rFonts w:ascii="Times New Roman" w:hAnsi="Times New Roman"/>
          <w:color w:val="000000"/>
          <w:kern w:val="0"/>
          <w:sz w:val="24"/>
          <w:szCs w:val="24"/>
        </w:rPr>
        <w:t>A</w:t>
      </w:r>
      <w:r>
        <w:rPr>
          <w:rFonts w:hint="eastAsia" w:ascii="Times New Roman" w:hAnsi="Times New Roman"/>
          <w:color w:val="000000"/>
          <w:kern w:val="0"/>
          <w:sz w:val="24"/>
          <w:szCs w:val="24"/>
        </w:rPr>
        <w:t>级净值增长率</w:t>
      </w:r>
      <w:r>
        <w:rPr>
          <w:rFonts w:ascii="Times New Roman" w:hAnsi="Times New Roman"/>
          <w:color w:val="000000"/>
          <w:kern w:val="0"/>
          <w:sz w:val="24"/>
          <w:szCs w:val="24"/>
        </w:rPr>
        <w:t>-0.94%</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级净值增长率</w:t>
      </w:r>
      <w:r>
        <w:rPr>
          <w:rFonts w:ascii="Times New Roman" w:hAnsi="Times New Roman"/>
          <w:color w:val="000000"/>
          <w:kern w:val="0"/>
          <w:sz w:val="24"/>
          <w:szCs w:val="24"/>
        </w:rPr>
        <w:t>-1.17%</w:t>
      </w:r>
      <w:r>
        <w:rPr>
          <w:rFonts w:hint="eastAsia" w:ascii="Times New Roman" w:hAnsi="Times New Roman"/>
          <w:color w:val="000000"/>
          <w:kern w:val="0"/>
          <w:sz w:val="24"/>
          <w:szCs w:val="24"/>
        </w:rPr>
        <w:t>，同期业绩比较基准收益率为</w:t>
      </w:r>
      <w:r>
        <w:rPr>
          <w:rFonts w:ascii="Times New Roman" w:hAnsi="Times New Roman"/>
          <w:color w:val="000000"/>
          <w:kern w:val="0"/>
          <w:sz w:val="24"/>
          <w:szCs w:val="24"/>
        </w:rPr>
        <w:t>0.42%</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17" w:name="_Toc478044424"/>
      <w:r>
        <w:rPr>
          <w:rFonts w:ascii="宋体"/>
          <w:b/>
          <w:color w:val="000000"/>
          <w:kern w:val="0"/>
          <w:sz w:val="24"/>
          <w:szCs w:val="24"/>
        </w:rPr>
        <w:t>4.</w:t>
      </w:r>
      <w:r>
        <w:rPr>
          <w:rFonts w:hint="eastAsia" w:ascii="宋体"/>
          <w:b/>
          <w:color w:val="000000"/>
          <w:kern w:val="0"/>
          <w:sz w:val="24"/>
          <w:szCs w:val="24"/>
        </w:rPr>
        <w:t>5</w:t>
      </w:r>
      <w:r>
        <w:rPr>
          <w:rFonts w:ascii="宋体"/>
          <w:b/>
          <w:color w:val="000000"/>
          <w:kern w:val="0"/>
          <w:sz w:val="24"/>
          <w:szCs w:val="24"/>
        </w:rPr>
        <w:t xml:space="preserve"> </w:t>
      </w:r>
      <w:r>
        <w:rPr>
          <w:rFonts w:hint="eastAsia" w:ascii="宋体"/>
          <w:b/>
          <w:color w:val="000000"/>
          <w:kern w:val="0"/>
          <w:sz w:val="24"/>
          <w:szCs w:val="24"/>
        </w:rPr>
        <w:t>管理人对宏观</w:t>
      </w:r>
      <w:r>
        <w:rPr>
          <w:rFonts w:ascii="宋体"/>
          <w:b/>
          <w:color w:val="000000"/>
          <w:kern w:val="0"/>
          <w:sz w:val="24"/>
          <w:szCs w:val="24"/>
        </w:rPr>
        <w:t>经济、证券市场</w:t>
      </w:r>
      <w:r>
        <w:rPr>
          <w:rFonts w:hint="eastAsia" w:ascii="宋体"/>
          <w:b/>
          <w:color w:val="000000"/>
          <w:kern w:val="0"/>
          <w:sz w:val="24"/>
          <w:szCs w:val="24"/>
        </w:rPr>
        <w:t>及</w:t>
      </w:r>
      <w:r>
        <w:rPr>
          <w:rFonts w:ascii="宋体"/>
          <w:b/>
          <w:color w:val="000000"/>
          <w:kern w:val="0"/>
          <w:sz w:val="24"/>
          <w:szCs w:val="24"/>
        </w:rPr>
        <w:t>行业走势的简要展望</w:t>
      </w:r>
      <w:bookmarkEnd w:id="17"/>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在过去的半年里，</w:t>
      </w:r>
      <w:r>
        <w:rPr>
          <w:rFonts w:ascii="宋体"/>
          <w:color w:val="000000"/>
          <w:kern w:val="0"/>
          <w:sz w:val="24"/>
          <w:szCs w:val="24"/>
        </w:rPr>
        <w:t>PPI</w:t>
      </w:r>
      <w:r>
        <w:rPr>
          <w:rFonts w:hint="eastAsia" w:ascii="宋体"/>
          <w:color w:val="000000"/>
          <w:kern w:val="0"/>
          <w:sz w:val="24"/>
          <w:szCs w:val="24"/>
        </w:rPr>
        <w:t>快速上行带动名义</w:t>
      </w:r>
      <w:r>
        <w:rPr>
          <w:rFonts w:ascii="宋体"/>
          <w:color w:val="000000"/>
          <w:kern w:val="0"/>
          <w:sz w:val="24"/>
          <w:szCs w:val="24"/>
        </w:rPr>
        <w:t>GDP</w:t>
      </w:r>
      <w:r>
        <w:rPr>
          <w:rFonts w:hint="eastAsia" w:ascii="宋体"/>
          <w:color w:val="000000"/>
          <w:kern w:val="0"/>
          <w:sz w:val="24"/>
          <w:szCs w:val="24"/>
        </w:rPr>
        <w:t>增速上行，有望带动工业企业净利润增速提高；</w:t>
      </w:r>
      <w:r>
        <w:rPr>
          <w:rFonts w:ascii="宋体"/>
          <w:color w:val="000000"/>
          <w:kern w:val="0"/>
          <w:sz w:val="24"/>
          <w:szCs w:val="24"/>
        </w:rPr>
        <w:t>PPI</w:t>
      </w:r>
      <w:r>
        <w:rPr>
          <w:rFonts w:hint="eastAsia" w:ascii="宋体"/>
          <w:color w:val="000000"/>
          <w:kern w:val="0"/>
          <w:sz w:val="24"/>
          <w:szCs w:val="24"/>
        </w:rPr>
        <w:t>上行对</w:t>
      </w:r>
      <w:r>
        <w:rPr>
          <w:rFonts w:ascii="宋体"/>
          <w:color w:val="000000"/>
          <w:kern w:val="0"/>
          <w:sz w:val="24"/>
          <w:szCs w:val="24"/>
        </w:rPr>
        <w:t>CPI</w:t>
      </w:r>
      <w:r>
        <w:rPr>
          <w:rFonts w:hint="eastAsia" w:ascii="宋体"/>
          <w:color w:val="000000"/>
          <w:kern w:val="0"/>
          <w:sz w:val="24"/>
          <w:szCs w:val="24"/>
        </w:rPr>
        <w:t>的传导作用不明显，目前</w:t>
      </w:r>
      <w:r>
        <w:rPr>
          <w:rFonts w:ascii="宋体"/>
          <w:color w:val="000000"/>
          <w:kern w:val="0"/>
          <w:sz w:val="24"/>
          <w:szCs w:val="24"/>
        </w:rPr>
        <w:t>CPI</w:t>
      </w:r>
      <w:r>
        <w:rPr>
          <w:rFonts w:hint="eastAsia" w:ascii="宋体"/>
          <w:color w:val="000000"/>
          <w:kern w:val="0"/>
          <w:sz w:val="24"/>
          <w:szCs w:val="24"/>
        </w:rPr>
        <w:t>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line="288" w:lineRule="auto"/>
        <w:jc w:val="left"/>
        <w:rPr>
          <w:rFonts w:hint="eastAsia"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8044425"/>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8044426"/>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8044427"/>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804442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8044429"/>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托管人在对创金合信量化发现灵活配置混合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8044430"/>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本报告期内，创金合信量化发现灵活配置混合型证券投资基金的管理人</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基金管理有限公司在创金合信量化发现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发现灵活配置混合型证券投资基金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8044431"/>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本托管人依法对创金合信基金管理有限公司编制和披露的创金合信量化发现灵活配置混合型证券投资基金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年年度报告中财务指标、净值表现、利润分配情况、财务会计报告、投资组合报告等内容进行了核查，以上内容真实、准确和完整。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804443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8044433"/>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22100</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8044434"/>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我们审计了后附的创金合信量化发现灵活配置混合型证券投资基金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编制和公允列报财务报表是创金合信量化发现混合基金的基金管理人创金合信基金管理有限公司管理层的责任。这种责任包括：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量化发现混合基金的财务报表在所有重大方面按照企业会计准则和在财务报表附注中所列示的中国证监会、中国基金业协会发布的有关规定及允许的基金行业实务操作编制，公允反映了创金合信量化发现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804443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8044436"/>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会计主体：创金合信量化发现灵活配置混合型证券投资基金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7,470,542.26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1,108,331,711.49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2,188,815.95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1,668,627.11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278,104.54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322,547.89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19,014,903.13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1,307,963,127.28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-13,346,025.34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1,294,617,101.94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 xml:space="preserve">1. </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1,307,963,127.28</w:t>
      </w:r>
      <w:r>
        <w:rPr>
          <w:rFonts w:hint="eastAsia" w:ascii="Times New Roman" w:hAnsi="Times New Roman"/>
          <w:color w:val="000000"/>
          <w:kern w:val="0"/>
          <w:szCs w:val="24"/>
        </w:rPr>
        <w:t>份，其中</w:t>
      </w:r>
      <w:r>
        <w:rPr>
          <w:rFonts w:ascii="Times New Roman" w:hAnsi="Times New Roman"/>
          <w:color w:val="000000"/>
          <w:kern w:val="0"/>
          <w:szCs w:val="24"/>
        </w:rPr>
        <w:t>A</w:t>
      </w:r>
      <w:r>
        <w:rPr>
          <w:rFonts w:hint="eastAsia" w:ascii="Times New Roman" w:hAnsi="Times New Roman"/>
          <w:color w:val="000000"/>
          <w:kern w:val="0"/>
          <w:szCs w:val="24"/>
        </w:rPr>
        <w:t>类基金份额的份额总额为</w:t>
      </w:r>
      <w:r>
        <w:rPr>
          <w:rFonts w:ascii="Times New Roman" w:hAnsi="Times New Roman"/>
          <w:color w:val="000000"/>
          <w:kern w:val="0"/>
          <w:szCs w:val="24"/>
        </w:rPr>
        <w:t>842,469,870.56</w:t>
      </w:r>
      <w:r>
        <w:rPr>
          <w:rFonts w:hint="eastAsia" w:ascii="Times New Roman" w:hAnsi="Times New Roman"/>
          <w:color w:val="000000"/>
          <w:kern w:val="0"/>
          <w:szCs w:val="24"/>
        </w:rPr>
        <w:t>份，份额净值</w:t>
      </w:r>
      <w:r>
        <w:rPr>
          <w:rFonts w:ascii="Times New Roman" w:hAnsi="Times New Roman"/>
          <w:color w:val="000000"/>
          <w:kern w:val="0"/>
          <w:szCs w:val="24"/>
        </w:rPr>
        <w:t>0.9906</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类基金份额的份额总额为</w:t>
      </w:r>
      <w:r>
        <w:rPr>
          <w:rFonts w:ascii="Times New Roman" w:hAnsi="Times New Roman"/>
          <w:color w:val="000000"/>
          <w:kern w:val="0"/>
          <w:szCs w:val="24"/>
        </w:rPr>
        <w:t>465,493,256.72</w:t>
      </w:r>
      <w:r>
        <w:rPr>
          <w:rFonts w:hint="eastAsia" w:ascii="Times New Roman" w:hAnsi="Times New Roman"/>
          <w:color w:val="000000"/>
          <w:kern w:val="0"/>
          <w:szCs w:val="24"/>
        </w:rPr>
        <w:t>份，份额净值</w:t>
      </w:r>
      <w:r>
        <w:rPr>
          <w:rFonts w:ascii="Times New Roman" w:hAnsi="Times New Roman"/>
          <w:color w:val="000000"/>
          <w:kern w:val="0"/>
          <w:szCs w:val="24"/>
        </w:rPr>
        <w:t>0.9883</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8044437"/>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会计主体：创金合信量化发现灵活配置混合型证券投资基金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4,625,342.31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2,888,485.47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984,393.32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4,410.95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1,899,681.20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36,341,828.18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47,173.04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208,120.44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12,616,929.85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5,697,896.26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949,649.39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1,264,883.75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4,568,794.27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135,465.00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8044438"/>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会计主体：创金合信量化发现灵活配置混合型证券投资基金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1,512,800,086.21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1,512,800,086.21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-204,836,958.93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-5,354,437.80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-210,191,396.73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72,512,919.29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969,817.13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73,482,736.42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-277,349,878.22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-6,324,254.93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-283,674,133.15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1,307,963,127.28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1,294,617,101.94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8044439"/>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创金合信量化发现灵活配置混合型证券投资基金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[2016]1878</w:t>
      </w:r>
      <w:r>
        <w:rPr>
          <w:rFonts w:hint="eastAsia" w:ascii="Times New Roman" w:hAnsi="Times New Roman"/>
          <w:color w:val="000000"/>
          <w:kern w:val="0"/>
          <w:sz w:val="24"/>
          <w:szCs w:val="24"/>
        </w:rPr>
        <w:t>号《关于准予创金合信量化发现灵活配置混合型证券投资基金注册的批复》核准，由创金合信基金管理有限公司依照《中华人民共和国证券投资基金法》和《创金合信量化发现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1,511,939,991.40</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1257</w:t>
      </w:r>
      <w:r>
        <w:rPr>
          <w:rFonts w:hint="eastAsia" w:ascii="Times New Roman" w:hAnsi="Times New Roman"/>
          <w:color w:val="000000"/>
          <w:kern w:val="0"/>
          <w:sz w:val="24"/>
          <w:szCs w:val="24"/>
        </w:rPr>
        <w:t>号验资报告予以验证。经向中国证监会备案，《创金合信量化发现灵活配置混合型证券投资基金基金合同》于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1,512,800,086.21</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860,094.81</w:t>
      </w:r>
      <w:r>
        <w:rPr>
          <w:rFonts w:hint="eastAsia" w:ascii="Times New Roman" w:hAnsi="Times New Roman"/>
          <w:color w:val="000000"/>
          <w:kern w:val="0"/>
          <w:sz w:val="24"/>
          <w:szCs w:val="24"/>
        </w:rPr>
        <w:t>份基金份额。本基金的基金管理人为创金合信基金管理有限公司，基金托管人为中国工商银行股份有限公司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中国工商银行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根据《中华人民共和国证券投资基金法》和《创金合信量化发现灵活配置混合型证券投资基金基金合同》的有关规定，本基金的投资范围包括国内依法发行上市的股票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包括创业板、中小板以及其他中国证监会允许基金投资的股票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包括国债、央行票据、地方政府债、金融债、企业债、公司债、中小企业私募债、次级债、中期票据、短期融资券、可转换债券、可交换债券等</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、资产支持证券、债券回购、银行存款、金融衍生品</w:t>
      </w:r>
      <w:r>
        <w:rPr>
          <w:rFonts w:ascii="Times New Roman" w:hAnsi="Times New Roman"/>
          <w:color w:val="000000"/>
          <w:kern w:val="0"/>
          <w:sz w:val="24"/>
          <w:szCs w:val="24"/>
        </w:rPr>
        <w:t>(</w:t>
      </w:r>
      <w:r>
        <w:rPr>
          <w:rFonts w:hint="eastAsia" w:ascii="Times New Roman" w:hAnsi="Times New Roman"/>
          <w:color w:val="000000"/>
          <w:kern w:val="0"/>
          <w:sz w:val="24"/>
          <w:szCs w:val="24"/>
        </w:rPr>
        <w:t>权证、股指期货、股票期权等</w:t>
      </w:r>
      <w:r>
        <w:rPr>
          <w:rFonts w:ascii="Times New Roman" w:hAnsi="Times New Roman"/>
          <w:color w:val="000000"/>
          <w:kern w:val="0"/>
          <w:sz w:val="24"/>
          <w:szCs w:val="24"/>
        </w:rPr>
        <w:t>)</w:t>
      </w:r>
      <w:r>
        <w:rPr>
          <w:rFonts w:hint="eastAsia" w:ascii="Times New Roman" w:hAnsi="Times New Roman"/>
          <w:color w:val="000000"/>
          <w:kern w:val="0"/>
          <w:sz w:val="24"/>
          <w:szCs w:val="24"/>
        </w:rPr>
        <w:t>及法律法规或中国证监会允许基金投资的其他金融工具。本基金的业绩比较基准为：中证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60%</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40%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颁布的《证券投资基金会计核算业务指引》、《创金合信量化发现灵活配置混合型证券投资基金基金合同》和在财务报表附注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本基金收益分配方式分两种：现金分红与红利再投资，投资者可选择现金红利或将现金红利自动转为该类别基金份额进行再投资；若投资者不选择，本基金默认的收益分配方式是现金分红；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在对基金份额持有人利益无实质不利影响的前提下，基金管理人与基金托管人协商一致后，可调整基金收益的分配原则和支付方式，不需召开基金份额持有人大会审议；</w:t>
      </w:r>
      <w:r>
        <w:rPr>
          <w:rFonts w:ascii="Times New Roman" w:hAnsi="Times New Roman"/>
          <w:color w:val="000000"/>
          <w:kern w:val="0"/>
          <w:sz w:val="24"/>
          <w:szCs w:val="24"/>
        </w:rPr>
        <w:t>(6)</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1,073,096,811.17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-34,674,099.68</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70,047,992.10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-138,992.10</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70,047,992.10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-138,992.10</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1,143,144,803.27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1,108,331,711.49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Times New Roman" w:hAnsi="Times New Roman"/>
          <w:b/>
          <w:bCs/>
          <w:color w:val="000000"/>
          <w:kern w:val="0"/>
          <w:sz w:val="24"/>
          <w:szCs w:val="24"/>
        </w:rPr>
        <w:t xml:space="preserve">7.4.7.4.2 </w:t>
      </w:r>
      <w:r>
        <w:rPr>
          <w:rFonts w:hint="eastAsia" w:ascii="Times New Roman" w:hAnsi="Times New Roman"/>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本基金本报告期末无买断式逆回购交易中取得的债券。</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13,318.08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3,697.98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1,063,041.10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116.49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1,332.28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848,356,409.28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848,356,409.28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48,712,387.20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48,712,387.20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-54,598,925.92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-54,598,925.92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842,469,870.56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842,469,870.56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664,443,676.93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664,443,676.93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23,800,532.09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23,800,532.09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-222,750,952.30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-222,750,952.30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465,493,256.72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465,493,256.72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29</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23</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1,511,939,991.40</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847,876,406.35</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664,063,585.05</w:t>
      </w:r>
      <w:r>
        <w:rPr>
          <w:rFonts w:hint="eastAsia" w:ascii="Times New Roman" w:hAnsi="Times New Roman"/>
          <w:color w:val="000000"/>
          <w:kern w:val="0"/>
          <w:szCs w:val="24"/>
        </w:rPr>
        <w:t>元。根据《创金合信量化发现灵活配置混合型证券投资基金招募说明书》的规定，本基金设立募集期内认购资金产生的利息收入</w:t>
      </w:r>
      <w:r>
        <w:rPr>
          <w:rFonts w:ascii="Times New Roman" w:hAnsi="Times New Roman"/>
          <w:color w:val="000000"/>
          <w:kern w:val="0"/>
          <w:szCs w:val="24"/>
        </w:rPr>
        <w:t>860,094.81</w:t>
      </w:r>
      <w:r>
        <w:rPr>
          <w:rFonts w:hint="eastAsia" w:ascii="Times New Roman" w:hAnsi="Times New Roman"/>
          <w:color w:val="000000"/>
          <w:kern w:val="0"/>
          <w:szCs w:val="24"/>
        </w:rPr>
        <w:t>元在本基金成立后，折算为</w:t>
      </w:r>
      <w:r>
        <w:rPr>
          <w:rFonts w:ascii="Times New Roman" w:hAnsi="Times New Roman"/>
          <w:color w:val="000000"/>
          <w:kern w:val="0"/>
          <w:szCs w:val="24"/>
        </w:rPr>
        <w:t>860,094.81</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480,002.93</w:t>
      </w:r>
      <w:r>
        <w:rPr>
          <w:rFonts w:hint="eastAsia" w:ascii="Times New Roman" w:hAnsi="Times New Roman"/>
          <w:color w:val="000000"/>
          <w:kern w:val="0"/>
          <w:szCs w:val="24"/>
        </w:rPr>
        <w:t>元，折算为</w:t>
      </w:r>
      <w:r>
        <w:rPr>
          <w:rFonts w:ascii="Times New Roman" w:hAnsi="Times New Roman"/>
          <w:color w:val="000000"/>
          <w:kern w:val="0"/>
          <w:szCs w:val="24"/>
        </w:rPr>
        <w:t>480,002.93</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380,091.88</w:t>
      </w:r>
      <w:r>
        <w:rPr>
          <w:rFonts w:hint="eastAsia" w:ascii="Times New Roman" w:hAnsi="Times New Roman"/>
          <w:color w:val="000000"/>
          <w:kern w:val="0"/>
          <w:szCs w:val="24"/>
        </w:rPr>
        <w:t>元，折算为</w:t>
      </w:r>
      <w:r>
        <w:rPr>
          <w:rFonts w:ascii="Times New Roman" w:hAnsi="Times New Roman"/>
          <w:color w:val="000000"/>
          <w:kern w:val="0"/>
          <w:szCs w:val="24"/>
        </w:rPr>
        <w:t>380,091.88</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16,666,040.51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-24,315,033.68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-7,648,993.17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37,061.56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-295,683.09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-258,621.53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966,049.56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-339,777.63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626,271.93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-928,988.00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44,094.54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-884,893.46</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16,703,102.07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-24,610,716.77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-7,907,614.70</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10,155,463.73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-10,498,058.10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-342,594.37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-2,025,743.18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-3,070,073.09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-5,095,816.27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431,057.63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-87,512.43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343,545.20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-2,456,800.81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-2,982,560.66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-5,439,361.47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8,129,720.55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-13,568,131.19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-5,438,410.64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938,283.91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45,515.08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594.33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984,393.32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1,478,932,797.22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1,442,638,142.08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本基金本报告期内无债券投资收益。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47,173.04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47,173.04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-34,674,099.68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-138,992.10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208,120.44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208,120.44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4,568,794.27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4,568,794.27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账户维护费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135,465.00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“第一创业证券”</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本基金本报告期内无通过关联方交易单元进行的交易。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5,697,896.26</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3,021,206.94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注：支付基金管理人创金合信的管理人报酬按前一日基金资产净值</w:t>
      </w:r>
      <w:r>
        <w:rPr>
          <w:rFonts w:ascii="Times New Roman" w:hAnsi="Times New Roman"/>
          <w:color w:val="000000"/>
          <w:kern w:val="0"/>
          <w:szCs w:val="24"/>
        </w:rPr>
        <w:t>1.50%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日管理人报酬＝前一日基金资产净值</w:t>
      </w:r>
      <w:r>
        <w:rPr>
          <w:rFonts w:ascii="Times New Roman" w:hAnsi="Times New Roman"/>
          <w:color w:val="000000"/>
          <w:kern w:val="0"/>
          <w:szCs w:val="24"/>
        </w:rPr>
        <w:t xml:space="preserve"> X 1.50%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949,649.39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注：支付基金托管人中国工商银行的托管费按前一日基金资产净值</w:t>
      </w:r>
      <w:r>
        <w:rPr>
          <w:rFonts w:ascii="Times New Roman" w:hAnsi="Times New Roman"/>
          <w:color w:val="000000"/>
          <w:kern w:val="0"/>
          <w:szCs w:val="24"/>
        </w:rPr>
        <w:t>0.25%</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日托管费＝前一日基金资产净值</w:t>
      </w:r>
      <w:r>
        <w:rPr>
          <w:rFonts w:ascii="Times New Roman" w:hAnsi="Times New Roman"/>
          <w:color w:val="000000"/>
          <w:kern w:val="0"/>
          <w:szCs w:val="24"/>
        </w:rPr>
        <w:t xml:space="preserve"> X 0.25%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466,415.12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466,415.12</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128,183.31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128,183.31</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12,006.92</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606605.35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606605.35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0.8%</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0.8%/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本基金本报告期内未发生与关联方进行银行间同业市场的债券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本报告期无除基金管理人之外的其他关联方投资本基金的情况。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938,283.91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注：本基金的银行存款由基金托管人中国工商银行保管，按金融机构同业存款利率计息。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本基金本报告期内未在承销期内参与关联方承销的证券。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本基金本报告期内无其他关联交易事项。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德新交运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华正新材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1,874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景旺电子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天龙股份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603689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皖天然气</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4,818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赛托生物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1,582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天铁股份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1,438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熙菱信息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600173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卧龙地产</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550,400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4,673,163.08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6,318,592.00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600763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通策医疗</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33.54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130,077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4,337,822.27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4,362,782.58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600814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杭州解百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448,800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4,440,477.00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5,102,856.00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大晟文化</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56,900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4,097,259.40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4,455,839.00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康尼机电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299,300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4,452,845.00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4,399,710.00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603555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贵人鸟</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145,300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4,185,844.00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4,469,428.00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中洲控股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119,400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2,298,405.00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2,416,656.00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康达尔</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122,900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4,260,540.08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4,660,368.00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英特集团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200,134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4,673,741.63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4,422,961.40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002034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w:t>
            </w:r>
            <w:r>
              <w:rPr>
                <w:rFonts w:ascii="Times New Roman" w:hAnsi="Times New Roman"/>
                <w:color w:val="000000"/>
                <w:kern w:val="0"/>
                <w:szCs w:val="24"/>
              </w:rPr>
              <w:t xml:space="preserve"> </w:t>
            </w:r>
            <w:r>
              <w:rPr>
                <w:rFonts w:hint="eastAsia" w:ascii="Times New Roman" w:hAnsi="Times New Roman"/>
                <w:color w:val="000000"/>
                <w:kern w:val="0"/>
                <w:szCs w:val="24"/>
              </w:rPr>
              <w:t>欣</w:t>
            </w:r>
            <w:r>
              <w:rPr>
                <w:rFonts w:ascii="Times New Roman" w:hAnsi="Times New Roman"/>
                <w:color w:val="000000"/>
                <w:kern w:val="0"/>
                <w:szCs w:val="24"/>
              </w:rPr>
              <w:t xml:space="preserve"> </w:t>
            </w:r>
            <w:r>
              <w:rPr>
                <w:rFonts w:hint="eastAsia" w:ascii="Times New Roman" w:hAnsi="Times New Roman"/>
                <w:color w:val="000000"/>
                <w:kern w:val="0"/>
                <w:szCs w:val="24"/>
              </w:rPr>
              <w:t>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36.33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39.96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39,000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1,388,190.90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1,416,870.00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002159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三特索道</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4,319,065.69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5,008,000.00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002239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奥特佳</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2,017,965.16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2,047,545.00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002617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露笑科技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294,572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4,507,268.32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4,309,588.36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300420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五洋科技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178,900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4,368,032.16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4,468,922.00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，无抵押券。</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日止，本基金从事交易所债券正回购交易形成的卖出回购证券款余额</w:t>
      </w:r>
      <w:r>
        <w:rPr>
          <w:rFonts w:ascii="Times New Roman" w:hAnsi="Times New Roman"/>
          <w:color w:val="000000"/>
          <w:kern w:val="0"/>
          <w:sz w:val="24"/>
          <w:szCs w:val="24"/>
        </w:rPr>
        <w:t>12,000,000.00</w:t>
      </w:r>
      <w:r>
        <w:rPr>
          <w:rFonts w:hint="eastAsia" w:ascii="Times New Roman" w:hAnsi="Times New Roman"/>
          <w:color w:val="000000"/>
          <w:kern w:val="0"/>
          <w:sz w:val="24"/>
          <w:szCs w:val="24"/>
        </w:rPr>
        <w:t>元，于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日到期。该类交易要求本基金转入质押库的债券，按证券交易所规定的比例折算为标准券后，不低于债券回购交易的余额。</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69,909,000.00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69,909,000.00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无按长期信用评级列示的债券投资。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。本基金所持大部分证券在证券交易所上市，其余亦可在银行间同业市场交易，因此除附注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7,470,542.26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7,470,542.26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1,108,331,711.49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83,004,971.31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1,230,627,033.76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2,188,815.95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2,188,815.95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1,668,627.11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1,668,627.11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278,104.54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278,104.54</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322,547.89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322,547.89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7,014,903.13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19,014,903.13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71,004,971.31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-59,372.40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59,472.90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本基金通过投资组合的分散化降低其他价格风险。本基金投资组合中股票资产占基金资产的比例为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；每个交易日日终，在扣除股指期货合约和股票期权合约需缴纳的交易保证金后，本基金将持有不低于基金资产净值</w:t>
      </w:r>
      <w:r>
        <w:rPr>
          <w:rFonts w:ascii="Times New Roman" w:hAnsi="Times New Roman"/>
          <w:color w:val="000000"/>
          <w:kern w:val="0"/>
          <w:sz w:val="24"/>
          <w:szCs w:val="24"/>
        </w:rPr>
        <w:t>5</w:t>
      </w:r>
      <w:r>
        <w:rPr>
          <w:rFonts w:hint="eastAsia" w:ascii="Times New Roman" w:hAnsi="Times New Roman"/>
          <w:color w:val="000000"/>
          <w:kern w:val="0"/>
          <w:sz w:val="24"/>
          <w:szCs w:val="24"/>
        </w:rPr>
        <w:t>％的现金或者到期日在一年以内的政府债券；权证、股指期货、股票期权及其他金融工具的投资比例依照法律法规或监管机构的规定执行。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9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比较基准上涨</w:t>
            </w:r>
            <w:r>
              <w:rPr>
                <w:rFonts w:ascii="Times New Roman" w:hAnsi="Times New Roman"/>
                <w:color w:val="000000"/>
                <w:kern w:val="0"/>
                <w:sz w:val="24"/>
                <w:szCs w:val="24"/>
              </w:rPr>
              <w:t>5%</w:t>
            </w:r>
            <w:r>
              <w:rPr>
                <w:rFonts w:hint="eastAsia" w:ascii="Times New Roman" w:hAnsi="Times New Roman"/>
                <w:color w:val="000000"/>
                <w:kern w:val="0"/>
                <w:sz w:val="24"/>
                <w:szCs w:val="24"/>
              </w:rPr>
              <w:t>资产净值变动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57,632,460.49</w:t>
            </w:r>
          </w:p>
        </w:tc>
      </w:tr>
      <w:tr>
        <w:tblPrEx>
          <w:tblCellMar>
            <w:top w:w="0" w:type="dxa"/>
            <w:left w:w="108" w:type="dxa"/>
            <w:bottom w:w="0" w:type="dxa"/>
            <w:right w:w="108" w:type="dxa"/>
          </w:tblCellMar>
        </w:tblPrEx>
        <w:trPr>
          <w:wBefore w:w="0" w:type="auto"/>
        </w:trPr>
        <w:tc>
          <w:tcPr>
            <w:tcW w:w="39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比较基准下降</w:t>
            </w:r>
            <w:r>
              <w:rPr>
                <w:rFonts w:ascii="Times New Roman" w:hAnsi="Times New Roman"/>
                <w:color w:val="000000"/>
                <w:kern w:val="0"/>
                <w:sz w:val="24"/>
                <w:szCs w:val="24"/>
              </w:rPr>
              <w:t>5%</w:t>
            </w:r>
            <w:r>
              <w:rPr>
                <w:rFonts w:hint="eastAsia" w:ascii="Times New Roman" w:hAnsi="Times New Roman"/>
                <w:color w:val="000000"/>
                <w:kern w:val="0"/>
                <w:sz w:val="24"/>
                <w:szCs w:val="24"/>
              </w:rPr>
              <w:t>资产净值变动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-57,632,460.49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980,072,911.71</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128,258,799.78</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804444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8044441"/>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12,860,596.82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192,439,696.76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14.65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8,892,125.14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6,524,242.00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692,352,825.30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62,442,814.64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17,154,589.50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66,189,204.21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29,220,044.82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1,631,850.00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27,130,800.68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15,372,420.00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38,540,851.02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16,763,788.88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33,651,968.08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3,850,786.64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5,259,514.58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9,573,872.00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3,871,014.00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8044442"/>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6,318,592.00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5,102,856.00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三特索道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4,660,368.00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4,469,428.00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4,468,922.00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4,455,839.00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英特集团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4,422,961.40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康尼机电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4,399,710.00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4,362,782.58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露笑科技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294,572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4,309,588.36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大亚圣象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4,102,680.00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4,064,040.00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4,061,166.48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龙津药业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4,052,731.00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大连圣亚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4,043,392.00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4,033,418.86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正虹科技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296,560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4,033,216.00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4,025,637.00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231,477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4,023,070.26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精锻科技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4,018,306.00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4,017,468.00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东旭蓝天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4,015,143.00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赫美集团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4,012,384.20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霞客环保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455,020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4,008,726.20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宏达矿业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4,005,880.00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粤电力Ａ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4,004,896.00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4,000,937.28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475,181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3,996,272.21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3,995,622.00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涪陵榨菜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3,995,268.00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粤高速Ａ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3,995,244.00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3,993,645.90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索菲亚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3,991,592.00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3,990,962.32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3,990,903.00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3,988,890.00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齐心集团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183,650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3,985,205.00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好莱客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3,984,747.00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辉煌科技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3,983,817.00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龙马环卫</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3,983,077.44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3,981,345.66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天银机电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3,976,700.00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中矿资源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3,976,596.00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3,975,114.00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传化智联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211,429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3,974,865.20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257,148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3,967,793.64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银星能源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3,967,001.00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中国海诚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295,811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3,963,867.40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3,963,490.50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汇源通信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3,961,800.00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284,619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3,950,511.72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桂林三金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215,026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3,950,027.62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山河药辅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3,949,722.00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绿庭投资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金通灵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3,946,414.00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联美控股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3,945,588.00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潍柴重机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3,943,815.00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依米康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3,942,636.24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恒丰纸业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3,942,609.00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3,941,450.00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3,940,820.70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泊</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3,935,484.00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启迪古汉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3,933,930.00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正海磁材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212,373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3,933,147.96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232,399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3,929,867.09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歌力思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3,927,816.00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3,926,713.00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峨眉山Ａ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3,924,678.00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晨光文具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远方光电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3,923,535.00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美锦能源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259,336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3,921,160.32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3,918,845.00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三元股份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498,032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3,909,551.20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南方轴承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3,907,710.00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天华院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3,907,650.00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3,907,116.00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3,906,636.00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华通医药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3,906,552.00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西昌电力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3,900,949.50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海利生物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218,723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3,897,643.86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海思科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3,894,996.00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3,894,547.23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长生生物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3,894,230.00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滨海能源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3,892,171.00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375,420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3,889,351.20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麦迪电气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3,889,120.00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3,887,590.00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新疆浩源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311,102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3,885,663.98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双环传动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3,882,816.00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开开实业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3,880,890.00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温州宏丰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3,880,864.00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厦门空港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3,876,213.18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3,874,992.00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3,873,760.00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376,391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3,873,063.39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老凤祥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3,871,920.00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3,871,014.00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合锻智能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335,101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3,867,065.54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利德曼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3,865,911.75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高能环境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3,862,420.00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宁沪高速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3,861,180.00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邦讯技术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3,859,649.71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永清环保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313,044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3,856,702.08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人民同泰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3,855,113.44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3,851,344.00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135,448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3,850,786.64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通润装备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3,849,530.00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高德红外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3,847,542.00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江南嘉捷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3,846,228.00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深圳燃气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3,843,252.00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金信诺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3,840,968.22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3,839,724.00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海天味业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3,839,297.00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益丰药房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3,838,380.00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三星医疗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3,837,764.00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全筑股份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3,837,458.17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中航电测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3,836,152.00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艾比森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3,835,561.80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3,834,014.00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九华旅游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3,832,312.00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3,830,750.00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160,938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3,823,886.88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3,813,720.00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3,812,550.00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雅本化学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3,801,093.27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九洲药业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3,800,634.00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中威电子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249,942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3,796,618.98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楚天科技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3,794,524.00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3,788,950.00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民丰特纸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3,785,648.00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嘉宝集团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3,776,861.00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丹化科技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3,775,007.04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日发精机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318,217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3,770,871.45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康耐特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3,758,496.00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3,752,395.53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3,741,480.00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2,967,123.27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中炬高新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2,697,728.00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2,696,682.00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火炬电子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2,693,140.00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天成自控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2,666,960.00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苏试试验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2,665,560.00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惠伦晶体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2,659,650.00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汇鸿集团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2,653,974.00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新莱应材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2,641,172.00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2,640,711.00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醋化股份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2,634,636.00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金海环境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112,855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2,630,650.05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宁波高发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61,758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2,629,655.64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天润乳业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2,628,161.00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清水源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2,624,697.00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博威合金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2,623,005.23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四川金顶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2,621,072.00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耐威科技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2,617,802.00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武汉控股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2,613,954.00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北部湾旅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2,612,717.00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2,612,214.00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华铭智能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2,611,980.00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2,610,432.00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2,608,416.00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再升科技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2,608,189.00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瑞茂通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2,606,450.00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健民集团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2,605,488.00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空港股份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2,605,285.00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创业环保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2,604,852.00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恒立液压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2,601,720.00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海南椰岛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2,601,272.00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2,600,052.80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天地源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488,942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2,596,282.02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云煤能源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448,204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2,595,101.16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广汽集团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2,595,040.00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新力金融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2,592,100.00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康拓红外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133,175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2,590,253.75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润达医疗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2,588,432.00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京投发展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2,587,740.00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迪森股份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2,583,386.00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金明精机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2,581,150.00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2,581,080.00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2,579,192.00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2,578,450.00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2,578,270.00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2,576,574.00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立霸股份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莫高股份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株冶集团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2,569,280.00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商赢环球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2,569,045.75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中技控股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2,568,752.00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曲美家居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2,568,640.00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大豪科技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2,568,174.00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2,563,649.64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2,559,388.00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宝信软件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2,558,964.24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鄂尔多斯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2,558,504.00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普莱柯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2,558,244.00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华仪电气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2,553,670.00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江苏索普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2,552,670.00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春兰股份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2,549,300.00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炬华科技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2,545,452.00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弘讯科技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2,540,395.00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祥龙电业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2,533,830.00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我武生物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2,531,946.00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鲁商置业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2,529,056.00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西藏珠峰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2,518,362.00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2,514,171.00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当代明诚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2,513,790.00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珍宝岛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2,499,640.00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龙宇燃油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2,487,290.00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伟明环保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2,486,110.00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艾华集团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2,484,675.00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博瑞传播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2,462,436.00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赤天化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2,435,275.00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中洲控股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2,416,656.00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徐家汇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2,247,987.00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2,135,175.00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东方铁塔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2,132,196.00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2,116,410.00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朗科科技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2,104,385.00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八菱科技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2,081,772.39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真视通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2,070,936.00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江铃汽车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2,059,155.00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芝</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2,053,766.00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奥特佳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2,047,545.00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浙江震元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2,031,078.00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三木集团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和顺电气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南兴装备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2,026,882.00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2,019,960.00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视觉中国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2,018,454.00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罗莱生活</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易世达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万和电气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西部材料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2,013,990.00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瑞凌股份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2,013,409.96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克明面业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2,010,560.00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新界泵业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山大华特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2,005,388.00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爱仕达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1,997,092.00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厦门港务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1,996,329.24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润邦股份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169,311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1,996,176.69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智慧松德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1,994,408.00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天威视讯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1,993,865.00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顺发恒业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1,991,360.00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小天鹅Ａ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1,990,912.00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1,990,870.31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海源机械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1,989,274.00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鸿路钢构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浙江众成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1,987,895.00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浙江美大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汉森制药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华昌化工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1,985,046.00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绿景控股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1,984,320.00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安妮股份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智飞生物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1,983,300.93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1,979,985.00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华明装备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1,978,920.00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普洛药业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1,978,884.00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柏堡龙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1,977,430.00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长江润发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1,976,389.00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希努尔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1,973,778.40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远大智能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1,968,184.00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科远股份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1,964,991.00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湖南投资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1,964,252.00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南岭民爆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1,960,865.00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高新发展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精华制药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1,960,595.00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百洋股份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1,955,660.00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盐</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田</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1,955,046.00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特一药业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1,947,858.00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深天地Ａ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1,944,324.00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亿通科技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良信电器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1,925,118.00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世荣兆业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1,923,570.00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冀凯股份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1,920,964.39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1,920,667.00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久联发展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1,893,472.00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卫星石化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1,886,768.00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南天信息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1,847,880.00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1,826,304.00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登海种业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宝莱特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1,810,362.00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荣盛石化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113,311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1,747,255.62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红</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太</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1,745,384.76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齐星铁塔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1,725,628.00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多喜爱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1,724,373.72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苏常柴Ａ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1,714,688.40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达</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1,713,741.00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中金环境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1,706,940.00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皇庭国际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1,702,625.00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茂业通信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110,639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1,689,457.53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荃银高科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1,673,595.00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金利华电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1,672,650.00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海能达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1,672,386.00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嘉应制药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1,671,072.00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1,668,158.00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龙星化工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1,650,072.00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66,449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1,647,935.20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盈峰环境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1,638,456.00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围海股份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1,637,607.00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1,633,684.00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大东海</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1,631,850.00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海南瑞泽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1,630,912.00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东易日盛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1,630,057.50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高升控股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1,624,755.00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大冶特钢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1,620,528.00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鞍重股份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1,602,440.00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三湘印象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安居宝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1,584,199.70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经纬纺机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1,577,106.00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四川九洲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146,295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1,555,115.85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华意压缩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山东威达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1,547,700.00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1,542,750.00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宏润建设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1,542,340.00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1,538,130.00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通化金马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万讯自控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107,125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1,530,816.25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双成药业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1,523,214.00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众业达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1,520,034.90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鼎龙股份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1,518,575.00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1,517,568.00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1,510,382.00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1,506,012.00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普利特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1,504,944.00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瑞普生物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1,500,687.00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1,498,398.00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华控赛格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1,493,440.00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通光线缆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1,470,811.00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45,536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1,467,625.28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1,451,680.00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天夏智慧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1,437,075.00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欣</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1,416,870.00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1,397,945.00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1,396,024.00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文科园林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61,740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1,391,619.60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1,391,462.17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1,310,494.00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耀皮玻璃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1,259,613.00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华建集团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1,254,804.48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1,232,396.00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济川药业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1,162,872.00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1,161,276.00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重庆啤酒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1,156,815.00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国机通用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1,146,990.00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国电南自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1,128,402.00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美克家居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79,601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1,127,150.16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电子城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1,117,566.00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1,110,303.00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中再资环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1,106,484.00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1,102,329.00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1,093,662.50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申通地铁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1,089,280.00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1,088,704.82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1,088,378.76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恒顺醋业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1,087,408.00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1,082,698.76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太空板业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1,079,138.00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58,258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1,055,634.96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联环药业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1,054,584.00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大唐发电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1,053,556.00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131,494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1,045,377.30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万向德农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1,031,370.14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1,030,446.00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107,851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1,027,820.03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国瓷材料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1,024,682.00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1,016,955.00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1,016,738.00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奥普光电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1,011,560.00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1,011,360.00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安控科技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1,009,008.00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1,008,293.00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通化东宝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1,007,025.60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伊力特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991,746.00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广誉远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989,824.00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青岛啤酒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980,587.52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979,445.00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福成股份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969,228.00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966,396.00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国睿科技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964,952.82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112,268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963,259.44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954,480.00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896,732.00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创力集团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892,857.00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43,203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866,220.15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贵广网络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234,875.00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百合花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123,167.88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景旺电子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80,851.56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比音勒芬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70,290.60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汇金通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69,642.60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赛托生物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63,738.78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59,821.20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弘亚数控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48,331.66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42,675.07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皖天然气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22,852.06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20,290.18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华正新材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德新交运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熙菱信息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8044443"/>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爱仕达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7,801,541.61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万和电气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7,726,440.94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顺威股份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7,534,585.61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东易日盛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7,423,194.52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7,381,104.50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7,308,340.51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厦门空港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7,299,455.46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美锦能源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7,294,913.10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7,292,439.88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7,287,527.56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7,269,201.79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7,264,637.95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人民同泰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7,232,306.90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7,229,473.05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7,224,928.64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7,218,831.69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滨海能源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7,218,394.10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7,212,853.14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7,202,517.10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7,185,889.51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三江购物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7,164,480.00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6,601,990.04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6,462,450.59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6,305,693.66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威尔泰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6,245,791.84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明星电缆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6,213,807.82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6,182,858.74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6,137,089.14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6,115,024.12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爱仕达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6,024,021.31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三全食品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5,975,336.91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永安林业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5,968,350.95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5,966,536.85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汇通能源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5,915,790.30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万和电气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5,909,775.08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天山生物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5,861,538.60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5,861,355.00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5,825,554.57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5,789,810.18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华联综超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5,735,297.71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2,514,129,371.32</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1,478,932,797.22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8044444"/>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8044445"/>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019539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国债</w:t>
            </w:r>
            <w:r>
              <w:rPr>
                <w:rFonts w:ascii="Times New Roman" w:hAnsi="Times New Roman"/>
                <w:color w:val="000000"/>
                <w:kern w:val="0"/>
                <w:sz w:val="24"/>
                <w:szCs w:val="24"/>
              </w:rPr>
              <w:t>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8044446"/>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8044447"/>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8044448"/>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8044449"/>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8044450"/>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8044451"/>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大晟文化在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日受到上交所公开批评。</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日，大晟时代文化投资股份有限公司（以下简称大晟文化或公司）发布</w:t>
      </w:r>
      <w:r>
        <w:rPr>
          <w:rFonts w:ascii="Times New Roman" w:hAnsi="Times New Roman"/>
          <w:color w:val="000000"/>
          <w:kern w:val="0"/>
          <w:sz w:val="24"/>
          <w:szCs w:val="24"/>
        </w:rPr>
        <w:t>2015</w:t>
      </w:r>
      <w:r>
        <w:rPr>
          <w:rFonts w:hint="eastAsia" w:ascii="Times New Roman" w:hAnsi="Times New Roman"/>
          <w:color w:val="000000"/>
          <w:kern w:val="0"/>
          <w:sz w:val="24"/>
          <w:szCs w:val="24"/>
        </w:rPr>
        <w:t>年度业绩快报，披露公司于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月完成无锡中联传动文化传播有限公司与深圳淘乐网络科技有限公司股权的收购，导致归属于上市公司股东的净利润较去年增长</w:t>
      </w:r>
      <w:r>
        <w:rPr>
          <w:rFonts w:ascii="Times New Roman" w:hAnsi="Times New Roman"/>
          <w:color w:val="000000"/>
          <w:kern w:val="0"/>
          <w:sz w:val="24"/>
          <w:szCs w:val="24"/>
        </w:rPr>
        <w:t>242.31%</w:t>
      </w:r>
      <w:r>
        <w:rPr>
          <w:rFonts w:hint="eastAsia" w:ascii="Times New Roman" w:hAnsi="Times New Roman"/>
          <w:color w:val="000000"/>
          <w:kern w:val="0"/>
          <w:sz w:val="24"/>
          <w:szCs w:val="24"/>
        </w:rPr>
        <w:t>，达</w:t>
      </w:r>
      <w:r>
        <w:rPr>
          <w:rFonts w:ascii="Times New Roman" w:hAnsi="Times New Roman"/>
          <w:color w:val="000000"/>
          <w:kern w:val="0"/>
          <w:sz w:val="24"/>
          <w:szCs w:val="24"/>
        </w:rPr>
        <w:t>4,209,399.60</w:t>
      </w:r>
      <w:r>
        <w:rPr>
          <w:rFonts w:hint="eastAsia" w:ascii="Times New Roman" w:hAnsi="Times New Roman"/>
          <w:color w:val="000000"/>
          <w:kern w:val="0"/>
          <w:sz w:val="24"/>
          <w:szCs w:val="24"/>
        </w:rPr>
        <w:t>元。</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26</w:t>
      </w:r>
      <w:r>
        <w:rPr>
          <w:rFonts w:hint="eastAsia" w:ascii="Times New Roman" w:hAnsi="Times New Roman"/>
          <w:color w:val="000000"/>
          <w:kern w:val="0"/>
          <w:sz w:val="24"/>
          <w:szCs w:val="24"/>
        </w:rPr>
        <w:t>日，公司披露的年报显示，归属于上市公司股东的净利润实际数为</w:t>
      </w:r>
      <w:r>
        <w:rPr>
          <w:rFonts w:ascii="Times New Roman" w:hAnsi="Times New Roman"/>
          <w:color w:val="000000"/>
          <w:kern w:val="0"/>
          <w:sz w:val="24"/>
          <w:szCs w:val="24"/>
        </w:rPr>
        <w:t>-980,283.42</w:t>
      </w:r>
      <w:r>
        <w:rPr>
          <w:rFonts w:hint="eastAsia" w:ascii="Times New Roman" w:hAnsi="Times New Roman"/>
          <w:color w:val="000000"/>
          <w:kern w:val="0"/>
          <w:sz w:val="24"/>
          <w:szCs w:val="24"/>
        </w:rPr>
        <w:t>元，业绩快报发生盈亏性质判断错误。证监会对大晟文化相关人员处于通报批评。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本基金投研人员分析认为，在受到证监会批评后，大晟文化改正态度积极，并迅速做出反应，查找不足，积极整改，该事件发生后该公司经营状况正常。</w:t>
      </w:r>
      <w:r>
        <w:rPr>
          <w:rFonts w:ascii="Times New Roman" w:hAnsi="Times New Roman"/>
          <w:color w:val="000000"/>
          <w:kern w:val="0"/>
          <w:sz w:val="24"/>
          <w:szCs w:val="24"/>
        </w:rPr>
        <w:t>2016</w:t>
      </w:r>
      <w:r>
        <w:rPr>
          <w:rFonts w:hint="eastAsia" w:ascii="Times New Roman" w:hAnsi="Times New Roman"/>
          <w:color w:val="000000"/>
          <w:kern w:val="0"/>
          <w:sz w:val="24"/>
          <w:szCs w:val="24"/>
        </w:rPr>
        <w:t>年前三季度大晟文化公司净利润为正，同比净利润涨幅较高，财务状况良好，维持持有评级。本基金基金经理依据基金合同和公司投资管理制度，在投资授权范围内，经正常投资决策程序对大晟文化进行了投资。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7</w:t>
      </w:r>
      <w:r>
        <w:rPr>
          <w:rFonts w:hint="eastAsia" w:ascii="Times New Roman" w:hAnsi="Times New Roman"/>
          <w:color w:val="000000"/>
          <w:kern w:val="0"/>
          <w:sz w:val="24"/>
          <w:szCs w:val="24"/>
        </w:rPr>
        <w:t>日，五洋科技公司董事会审议通过了《</w:t>
      </w:r>
      <w:r>
        <w:rPr>
          <w:rFonts w:ascii="Times New Roman" w:hAnsi="Times New Roman"/>
          <w:color w:val="000000"/>
          <w:kern w:val="0"/>
          <w:sz w:val="24"/>
          <w:szCs w:val="24"/>
        </w:rPr>
        <w:t>2015</w:t>
      </w:r>
      <w:r>
        <w:rPr>
          <w:rFonts w:hint="eastAsia" w:ascii="Times New Roman" w:hAnsi="Times New Roman"/>
          <w:color w:val="000000"/>
          <w:kern w:val="0"/>
          <w:sz w:val="24"/>
          <w:szCs w:val="24"/>
        </w:rPr>
        <w:t>年度利润分配预案》，</w:t>
      </w:r>
      <w:r>
        <w:rPr>
          <w:rFonts w:ascii="Times New Roman" w:hAnsi="Times New Roman"/>
          <w:color w:val="000000"/>
          <w:kern w:val="0"/>
          <w:sz w:val="24"/>
          <w:szCs w:val="24"/>
        </w:rPr>
        <w:t>8</w:t>
      </w:r>
      <w:r>
        <w:rPr>
          <w:rFonts w:hint="eastAsia" w:ascii="Times New Roman" w:hAnsi="Times New Roman"/>
          <w:color w:val="000000"/>
          <w:kern w:val="0"/>
          <w:sz w:val="24"/>
          <w:szCs w:val="24"/>
        </w:rPr>
        <w:t>位董事</w:t>
      </w:r>
      <w:r>
        <w:rPr>
          <w:rFonts w:ascii="Times New Roman" w:hAnsi="Times New Roman"/>
          <w:color w:val="000000"/>
          <w:kern w:val="0"/>
          <w:sz w:val="24"/>
          <w:szCs w:val="24"/>
        </w:rPr>
        <w:t>(</w:t>
      </w:r>
      <w:r>
        <w:rPr>
          <w:rFonts w:hint="eastAsia" w:ascii="Times New Roman" w:hAnsi="Times New Roman"/>
          <w:color w:val="000000"/>
          <w:kern w:val="0"/>
          <w:sz w:val="24"/>
          <w:szCs w:val="24"/>
        </w:rPr>
        <w:t>包括侯友夫、蔡敏</w:t>
      </w:r>
      <w:r>
        <w:rPr>
          <w:rFonts w:ascii="Times New Roman" w:hAnsi="Times New Roman"/>
          <w:color w:val="000000"/>
          <w:kern w:val="0"/>
          <w:sz w:val="24"/>
          <w:szCs w:val="24"/>
        </w:rPr>
        <w:t>)</w:t>
      </w:r>
      <w:r>
        <w:rPr>
          <w:rFonts w:hint="eastAsia" w:ascii="Times New Roman" w:hAnsi="Times New Roman"/>
          <w:color w:val="000000"/>
          <w:kern w:val="0"/>
          <w:sz w:val="24"/>
          <w:szCs w:val="24"/>
        </w:rPr>
        <w:t>均投了赞成票。</w:t>
      </w:r>
      <w:r>
        <w:rPr>
          <w:rFonts w:ascii="Times New Roman" w:hAnsi="Times New Roman"/>
          <w:color w:val="000000"/>
          <w:kern w:val="0"/>
          <w:sz w:val="24"/>
          <w:szCs w:val="24"/>
        </w:rPr>
        <w:t>6</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日，五洋科技披露的《</w:t>
      </w:r>
      <w:r>
        <w:rPr>
          <w:rFonts w:ascii="Times New Roman" w:hAnsi="Times New Roman"/>
          <w:color w:val="000000"/>
          <w:kern w:val="0"/>
          <w:sz w:val="24"/>
          <w:szCs w:val="24"/>
        </w:rPr>
        <w:t>2015</w:t>
      </w:r>
      <w:r>
        <w:rPr>
          <w:rFonts w:hint="eastAsia" w:ascii="Times New Roman" w:hAnsi="Times New Roman"/>
          <w:color w:val="000000"/>
          <w:kern w:val="0"/>
          <w:sz w:val="24"/>
          <w:szCs w:val="24"/>
        </w:rPr>
        <w:t>年度股东大会决议公告》显示，原利润分配方案被否决，主要因侯友夫、蔡敏投反对票所致。五洋科技未披露原利润分配方案被否决的具体原因。</w:t>
      </w:r>
      <w:r>
        <w:rPr>
          <w:rFonts w:ascii="Times New Roman" w:hAnsi="Times New Roman"/>
          <w:color w:val="000000"/>
          <w:kern w:val="0"/>
          <w:sz w:val="24"/>
          <w:szCs w:val="24"/>
        </w:rPr>
        <w:t>6</w:t>
      </w:r>
      <w:r>
        <w:rPr>
          <w:rFonts w:hint="eastAsia" w:ascii="Times New Roman" w:hAnsi="Times New Roman"/>
          <w:color w:val="000000"/>
          <w:kern w:val="0"/>
          <w:sz w:val="24"/>
          <w:szCs w:val="24"/>
        </w:rPr>
        <w:t>月</w:t>
      </w:r>
      <w:r>
        <w:rPr>
          <w:rFonts w:ascii="Times New Roman" w:hAnsi="Times New Roman"/>
          <w:color w:val="000000"/>
          <w:kern w:val="0"/>
          <w:sz w:val="24"/>
          <w:szCs w:val="24"/>
        </w:rPr>
        <w:t>8</w:t>
      </w:r>
      <w:r>
        <w:rPr>
          <w:rFonts w:hint="eastAsia" w:ascii="Times New Roman" w:hAnsi="Times New Roman"/>
          <w:color w:val="000000"/>
          <w:kern w:val="0"/>
          <w:sz w:val="24"/>
          <w:szCs w:val="24"/>
        </w:rPr>
        <w:t>日，董事会审议通过了《关于重新制订</w:t>
      </w:r>
      <w:r>
        <w:rPr>
          <w:rFonts w:ascii="Times New Roman" w:hAnsi="Times New Roman"/>
          <w:color w:val="000000"/>
          <w:kern w:val="0"/>
          <w:sz w:val="24"/>
          <w:szCs w:val="24"/>
        </w:rPr>
        <w:t>2015</w:t>
      </w:r>
      <w:r>
        <w:rPr>
          <w:rFonts w:hint="eastAsia" w:ascii="Times New Roman" w:hAnsi="Times New Roman"/>
          <w:color w:val="000000"/>
          <w:kern w:val="0"/>
          <w:sz w:val="24"/>
          <w:szCs w:val="24"/>
        </w:rPr>
        <w:t>年度利润分配方案的议案》，公司</w:t>
      </w:r>
      <w:r>
        <w:rPr>
          <w:rFonts w:ascii="Times New Roman" w:hAnsi="Times New Roman"/>
          <w:color w:val="000000"/>
          <w:kern w:val="0"/>
          <w:sz w:val="24"/>
          <w:szCs w:val="24"/>
        </w:rPr>
        <w:t>9</w:t>
      </w:r>
      <w:r>
        <w:rPr>
          <w:rFonts w:hint="eastAsia" w:ascii="Times New Roman" w:hAnsi="Times New Roman"/>
          <w:color w:val="000000"/>
          <w:kern w:val="0"/>
          <w:sz w:val="24"/>
          <w:szCs w:val="24"/>
        </w:rPr>
        <w:t>名董事</w:t>
      </w:r>
      <w:r>
        <w:rPr>
          <w:rFonts w:ascii="Times New Roman" w:hAnsi="Times New Roman"/>
          <w:color w:val="000000"/>
          <w:kern w:val="0"/>
          <w:sz w:val="24"/>
          <w:szCs w:val="24"/>
        </w:rPr>
        <w:t>(</w:t>
      </w:r>
      <w:r>
        <w:rPr>
          <w:rFonts w:hint="eastAsia" w:ascii="Times New Roman" w:hAnsi="Times New Roman"/>
          <w:color w:val="000000"/>
          <w:kern w:val="0"/>
          <w:sz w:val="24"/>
          <w:szCs w:val="24"/>
        </w:rPr>
        <w:t>包括侯友夫、蔡敏</w:t>
      </w:r>
      <w:r>
        <w:rPr>
          <w:rFonts w:ascii="Times New Roman" w:hAnsi="Times New Roman"/>
          <w:color w:val="000000"/>
          <w:kern w:val="0"/>
          <w:sz w:val="24"/>
          <w:szCs w:val="24"/>
        </w:rPr>
        <w:t>)</w:t>
      </w:r>
      <w:r>
        <w:rPr>
          <w:rFonts w:hint="eastAsia" w:ascii="Times New Roman" w:hAnsi="Times New Roman"/>
          <w:color w:val="000000"/>
          <w:kern w:val="0"/>
          <w:sz w:val="24"/>
          <w:szCs w:val="24"/>
        </w:rPr>
        <w:t>均投了赞成票。</w:t>
      </w:r>
      <w:r>
        <w:rPr>
          <w:rFonts w:ascii="Times New Roman" w:hAnsi="Times New Roman"/>
          <w:color w:val="000000"/>
          <w:kern w:val="0"/>
          <w:sz w:val="24"/>
          <w:szCs w:val="24"/>
        </w:rPr>
        <w:t>6</w:t>
      </w:r>
      <w:r>
        <w:rPr>
          <w:rFonts w:hint="eastAsia" w:ascii="Times New Roman" w:hAnsi="Times New Roman"/>
          <w:color w:val="000000"/>
          <w:kern w:val="0"/>
          <w:sz w:val="24"/>
          <w:szCs w:val="24"/>
        </w:rPr>
        <w:t>月</w:t>
      </w:r>
      <w:r>
        <w:rPr>
          <w:rFonts w:ascii="Times New Roman" w:hAnsi="Times New Roman"/>
          <w:color w:val="000000"/>
          <w:kern w:val="0"/>
          <w:sz w:val="24"/>
          <w:szCs w:val="24"/>
        </w:rPr>
        <w:t>24</w:t>
      </w:r>
      <w:r>
        <w:rPr>
          <w:rFonts w:hint="eastAsia" w:ascii="Times New Roman" w:hAnsi="Times New Roman"/>
          <w:color w:val="000000"/>
          <w:kern w:val="0"/>
          <w:sz w:val="24"/>
          <w:szCs w:val="24"/>
        </w:rPr>
        <w:t>日，公司披露的</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r>
        <w:rPr>
          <w:rFonts w:ascii="Times New Roman" w:hAnsi="Times New Roman"/>
          <w:color w:val="000000"/>
          <w:kern w:val="0"/>
          <w:sz w:val="24"/>
          <w:szCs w:val="24"/>
        </w:rPr>
        <w:t>2016</w:t>
      </w:r>
      <w:r>
        <w:rPr>
          <w:rFonts w:hint="eastAsia" w:ascii="Times New Roman" w:hAnsi="Times New Roman"/>
          <w:color w:val="000000"/>
          <w:kern w:val="0"/>
          <w:sz w:val="24"/>
          <w:szCs w:val="24"/>
        </w:rPr>
        <w:t>年第一次临时股东大会决议公告》显示，新利润分配方案被审议通过。侯友夫、蔡敏侯均投了赞成票。公司在披露利润分配方案时未充分说明其合理性，在方案可行性发生重大变化时未能及时披露相关情况。深交所对公司给予通报批评的处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本基金投研人员分析认为，在受到证监会批评后，五洋科技迅速做出反应，积极整改，态度积极，该事件发生后该公司经营状况正常。</w:t>
      </w:r>
      <w:r>
        <w:rPr>
          <w:rFonts w:ascii="Times New Roman" w:hAnsi="Times New Roman"/>
          <w:color w:val="000000"/>
          <w:kern w:val="0"/>
          <w:sz w:val="24"/>
          <w:szCs w:val="24"/>
        </w:rPr>
        <w:t>2016</w:t>
      </w:r>
      <w:r>
        <w:rPr>
          <w:rFonts w:hint="eastAsia" w:ascii="Times New Roman" w:hAnsi="Times New Roman"/>
          <w:color w:val="000000"/>
          <w:kern w:val="0"/>
          <w:sz w:val="24"/>
          <w:szCs w:val="24"/>
        </w:rPr>
        <w:t>年前三季度五洋科技公司净利润为正，同比净利润涨幅较高，负债率较低，财务状况良好，维持持有评级。本基金基金经理依据基金合同和公司投资管理制度，在投资授权范围内，经正常投资决策程序对五洋科技进行了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192,439,696.76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流通受限部分的公允价值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流通受限情况说明</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6,318,592.00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5,102,856.00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三特索道</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4,660,368.00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4,469,428.00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4,468,922.00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4,455,839.00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英特集团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4,422,961.40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康尼机电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4,399,710.00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4,362,782.58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804445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8044453"/>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175,514.56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167,030,260.00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675,439,610.56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80.17%</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106,010.76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64,954,189.14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400,539,067.58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86.05%</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144,001.23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231,984,449.14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1,075,978,678.14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82.26%</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8044454"/>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6,804,198.53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0.807649%</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860,569.99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0.184873%</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7,664,768.52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0.586008%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8044455"/>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804445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848,356,409.28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664,443,676.93</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48,712,387.20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23,800,532.09</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54,598,925.92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222,750,952.30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842,469,870.56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465,493,256.72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804445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8044458"/>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8044459"/>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8044460"/>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8044461"/>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8044462"/>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110,000.00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8044463"/>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8044464"/>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953,643,509.02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23.88%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876,509.99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32.04%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700,472,511.96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17.54%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504,683.06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18.45%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662,608,049.60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16.59%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471,315.57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17.23%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53,632,251.10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38,148.96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49,479,011.07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1.24%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11,261.58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449,500,028.05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418,619.45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1,123,726,807.74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415,025.28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3,217,900,000.00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70,047,992.10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0.33%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225,000,000.00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200,000,000.00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8044465"/>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创金合信基金关于针对旗下创金合信量化发现灵活配置混合型证券投资基金调整直销柜台认购费率的公告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创金合信基金管理有限公司旗下部分开放式证券投资基金增加招商证券为代销机构的公告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创金合信基金管理有限公司旗下部分开放式证券投资基金增加中银国际证券为代销机构的公告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创金合信量化发现灵活配置混合型证券投资基金开放日常申购、赎回、定期定额投资业务的公告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关于创金合信量化发现灵活配置混合型证券投资基金增加工商银行为定期定额投资业务的代销机构及推出费率优惠活动的公告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804446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804446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8044468"/>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创金合信量化发现灵活配置混合型证券投资基金基金合同》；</w:t>
      </w:r>
    </w:p>
    <w:p>
      <w:pPr>
        <w:autoSpaceDE w:val="0"/>
        <w:autoSpaceDN w:val="0"/>
        <w:adjustRightInd w:val="0"/>
        <w:spacing w:before="29" w:line="288" w:lineRule="auto"/>
        <w:ind w:left="1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2</w:t>
      </w:r>
      <w:r>
        <w:rPr>
          <w:rFonts w:hint="eastAsia" w:ascii="Times New Roman" w:hAnsi="Times New Roman"/>
          <w:color w:val="000000"/>
          <w:kern w:val="0"/>
          <w:sz w:val="24"/>
          <w:szCs w:val="24"/>
        </w:rPr>
        <w:t>、《创金合信量化发现灵活配置混合型证券投资基金托管协议》；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3</w:t>
      </w:r>
      <w:r>
        <w:rPr>
          <w:rFonts w:hint="eastAsia" w:ascii="Times New Roman" w:hAnsi="Times New Roman"/>
          <w:color w:val="000000"/>
          <w:kern w:val="0"/>
          <w:sz w:val="24"/>
          <w:szCs w:val="24"/>
        </w:rPr>
        <w:t>、创金合信量化发现灵活配置混合型证券投资基金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8044469"/>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8044470"/>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8</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71</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创金合信量化发现灵活配置混合型证券投资基金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501"/>
    <w:rsid w:val="00052CA4"/>
    <w:rsid w:val="00074501"/>
    <w:rsid w:val="001D64A1"/>
    <w:rsid w:val="00275FB3"/>
    <w:rsid w:val="00344383"/>
    <w:rsid w:val="003B00FC"/>
    <w:rsid w:val="004B669C"/>
    <w:rsid w:val="004E753E"/>
    <w:rsid w:val="00673133"/>
    <w:rsid w:val="006D1BD3"/>
    <w:rsid w:val="006E7B36"/>
    <w:rsid w:val="007723FD"/>
    <w:rsid w:val="0078392B"/>
    <w:rsid w:val="008A5E73"/>
    <w:rsid w:val="008C0FA7"/>
    <w:rsid w:val="009417AB"/>
    <w:rsid w:val="00952060"/>
    <w:rsid w:val="00971F0D"/>
    <w:rsid w:val="009D2632"/>
    <w:rsid w:val="009E5CF7"/>
    <w:rsid w:val="00A71561"/>
    <w:rsid w:val="00AF2E58"/>
    <w:rsid w:val="00DB41B4"/>
    <w:rsid w:val="00E841A1"/>
    <w:rsid w:val="00EF0475"/>
    <w:rsid w:val="00EF6FCE"/>
    <w:rsid w:val="00F00B97"/>
    <w:rsid w:val="00F70C4E"/>
    <w:rsid w:val="00F94665"/>
    <w:rsid w:val="656D2C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kern w:val="0"/>
      <w:sz w:val="18"/>
      <w:szCs w:val="18"/>
    </w:rPr>
  </w:style>
  <w:style w:type="paragraph" w:styleId="3">
    <w:name w:val="Balloon Text"/>
    <w:basedOn w:val="1"/>
    <w:link w:val="14"/>
    <w:semiHidden/>
    <w:unhideWhenUsed/>
    <w:uiPriority w:val="99"/>
    <w:rPr>
      <w:kern w:val="0"/>
      <w:sz w:val="18"/>
      <w:szCs w:val="18"/>
    </w:rPr>
  </w:style>
  <w:style w:type="paragraph" w:styleId="4">
    <w:name w:val="footer"/>
    <w:basedOn w:val="1"/>
    <w:link w:val="13"/>
    <w:semiHidden/>
    <w:unhideWhenUsed/>
    <w:uiPriority w:val="99"/>
    <w:pPr>
      <w:tabs>
        <w:tab w:val="center" w:pos="4153"/>
        <w:tab w:val="right" w:pos="8306"/>
      </w:tabs>
      <w:snapToGrid w:val="0"/>
      <w:jc w:val="left"/>
    </w:pPr>
    <w:rPr>
      <w:kern w:val="0"/>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71</Pages>
  <Words>9475</Words>
  <Characters>54010</Characters>
  <Lines>450</Lines>
  <Paragraphs>126</Paragraphs>
  <TotalTime>0</TotalTime>
  <ScaleCrop>false</ScaleCrop>
  <LinksUpToDate>false</LinksUpToDate>
  <CharactersWithSpaces>63359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2017-03-22T05:40:00Z</dcterms:created>
  <dc:creator>FastReport</dc:creator>
  <cp:lastModifiedBy>Administrator</cp:lastModifiedBy>
  <dcterms:modified xsi:type="dcterms:W3CDTF">2019-12-26T14:08:02Z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