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8" w:name="_GoBack"/>
      <w:bookmarkEnd w:id="68"/>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创金合信优价成长股票型发起式证券投资基金</w:t>
      </w:r>
    </w:p>
    <w:p>
      <w:pPr>
        <w:widowControl/>
        <w:spacing w:before="240" w:after="120"/>
        <w:jc w:val="center"/>
        <w:rPr>
          <w:rFonts w:ascii="黑体" w:hAnsi="黑体" w:eastAsia="黑体"/>
          <w:b/>
          <w:color w:val="000000"/>
          <w:sz w:val="36"/>
        </w:rPr>
      </w:pPr>
      <w:r>
        <w:rPr>
          <w:rFonts w:ascii="黑体" w:hAnsi="黑体" w:eastAsia="黑体"/>
          <w:b/>
          <w:color w:val="000000"/>
          <w:sz w:val="36"/>
        </w:rPr>
        <w:t>2017年年度报告</w:t>
      </w:r>
    </w:p>
    <w:p>
      <w:pPr>
        <w:widowControl/>
        <w:spacing w:before="240" w:after="120"/>
        <w:jc w:val="center"/>
        <w:rPr>
          <w:rFonts w:ascii="宋体" w:hAnsi="宋体"/>
          <w:b/>
          <w:color w:val="000000"/>
          <w:sz w:val="24"/>
        </w:rPr>
      </w:pPr>
      <w:r>
        <w:rPr>
          <w:rFonts w:ascii="宋体" w:hAnsi="宋体"/>
          <w:b/>
          <w:color w:val="000000"/>
          <w:sz w:val="24"/>
        </w:rPr>
        <w:t>2017年12月31日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基金托管人:中国工商银行股份有限公司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送出日期:2018年03月31日</w:t>
      </w:r>
      <w:r>
        <w:rPr>
          <w:b/>
          <w:color w:val="000000"/>
        </w:rPr>
        <w:br w:type="page"/>
      </w:r>
    </w:p>
    <w:p>
      <w:pPr>
        <w:pStyle w:val="13"/>
        <w:spacing w:before="240" w:after="120"/>
      </w:pPr>
      <w:bookmarkStart w:id="0" w:name="_Toc510100478"/>
      <w:r>
        <w:rPr>
          <w:rFonts w:hint="eastAsia" w:hAnsi="Calibri"/>
          <w:b/>
          <w:color w:val="000000"/>
        </w:rPr>
        <w:t>§1  重要提示及目录</w:t>
      </w:r>
      <w:bookmarkEnd w:id="0"/>
      <w:r>
        <w:rPr>
          <w:rFonts w:hint="eastAsia"/>
        </w:rPr>
        <w:t xml:space="preserve"> </w:t>
      </w:r>
    </w:p>
    <w:p>
      <w:pPr>
        <w:pStyle w:val="14"/>
        <w:rPr>
          <w:rFonts w:hint="eastAsia"/>
        </w:rPr>
      </w:pPr>
      <w:bookmarkStart w:id="1" w:name="_Toc510100479"/>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widowControl/>
              <w:wordWrap w:val="0"/>
              <w:jc w:val="left"/>
              <w:rPr>
                <w:rFonts w:hint="eastAsia" w:ascii="宋体" w:hAnsi="宋体" w:cs="宋体"/>
                <w:kern w:val="0"/>
                <w:sz w:val="24"/>
                <w:szCs w:val="24"/>
              </w:rPr>
            </w:pPr>
            <w:r>
              <w:rPr>
                <w:rStyle w:val="27"/>
                <w:rFonts w:hint="eastAsia" w:ascii="宋体" w:hAnsi="宋体" w:cs="宋体"/>
                <w:kern w:val="0"/>
                <w:sz w:val="24"/>
                <w:szCs w:val="24"/>
              </w:rPr>
              <w:t>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r>
              <w:rPr>
                <w:rFonts w:hint="eastAsia" w:ascii="宋体" w:hAnsi="宋体" w:cs="宋体"/>
                <w:kern w:val="0"/>
                <w:sz w:val="24"/>
                <w:szCs w:val="24"/>
              </w:rPr>
              <w:br w:type="textWrapping"/>
            </w:r>
            <w:r>
              <w:rPr>
                <w:rStyle w:val="27"/>
                <w:rFonts w:hint="eastAsia" w:ascii="宋体" w:hAnsi="宋体" w:cs="宋体"/>
                <w:kern w:val="0"/>
                <w:sz w:val="24"/>
                <w:szCs w:val="24"/>
              </w:rPr>
              <w:t>  基金托管人中国工商银行股份有限公司根据本基金合同规定，于2018年3月28日复核了本报告中的财务指标、净值表现、利润分配情况、财务会计报告、投资组合报告等内容，保证复核内容不存在虚假记载、误导性陈述或者重大遗漏。　　</w:t>
            </w:r>
            <w:r>
              <w:rPr>
                <w:rFonts w:hint="eastAsia" w:ascii="宋体" w:hAnsi="宋体" w:cs="宋体"/>
                <w:kern w:val="0"/>
                <w:sz w:val="24"/>
                <w:szCs w:val="24"/>
              </w:rPr>
              <w:br w:type="textWrapping"/>
            </w:r>
            <w:r>
              <w:rPr>
                <w:rStyle w:val="27"/>
                <w:rFonts w:hint="eastAsia" w:ascii="宋体" w:hAnsi="宋体" w:cs="宋体"/>
                <w:kern w:val="0"/>
                <w:sz w:val="24"/>
                <w:szCs w:val="24"/>
              </w:rPr>
              <w:t>  基金管理人承诺以诚实信用、勤勉尽责的原则管理和运用基金资产，但不保证基金一定盈利。</w:t>
            </w:r>
            <w:r>
              <w:rPr>
                <w:rFonts w:hint="eastAsia" w:ascii="宋体" w:hAnsi="宋体" w:cs="宋体"/>
                <w:kern w:val="0"/>
                <w:sz w:val="24"/>
                <w:szCs w:val="24"/>
              </w:rPr>
              <w:br w:type="textWrapping"/>
            </w:r>
            <w:r>
              <w:rPr>
                <w:rStyle w:val="27"/>
                <w:rFonts w:hint="eastAsia" w:ascii="宋体" w:hAnsi="宋体" w:cs="宋体"/>
                <w:kern w:val="0"/>
                <w:sz w:val="24"/>
                <w:szCs w:val="24"/>
              </w:rPr>
              <w:t>  基金的过往业绩并不代表其未来表现。投资有风险，投资者在作出投资决策前应仔细阅读本基金的招募说明书及其更新。</w:t>
            </w:r>
            <w:r>
              <w:rPr>
                <w:rFonts w:hint="eastAsia" w:ascii="宋体" w:hAnsi="宋体" w:cs="宋体"/>
                <w:kern w:val="0"/>
                <w:sz w:val="24"/>
                <w:szCs w:val="24"/>
              </w:rPr>
              <w:br w:type="textWrapping"/>
            </w:r>
            <w:r>
              <w:rPr>
                <w:rStyle w:val="27"/>
                <w:rFonts w:hint="eastAsia" w:ascii="宋体" w:hAnsi="宋体" w:cs="宋体"/>
                <w:kern w:val="0"/>
                <w:sz w:val="24"/>
                <w:szCs w:val="24"/>
              </w:rPr>
              <w:t>  本报告期自2017年01月01日起至2017年12月31日止。</w:t>
            </w:r>
            <w:r>
              <w:rPr>
                <w:rFonts w:hint="eastAsia" w:ascii="宋体" w:hAnsi="宋体" w:cs="宋体"/>
                <w:kern w:val="0"/>
                <w:sz w:val="24"/>
                <w:szCs w:val="24"/>
              </w:rPr>
              <w:t xml:space="preserve"> </w:t>
            </w:r>
          </w:p>
        </w:tc>
      </w:tr>
    </w:tbl>
    <w:p>
      <w:pPr>
        <w:pStyle w:val="14"/>
        <w:rPr>
          <w:rFonts w:hint="eastAsia"/>
        </w:rPr>
      </w:pPr>
      <w:r>
        <w:rPr>
          <w:rFonts w:ascii="Times New Roman" w:hAnsi="Times New Roman"/>
        </w:rPr>
        <w:br w:type="page"/>
      </w:r>
      <w:bookmarkStart w:id="2" w:name="_Toc510100480"/>
      <w:r>
        <w:rPr>
          <w:rFonts w:hint="eastAsia"/>
          <w:b/>
          <w:bCs/>
        </w:rPr>
        <w:t>1.2 目录</w:t>
      </w:r>
      <w:bookmarkEnd w:id="2"/>
    </w:p>
    <w:p>
      <w:pPr>
        <w:pStyle w:val="4"/>
        <w:tabs>
          <w:tab w:val="right" w:leader="dot" w:pos="9080"/>
        </w:tabs>
        <w:rPr>
          <w:lang/>
        </w:rPr>
      </w:pPr>
      <w:r>
        <w:rPr>
          <w:rFonts w:ascii="宋体" w:hAnsi="宋体" w:cs="宋体"/>
          <w:kern w:val="0"/>
          <w:sz w:val="24"/>
          <w:szCs w:val="24"/>
        </w:rPr>
        <w:fldChar w:fldCharType="begin"/>
      </w:r>
      <w:r>
        <w:rPr>
          <w:rFonts w:ascii="宋体" w:hAnsi="宋体" w:cs="宋体"/>
          <w:kern w:val="0"/>
          <w:sz w:val="24"/>
          <w:szCs w:val="24"/>
        </w:rPr>
        <w:instrText xml:space="preserve"> </w:instrText>
      </w:r>
      <w:r>
        <w:rPr>
          <w:rFonts w:hint="eastAsia" w:ascii="宋体" w:hAnsi="宋体" w:cs="宋体"/>
          <w:kern w:val="0"/>
          <w:sz w:val="24"/>
          <w:szCs w:val="24"/>
        </w:rPr>
        <w:instrText xml:space="preserve">TOC \o "1-4" \f 1 \h \z \t "-1"</w:instrText>
      </w:r>
      <w:r>
        <w:rPr>
          <w:rFonts w:ascii="宋体" w:hAnsi="宋体" w:cs="宋体"/>
          <w:kern w:val="0"/>
          <w:sz w:val="24"/>
          <w:szCs w:val="24"/>
        </w:rPr>
        <w:instrText xml:space="preserve"> </w:instrText>
      </w:r>
      <w:r>
        <w:rPr>
          <w:rFonts w:ascii="宋体" w:hAnsi="宋体" w:cs="宋体"/>
          <w:kern w:val="0"/>
          <w:sz w:val="24"/>
          <w:szCs w:val="24"/>
        </w:rPr>
        <w:fldChar w:fldCharType="separate"/>
      </w:r>
      <w:r>
        <w:rPr>
          <w:rStyle w:val="11"/>
          <w:lang/>
        </w:rPr>
        <w:fldChar w:fldCharType="begin"/>
      </w:r>
      <w:r>
        <w:rPr>
          <w:rStyle w:val="11"/>
          <w:lang/>
        </w:rPr>
        <w:instrText xml:space="preserve"> </w:instrText>
      </w:r>
      <w:r>
        <w:rPr>
          <w:lang/>
        </w:rPr>
        <w:instrText xml:space="preserve">HYPERLINK \l "_Toc510100478"</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_Toc510100478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"_Toc510100479"</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_Toc510100479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"_Toc510100480"</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_Toc510100480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"_Toc510100481"</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_Toc510100481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"_Toc510100482"</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_Toc510100482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"_Toc510100483"</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_Toc510100483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"_Toc510100484"</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_Toc510100484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"_Toc510100485"</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_Toc510100485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"_Toc510100486"</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_Toc510100486 \h </w:instrText>
      </w:r>
      <w:r>
        <w:rPr>
          <w:lang/>
        </w:rPr>
        <w:fldChar w:fldCharType="separate"/>
      </w:r>
      <w:r>
        <w:rPr>
          <w:lang/>
        </w:rPr>
        <w:t>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"_Toc510100487"</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_Toc510100487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"_Toc510100488"</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_Toc510100488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"_Toc510100489"</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_Toc510100489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"_Toc510100490"</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_Toc510100490 \h </w:instrText>
      </w:r>
      <w:r>
        <w:rPr>
          <w:lang/>
        </w:rPr>
        <w:fldChar w:fldCharType="separate"/>
      </w:r>
      <w:r>
        <w:rPr>
          <w:lang/>
        </w:rPr>
        <w:t>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"_Toc510100491"</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_Toc510100491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"_Toc510100492"</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_Toc510100492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"_Toc510100493"</w:instrText>
      </w:r>
      <w:r>
        <w:rPr>
          <w:rStyle w:val="11"/>
          <w:lang/>
        </w:rPr>
        <w:instrText xml:space="preserve"> </w:instrText>
      </w:r>
      <w:r>
        <w:rPr>
          <w:rStyle w:val="11"/>
          <w:lang/>
        </w:rPr>
        <w:fldChar w:fldCharType="separate"/>
      </w:r>
      <w:r>
        <w:rPr>
          <w:rStyle w:val="11"/>
          <w:b/>
          <w:bCs/>
          <w:lang/>
        </w:rPr>
        <w:t xml:space="preserve">4.2 </w:t>
      </w:r>
      <w:r>
        <w:rPr>
          <w:rStyle w:val="11"/>
          <w:rFonts w:hint="eastAsia"/>
          <w:b/>
          <w:bCs/>
          <w:lang/>
        </w:rPr>
        <w:t>管理人对报告期内本基金运作遵规守信情况的说明</w:t>
      </w:r>
      <w:r>
        <w:rPr>
          <w:lang/>
        </w:rPr>
        <w:tab/>
      </w:r>
      <w:r>
        <w:rPr>
          <w:lang/>
        </w:rPr>
        <w:fldChar w:fldCharType="begin"/>
      </w:r>
      <w:r>
        <w:rPr>
          <w:lang/>
        </w:rPr>
        <w:instrText xml:space="preserve"> PAGEREF _Toc510100493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"_Toc510100494"</w:instrText>
      </w:r>
      <w:r>
        <w:rPr>
          <w:rStyle w:val="11"/>
          <w:lang/>
        </w:rPr>
        <w:instrText xml:space="preserve"> </w:instrText>
      </w:r>
      <w:r>
        <w:rPr>
          <w:rStyle w:val="11"/>
          <w:lang/>
        </w:rPr>
        <w:fldChar w:fldCharType="separate"/>
      </w:r>
      <w:r>
        <w:rPr>
          <w:rStyle w:val="11"/>
          <w:b/>
          <w:bCs/>
          <w:lang/>
        </w:rPr>
        <w:t xml:space="preserve">4.3 </w:t>
      </w:r>
      <w:r>
        <w:rPr>
          <w:rStyle w:val="11"/>
          <w:rFonts w:hint="eastAsia"/>
          <w:b/>
          <w:bCs/>
          <w:lang/>
        </w:rPr>
        <w:t>管理人对报告期内公平交易情况的专项说明</w:t>
      </w:r>
      <w:r>
        <w:rPr>
          <w:lang/>
        </w:rPr>
        <w:tab/>
      </w:r>
      <w:r>
        <w:rPr>
          <w:lang/>
        </w:rPr>
        <w:fldChar w:fldCharType="begin"/>
      </w:r>
      <w:r>
        <w:rPr>
          <w:lang/>
        </w:rPr>
        <w:instrText xml:space="preserve"> PAGEREF _Toc510100494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"_Toc510100495"</w:instrText>
      </w:r>
      <w:r>
        <w:rPr>
          <w:rStyle w:val="11"/>
          <w:lang/>
        </w:rPr>
        <w:instrText xml:space="preserve"> </w:instrText>
      </w:r>
      <w:r>
        <w:rPr>
          <w:rStyle w:val="11"/>
          <w:lang/>
        </w:rPr>
        <w:fldChar w:fldCharType="separate"/>
      </w:r>
      <w:r>
        <w:rPr>
          <w:rStyle w:val="11"/>
          <w:b/>
          <w:bCs/>
          <w:lang/>
        </w:rPr>
        <w:t xml:space="preserve">4.4 </w:t>
      </w:r>
      <w:r>
        <w:rPr>
          <w:rStyle w:val="11"/>
          <w:rFonts w:hint="eastAsia"/>
          <w:b/>
          <w:bCs/>
          <w:lang/>
        </w:rPr>
        <w:t>管理人对报告期内基金的投资策略和业绩表现的说明</w:t>
      </w:r>
      <w:r>
        <w:rPr>
          <w:lang/>
        </w:rPr>
        <w:tab/>
      </w:r>
      <w:r>
        <w:rPr>
          <w:lang/>
        </w:rPr>
        <w:fldChar w:fldCharType="begin"/>
      </w:r>
      <w:r>
        <w:rPr>
          <w:lang/>
        </w:rPr>
        <w:instrText xml:space="preserve"> PAGEREF _Toc510100495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"_Toc510100496"</w:instrText>
      </w:r>
      <w:r>
        <w:rPr>
          <w:rStyle w:val="11"/>
          <w:lang/>
        </w:rPr>
        <w:instrText xml:space="preserve"> </w:instrText>
      </w:r>
      <w:r>
        <w:rPr>
          <w:rStyle w:val="11"/>
          <w:lang/>
        </w:rPr>
        <w:fldChar w:fldCharType="separate"/>
      </w:r>
      <w:r>
        <w:rPr>
          <w:rStyle w:val="11"/>
          <w:b/>
          <w:bCs/>
          <w:lang/>
        </w:rPr>
        <w:t xml:space="preserve">4.5 </w:t>
      </w:r>
      <w:r>
        <w:rPr>
          <w:rStyle w:val="11"/>
          <w:rFonts w:hint="eastAsia"/>
          <w:b/>
          <w:bCs/>
          <w:lang/>
        </w:rPr>
        <w:t>管理人对宏观经济、证券市场及行业走势的简要展望</w:t>
      </w:r>
      <w:r>
        <w:rPr>
          <w:lang/>
        </w:rPr>
        <w:tab/>
      </w:r>
      <w:r>
        <w:rPr>
          <w:lang/>
        </w:rPr>
        <w:fldChar w:fldCharType="begin"/>
      </w:r>
      <w:r>
        <w:rPr>
          <w:lang/>
        </w:rPr>
        <w:instrText xml:space="preserve"> PAGEREF _Toc510100496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"_Toc510100497"</w:instrText>
      </w:r>
      <w:r>
        <w:rPr>
          <w:rStyle w:val="11"/>
          <w:lang/>
        </w:rPr>
        <w:instrText xml:space="preserve"> </w:instrText>
      </w:r>
      <w:r>
        <w:rPr>
          <w:rStyle w:val="11"/>
          <w:lang/>
        </w:rPr>
        <w:fldChar w:fldCharType="separate"/>
      </w:r>
      <w:r>
        <w:rPr>
          <w:rStyle w:val="11"/>
          <w:b/>
          <w:bCs/>
          <w:lang/>
        </w:rPr>
        <w:t xml:space="preserve">4.6 </w:t>
      </w:r>
      <w:r>
        <w:rPr>
          <w:rStyle w:val="11"/>
          <w:rFonts w:hint="eastAsia"/>
          <w:b/>
          <w:bCs/>
          <w:lang/>
        </w:rPr>
        <w:t>管理人内部有关本基金的监察稽核工作情况</w:t>
      </w:r>
      <w:r>
        <w:rPr>
          <w:lang/>
        </w:rPr>
        <w:tab/>
      </w:r>
      <w:r>
        <w:rPr>
          <w:lang/>
        </w:rPr>
        <w:fldChar w:fldCharType="begin"/>
      </w:r>
      <w:r>
        <w:rPr>
          <w:lang/>
        </w:rPr>
        <w:instrText xml:space="preserve"> PAGEREF _Toc510100497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"_Toc510100498"</w:instrText>
      </w:r>
      <w:r>
        <w:rPr>
          <w:rStyle w:val="11"/>
          <w:lang/>
        </w:rPr>
        <w:instrText xml:space="preserve"> </w:instrText>
      </w:r>
      <w:r>
        <w:rPr>
          <w:rStyle w:val="11"/>
          <w:lang/>
        </w:rPr>
        <w:fldChar w:fldCharType="separate"/>
      </w:r>
      <w:r>
        <w:rPr>
          <w:rStyle w:val="11"/>
          <w:b/>
          <w:bCs/>
          <w:lang/>
        </w:rPr>
        <w:t xml:space="preserve">4.7 </w:t>
      </w:r>
      <w:r>
        <w:rPr>
          <w:rStyle w:val="11"/>
          <w:rFonts w:hint="eastAsia"/>
          <w:b/>
          <w:bCs/>
          <w:lang/>
        </w:rPr>
        <w:t>管理人对报告期内基金估值程序等事项的说明</w:t>
      </w:r>
      <w:r>
        <w:rPr>
          <w:lang/>
        </w:rPr>
        <w:tab/>
      </w:r>
      <w:r>
        <w:rPr>
          <w:lang/>
        </w:rPr>
        <w:fldChar w:fldCharType="begin"/>
      </w:r>
      <w:r>
        <w:rPr>
          <w:lang/>
        </w:rPr>
        <w:instrText xml:space="preserve"> PAGEREF _Toc510100498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"_Toc510100499"</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_Toc510100499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"_Toc510100500"</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_Toc510100500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"_Toc510100501"</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_Toc510100501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"_Toc510100502"</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_Toc510100502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"_Toc510100503"</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_Toc510100503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"_Toc510100504"</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_Toc510100504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"_Toc510100505"</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_Toc510100505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"_Toc510100506"</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_Toc510100506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"_Toc510100507"</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_Toc510100507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"_Toc510100508"</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_Toc510100508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"_Toc510100509"</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_Toc510100509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"_Toc510100510"</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_Toc510100510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"_Toc510100511"</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_Toc510100511 \h </w:instrText>
      </w:r>
      <w:r>
        <w:rPr>
          <w:lang/>
        </w:rPr>
        <w:fldChar w:fldCharType="separate"/>
      </w:r>
      <w:r>
        <w:rPr>
          <w:lang/>
        </w:rPr>
        <w:t>23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"_Toc510100512"</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_Toc510100512 \h </w:instrText>
      </w:r>
      <w:r>
        <w:rPr>
          <w:lang/>
        </w:rPr>
        <w:fldChar w:fldCharType="separate"/>
      </w:r>
      <w:r>
        <w:rPr>
          <w:lang/>
        </w:rPr>
        <w:t>24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"_Toc510100513"</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_Toc510100513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"_Toc510100514"</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_Toc510100514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"_Toc510100515"</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_Toc510100515 \h </w:instrText>
      </w:r>
      <w:r>
        <w:rPr>
          <w:lang/>
        </w:rPr>
        <w:fldChar w:fldCharType="separate"/>
      </w:r>
      <w:r>
        <w:rPr>
          <w:lang/>
        </w:rPr>
        <w:t>51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"_Toc510100516"</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_Toc510100516 \h </w:instrText>
      </w:r>
      <w:r>
        <w:rPr>
          <w:lang/>
        </w:rPr>
        <w:fldChar w:fldCharType="separate"/>
      </w:r>
      <w:r>
        <w:rPr>
          <w:lang/>
        </w:rPr>
        <w:t>51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"_Toc510100517"</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_Toc510100517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"_Toc510100518"</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_Toc510100518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"_Toc510100519"</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_Toc510100519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"_Toc510100520"</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_Toc510100520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"_Toc510100521"</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_Toc510100521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"_Toc510100522"</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_Toc510100522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"_Toc510100523"</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_Toc510100523 \h </w:instrText>
      </w:r>
      <w:r>
        <w:rPr>
          <w:lang/>
        </w:rPr>
        <w:fldChar w:fldCharType="separate"/>
      </w:r>
      <w:r>
        <w:rPr>
          <w:lang/>
        </w:rPr>
        <w:t>57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"_Toc510100524"</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_Toc510100524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"_Toc510100525"</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_Toc510100525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"_Toc510100526"</w:instrText>
      </w:r>
      <w:r>
        <w:rPr>
          <w:rStyle w:val="11"/>
          <w:lang/>
        </w:rPr>
        <w:instrText xml:space="preserve"> </w:instrText>
      </w:r>
      <w:r>
        <w:rPr>
          <w:rStyle w:val="11"/>
          <w:lang/>
        </w:rPr>
        <w:fldChar w:fldCharType="separate"/>
      </w:r>
      <w:r>
        <w:rPr>
          <w:rStyle w:val="11"/>
          <w:b/>
          <w:lang/>
        </w:rPr>
        <w:t>9.2</w:t>
      </w:r>
      <w:r>
        <w:rPr>
          <w:rStyle w:val="11"/>
          <w:rFonts w:hint="eastAsia"/>
          <w:b/>
          <w:lang/>
        </w:rPr>
        <w:t>期末基金管理人的从业人员持有本基金的情况</w:t>
      </w:r>
      <w:r>
        <w:rPr>
          <w:lang/>
        </w:rPr>
        <w:tab/>
      </w:r>
      <w:r>
        <w:rPr>
          <w:lang/>
        </w:rPr>
        <w:fldChar w:fldCharType="begin"/>
      </w:r>
      <w:r>
        <w:rPr>
          <w:lang/>
        </w:rPr>
        <w:instrText xml:space="preserve"> PAGEREF _Toc510100526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"_Toc510100527"</w:instrText>
      </w:r>
      <w:r>
        <w:rPr>
          <w:rStyle w:val="11"/>
          <w:lang/>
        </w:rPr>
        <w:instrText xml:space="preserve"> </w:instrText>
      </w:r>
      <w:r>
        <w:rPr>
          <w:rStyle w:val="11"/>
          <w:lang/>
        </w:rPr>
        <w:fldChar w:fldCharType="separate"/>
      </w:r>
      <w:r>
        <w:rPr>
          <w:rStyle w:val="11"/>
          <w:b/>
          <w:bCs/>
          <w:lang/>
        </w:rPr>
        <w:t>9.3</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_Toc510100527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"_Toc510100528"</w:instrText>
      </w:r>
      <w:r>
        <w:rPr>
          <w:rStyle w:val="11"/>
          <w:lang/>
        </w:rPr>
        <w:instrText xml:space="preserve"> </w:instrText>
      </w:r>
      <w:r>
        <w:rPr>
          <w:rStyle w:val="11"/>
          <w:lang/>
        </w:rPr>
        <w:fldChar w:fldCharType="separate"/>
      </w:r>
      <w:r>
        <w:rPr>
          <w:rStyle w:val="11"/>
          <w:b/>
          <w:bCs/>
          <w:lang/>
        </w:rPr>
        <w:t>9.4</w:t>
      </w:r>
      <w:r>
        <w:rPr>
          <w:rStyle w:val="11"/>
          <w:rFonts w:hint="eastAsia"/>
          <w:b/>
          <w:bCs/>
          <w:lang/>
        </w:rPr>
        <w:t>发起式基金发起资金持有份额情况</w:t>
      </w:r>
      <w:r>
        <w:rPr>
          <w:lang/>
        </w:rPr>
        <w:tab/>
      </w:r>
      <w:r>
        <w:rPr>
          <w:lang/>
        </w:rPr>
        <w:fldChar w:fldCharType="begin"/>
      </w:r>
      <w:r>
        <w:rPr>
          <w:lang/>
        </w:rPr>
        <w:instrText xml:space="preserve"> PAGEREF _Toc510100528 \h </w:instrText>
      </w:r>
      <w:r>
        <w:rPr>
          <w:lang/>
        </w:rPr>
        <w:fldChar w:fldCharType="separate"/>
      </w:r>
      <w:r>
        <w:rPr>
          <w:lang/>
        </w:rPr>
        <w:t>59</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"_Toc510100529"</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_Toc510100529 \h </w:instrText>
      </w:r>
      <w:r>
        <w:rPr>
          <w:lang/>
        </w:rPr>
        <w:fldChar w:fldCharType="separate"/>
      </w:r>
      <w:r>
        <w:rPr>
          <w:lang/>
        </w:rPr>
        <w:t>59</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"_Toc510100530"</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_Toc510100530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"_Toc510100531"</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_Toc510100531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"_Toc510100532"</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_Toc510100532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"_Toc510100533"</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_Toc510100533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"_Toc510100534"</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_Toc510100534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"_Toc510100535"</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_Toc510100535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"_Toc510100536"</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_Toc510100536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"_Toc510100537"</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_Toc510100537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"_Toc510100538"</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_Toc510100538 \h </w:instrText>
      </w:r>
      <w:r>
        <w:rPr>
          <w:lang/>
        </w:rPr>
        <w:fldChar w:fldCharType="separate"/>
      </w:r>
      <w:r>
        <w:rPr>
          <w:lang/>
        </w:rPr>
        <w:t>63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"_Toc510100539"</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_Toc510100539 \h </w:instrText>
      </w:r>
      <w:r>
        <w:rPr>
          <w:lang/>
        </w:rPr>
        <w:fldChar w:fldCharType="separate"/>
      </w:r>
      <w:r>
        <w:rPr>
          <w:lang/>
        </w:rPr>
        <w:t>67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"_Toc510100540"</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_Toc510100540 \h </w:instrText>
      </w:r>
      <w:r>
        <w:rPr>
          <w:lang/>
        </w:rPr>
        <w:fldChar w:fldCharType="separate"/>
      </w:r>
      <w:r>
        <w:rPr>
          <w:lang/>
        </w:rPr>
        <w:t>67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"_Toc510100541"</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_Toc510100541 \h </w:instrText>
      </w:r>
      <w:r>
        <w:rPr>
          <w:lang/>
        </w:rPr>
        <w:fldChar w:fldCharType="separate"/>
      </w:r>
      <w:r>
        <w:rPr>
          <w:lang/>
        </w:rPr>
        <w:t>68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"_Toc510100542"</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_Toc510100542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"_Toc510100543"</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rStyle w:val="11"/>
          <w:lang/>
        </w:rPr>
        <w:t>.</w:t>
      </w:r>
      <w:r>
        <w:rPr>
          <w:lang/>
        </w:rPr>
        <w:tab/>
      </w:r>
      <w:r>
        <w:rPr>
          <w:lang/>
        </w:rPr>
        <w:fldChar w:fldCharType="begin"/>
      </w:r>
      <w:r>
        <w:rPr>
          <w:lang/>
        </w:rPr>
        <w:instrText xml:space="preserve"> PAGEREF _Toc510100543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"_Toc510100544"</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_Toc510100544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"_Toc510100545"</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_Toc510100545 \h </w:instrText>
      </w:r>
      <w:r>
        <w:rPr>
          <w:lang/>
        </w:rPr>
        <w:fldChar w:fldCharType="separate"/>
      </w:r>
      <w:r>
        <w:rPr>
          <w:lang/>
        </w:rPr>
        <w:t>69</w:t>
      </w:r>
      <w:r>
        <w:rPr>
          <w:lang/>
        </w:rPr>
        <w:fldChar w:fldCharType="end"/>
      </w:r>
      <w:r>
        <w:rPr>
          <w:rStyle w:val="11"/>
          <w:lang/>
        </w:rPr>
        <w:fldChar w:fldCharType="end"/>
      </w:r>
    </w:p>
    <w:p>
      <w:pPr>
        <w:widowControl/>
        <w:jc w:val="left"/>
        <w:rPr>
          <w:rFonts w:hint="eastAsia" w:ascii="宋体" w:hAnsi="宋体" w:cs="宋体"/>
          <w:kern w:val="0"/>
          <w:sz w:val="24"/>
          <w:szCs w:val="24"/>
        </w:rPr>
      </w:pPr>
      <w:r>
        <w:rPr>
          <w:rFonts w:ascii="宋体" w:hAnsi="宋体" w:cs="宋体"/>
          <w:kern w:val="0"/>
          <w:sz w:val="24"/>
          <w:szCs w:val="24"/>
        </w:rPr>
        <w:fldChar w:fldCharType="end"/>
      </w:r>
      <w:r>
        <w:rPr>
          <w:rFonts w:hint="eastAsia" w:ascii="宋体" w:hAnsi="宋体" w:cs="宋体"/>
          <w:kern w:val="0"/>
          <w:sz w:val="24"/>
          <w:szCs w:val="24"/>
        </w:rPr>
        <w:t xml:space="preserve"> </w:t>
      </w:r>
      <w:r>
        <w:rPr>
          <w:rFonts w:ascii="Times New Roman" w:hAnsi="Times New Roman"/>
          <w:sz w:val="24"/>
          <w:szCs w:val="24"/>
        </w:rPr>
        <w:br w:type="page"/>
      </w:r>
    </w:p>
    <w:p>
      <w:pPr>
        <w:pStyle w:val="13"/>
        <w:rPr>
          <w:rFonts w:hint="eastAsia"/>
        </w:rPr>
      </w:pPr>
      <w:bookmarkStart w:id="3" w:name="_Toc510100481"/>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510100482"/>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创金合信优价成长股票型发起式证券投资基金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003622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2016年11月02日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162,004,996.05份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003623</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157,617,925.86份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4,387,070.19份</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4"/>
      </w:pPr>
      <w:bookmarkStart w:id="5" w:name="_Toc510100483"/>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本基金秉承“理性分析价值，深度挖掘成长”的投资理念，以GARP（Growth at a Reasonable Price）策略为核心，致力于寻找市场上具备成长潜力的上市公司，在其估值合理或被低估的时候，以更具估值优势的价格买入并相对长期持有，力争为投资者创造超越业绩比较基准的回报。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本基金的投资策略以GARP（Growth at a Reasonable Price）策略为核心，是一种价值与成长并重的混合型投资策略。该策略的目标是：通过对行业和公司的深入基本面研究，寻找具备成长潜力的上市公司，在其估值合理或被低估的时候，以更具估值优势的价格买入并相对长期持有。GARP策略融合了价值策略和成长策略的优势，以成长为目标，分享了具备核心竞争力的优质企业成长所带来的丰厚收益；以具备相对估值优势的价格为标尺，筛选低估值股票，有效控制市场波动时的风险。在股票市场价值风格与成长风格发生轮动时，GARP策略可兼顾价值与成长两种特征，能有效平滑收益波动，提高股票组合风险调整后收益。</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中证800指数收益率×90%＋一年期人民币定期存款利率（税后）×10%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本基金为股票型基金，长期来看，其预期风险与预期收益水平高于混合型基金、债券型基金和货币市场基金。</w:t>
            </w:r>
            <w:r>
              <w:rPr>
                <w:rFonts w:hint="eastAsia"/>
              </w:rPr>
              <w:br w:type="textWrapping"/>
            </w:r>
            <w:r>
              <w:rPr>
                <w:rFonts w:hint="eastAsia"/>
              </w:rPr>
              <w:t>  </w:t>
            </w:r>
          </w:p>
        </w:tc>
      </w:tr>
      <w:tr>
        <w:tblPrEx>
          <w:tblCellMar>
            <w:top w:w="0" w:type="dxa"/>
            <w:left w:w="108" w:type="dxa"/>
            <w:bottom w:w="0" w:type="dxa"/>
            <w:right w:w="108" w:type="dxa"/>
          </w:tblCellMar>
        </w:tblPrEx>
        <w:trPr>
          <w:wBefore w:w="0" w:type="auto"/>
        </w:trPr>
        <w:tc>
          <w:tcPr>
            <w:tcW w:w="0" w:type="auto"/>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c>
          <w:tcPr>
            <w:tcW w:w="0" w:type="auto"/>
            <w:tcBorders>
              <w:top w:val="single" w:color="000000" w:sz="2" w:space="0"/>
              <w:left w:val="single" w:color="000000" w:sz="2" w:space="0"/>
              <w:bottom w:val="single" w:color="000000" w:sz="2" w:space="0"/>
              <w:right w:val="single" w:color="000000" w:sz="2" w:space="0"/>
            </w:tcBorders>
            <w:noWrap w:val="0"/>
            <w:vAlign w:val="center"/>
          </w:tcPr>
          <w:p>
            <w:pPr>
              <w:widowControl/>
              <w:wordWrap w:val="0"/>
              <w:jc w:val="left"/>
              <w:rPr>
                <w:kern w:val="0"/>
                <w:sz w:val="20"/>
                <w:szCs w:val="20"/>
              </w:rPr>
            </w:pPr>
          </w:p>
        </w:tc>
      </w:tr>
    </w:tbl>
    <w:p>
      <w:pPr>
        <w:pStyle w:val="14"/>
      </w:pPr>
      <w:bookmarkStart w:id="6" w:name="_Toc510100484"/>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郭明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custody@icbc.com.cn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95588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 1号A栋201 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易会满</w:t>
            </w:r>
          </w:p>
        </w:tc>
      </w:tr>
    </w:tbl>
    <w:p>
      <w:pPr>
        <w:widowControl/>
        <w:jc w:val="left"/>
        <w:rPr>
          <w:rFonts w:hint="eastAsia" w:ascii="宋体" w:hAnsi="宋体" w:cs="宋体"/>
          <w:kern w:val="0"/>
          <w:sz w:val="24"/>
          <w:szCs w:val="24"/>
        </w:rPr>
      </w:pPr>
    </w:p>
    <w:p>
      <w:pPr>
        <w:pStyle w:val="14"/>
        <w:rPr>
          <w:rFonts w:hint="eastAsia"/>
        </w:rPr>
      </w:pPr>
      <w:bookmarkStart w:id="7" w:name="_Toc510100485"/>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14"/>
        <w:rPr>
          <w:rFonts w:hint="eastAsia"/>
        </w:rPr>
      </w:pPr>
      <w:bookmarkStart w:id="8" w:name="_Toc510100486"/>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3"/>
      </w:pPr>
      <w:bookmarkStart w:id="9" w:name="_Toc510100487"/>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510100488"/>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844"/>
        <w:gridCol w:w="1656"/>
        <w:gridCol w:w="1657"/>
        <w:gridCol w:w="1722"/>
        <w:gridCol w:w="1722"/>
        <w:gridCol w:w="222"/>
        <w:gridCol w:w="22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2016年11月2日（基金合同生效日）-2016年12月31日</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创金合信优价成长股票A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创金合信优价成长股票C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创金合信优价成长股票A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创金合信优价成长股票C</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25,004,215.64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721,614.20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19,413.99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6,221.51</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18,273,514.30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636,159.40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-244,925.87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-94,165.58</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-0.0288</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21,564,651.59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591,314.46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-210,548.73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-76,926.77</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-0.0227</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179,182,577.45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4,978,384.65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9,240,433.28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3,306,309.01</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0.9773</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4.本基金合同生效日为2016年11月2日，上年度可比期间的相关数据和指标按实际存续期计算。</w:t>
      </w:r>
    </w:p>
    <w:p>
      <w:pPr>
        <w:pStyle w:val="14"/>
        <w:rPr>
          <w:rFonts w:hint="eastAsia"/>
        </w:rPr>
      </w:pPr>
      <w:bookmarkStart w:id="11" w:name="_Toc510100489"/>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7"/>
      </w:pPr>
      <w:r>
        <w:rPr>
          <w:rFonts w:hint="eastAsia" w:hAnsi="Calibri"/>
          <w:color w:val="000000"/>
        </w:rPr>
        <w:t>创金合信优价成长股票A</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0.22%</w:t>
            </w:r>
          </w:p>
        </w:tc>
      </w:tr>
    </w:tbl>
    <w:p>
      <w:pPr>
        <w:pStyle w:val="17"/>
        <w:rPr>
          <w:rFonts w:hint="eastAsia"/>
        </w:rPr>
      </w:pPr>
      <w:r>
        <w:rPr>
          <w:rFonts w:hint="eastAsia" w:hAnsi="Calibri"/>
          <w:color w:val="000000"/>
        </w:rPr>
        <w:t>创金合信优价成长股票C</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0.22%</w:t>
            </w:r>
          </w:p>
        </w:tc>
      </w:tr>
    </w:tbl>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恒生系统安装\B13\Bin\MOD\TMP\CN_50990000_003622_FB010010_20180002_2.jpg" type="#_x0000_t75" style="height:286.2pt;width:441pt;" filled="f" stroked="f" coordsize="21600,21600">
            <v:path/>
            <v:fill on="f" focussize="0,0"/>
            <v:stroke on="f"/>
            <v:imagedata r:id="rId10" grayscale="f" bilevel="f" o:title="CN_50990000_003622_FB010010_20180002_2"/>
            <o:lock v:ext="edit" grouping="f" rotation="f" aspectratio="t"/>
            <w10:wrap type="none"/>
            <w10:anchorlock/>
          </v:shape>
        </w:pict>
      </w:r>
    </w:p>
    <w:p>
      <w:pPr>
        <w:pStyle w:val="17"/>
        <w:rPr>
          <w:rFonts w:hint="eastAsia"/>
        </w:rPr>
      </w:pPr>
      <w:r>
        <w:rPr>
          <w:rFonts w:hAnsi="Calibri"/>
          <w:color w:val="000000"/>
          <w:lang/>
        </w:rPr>
        <w:pict>
          <v:shape id="_x0000_i1026" o:spt="75" alt="D:\恒生系统安装\B13\Bin\MOD\TMP\CN_50990000_003622_FB010010_20180002_3.jpg" type="#_x0000_t75" style="height:286.2pt;width:441pt;" filled="f" stroked="f" coordsize="21600,21600">
            <v:path/>
            <v:fill on="f" focussize="0,0"/>
            <v:stroke on="f"/>
            <v:imagedata r:id="rId11" grayscale="f" bilevel="f" o:title="CN_50990000_003622_FB010010_20180002_3"/>
            <o:lock v:ext="edit" grouping="f" rotation="f" aspectratio="t"/>
            <w10:wrap type="none"/>
            <w10:anchorlock/>
          </v:shape>
        </w:pict>
      </w: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恒生系统安装\B13\Bin\MOD\TMP\CN_50990000_003622_FB010010_20180002_4.jpg" type="#_x0000_t75" style="height:285.95pt;width:440.6pt;" filled="f" stroked="f" coordsize="21600,21600">
            <v:path/>
            <v:fill on="f" focussize="0,0"/>
            <v:stroke on="f"/>
            <v:imagedata r:id="rId12" grayscale="f" bilevel="f" o:title="CN_50990000_003622_FB010010_20180002_4"/>
            <o:lock v:ext="edit" grouping="f" rotation="f" aspectratio="t"/>
            <w10:wrap type="none"/>
            <w10:anchorlock/>
          </v:shape>
        </w:pict>
      </w:r>
    </w:p>
    <w:p>
      <w:pPr>
        <w:pStyle w:val="17"/>
        <w:rPr>
          <w:rFonts w:hint="eastAsia"/>
        </w:rPr>
      </w:pPr>
      <w:r>
        <w:rPr>
          <w:rFonts w:hAnsi="Calibri"/>
          <w:color w:val="000000"/>
          <w:lang/>
        </w:rPr>
        <w:pict>
          <v:shape id="_x0000_i1028" o:spt="75" alt="D:\恒生系统安装\B13\Bin\MOD\TMP\CN_50990000_003622_FB010010_20180002_5.jpg" type="#_x0000_t75" style="height:285.95pt;width:440.6pt;" filled="f" stroked="f" coordsize="21600,21600">
            <v:path/>
            <v:fill on="f" focussize="0,0"/>
            <v:stroke on="f"/>
            <v:imagedata r:id="rId13" grayscale="f" bilevel="f" o:title="CN_50990000_003622_FB010010_20180002_5"/>
            <o:lock v:ext="edit" grouping="f" rotation="f" aspectratio="t"/>
            <w10:wrap type="none"/>
            <w10:anchorlock/>
          </v:shape>
        </w:pict>
      </w:r>
    </w:p>
    <w:p>
      <w:pPr>
        <w:pStyle w:val="14"/>
        <w:rPr>
          <w:rFonts w:hint="eastAsia"/>
        </w:rPr>
      </w:pPr>
      <w:bookmarkStart w:id="12" w:name="_Toc510100490"/>
      <w:r>
        <w:rPr>
          <w:rFonts w:hint="eastAsia" w:hAnsi="Calibri"/>
          <w:b/>
          <w:color w:val="000000"/>
        </w:rPr>
        <w:t>3.3 过去三年基金的利润分配情况</w:t>
      </w:r>
      <w:bookmarkEnd w:id="12"/>
    </w:p>
    <w:p>
      <w:pPr>
        <w:pStyle w:val="20"/>
        <w:rPr>
          <w:rFonts w:hint="eastAsia"/>
        </w:rPr>
      </w:pPr>
      <w:r>
        <w:rPr>
          <w:rFonts w:hint="eastAsia"/>
        </w:rPr>
        <w:t>本基金自基金合同生效日（2016年11月2日）至本报告期末未发生利润分配。</w:t>
      </w:r>
    </w:p>
    <w:p>
      <w:pPr>
        <w:pStyle w:val="13"/>
        <w:rPr>
          <w:rFonts w:hint="eastAsia"/>
        </w:rPr>
      </w:pPr>
      <w:bookmarkStart w:id="13" w:name="_Toc510100491"/>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510100492"/>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rPr>
          <w:rFonts w:hint="eastAsia"/>
        </w:rPr>
      </w:pPr>
      <w:r>
        <w:rPr>
          <w:rFonts w:hint="eastAsia"/>
        </w:rPr>
        <w:t>  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r>
        <w:rPr>
          <w:rFonts w:hint="eastAsia"/>
        </w:rPr>
        <w:br w:type="textWrapping"/>
      </w:r>
      <w:r>
        <w:rPr>
          <w:rFonts w:hint="eastAsia"/>
        </w:rPr>
        <w:t>  公司始终坚持"客户利益至上"，致力于为客户实现长期稳定的投资回报，做客户投资理财的亲密伙伴。</w:t>
      </w:r>
      <w:r>
        <w:rPr>
          <w:rFonts w:hint="eastAsia"/>
        </w:rPr>
        <w:br w:type="textWrapping"/>
      </w:r>
      <w:r>
        <w:rPr>
          <w:rFonts w:hint="eastAsia"/>
        </w:rPr>
        <w:t>  报告期内，本公司共发行8只公募基金。截至2017年12月31日，本公司共管理29只公募基金，其中混合型产品11只、指数型产品4只、债券型产品8只、股票型产品4只、货币型产品1只、保本型产品1只；管理的公募基金规模约149.41亿元。</w:t>
      </w: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1103"/>
        <w:gridCol w:w="1196"/>
        <w:gridCol w:w="1196"/>
        <w:gridCol w:w="1196"/>
        <w:gridCol w:w="1104"/>
        <w:gridCol w:w="3403"/>
      </w:tblGrid>
      <w:tr>
        <w:trPr>
          <w:wBefore w:w="0" w:type="auto"/>
        </w:trPr>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6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241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李晗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2016-11-02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李晗先生，中国国籍，中南财经政法大学硕士，金融风险管理师（FRM），权益投资基金经理。 投资中注重基本面研究，寻找行业和企业发展的拐点，擅长挖掘估值合理的持续成长股，与优质企业共同成长中获取丰厚回报。 曾任职于海航集团从事并购整合业务。此后任职于鹏华基金，从事专户业务、企业年金业务的研究工作。 2009年11月加盟第一创业证券资产管理部，曾担任多个集合理财产品投资主办，投资经验丰富。2014年8月加入创金合信基金管理有限公司，现任基金经理。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pStyle w:val="14"/>
        <w:rPr>
          <w:rFonts w:hint="eastAsia"/>
        </w:rPr>
      </w:pPr>
      <w:bookmarkStart w:id="15" w:name="_Toc510100493"/>
      <w:r>
        <w:rPr>
          <w:rFonts w:hint="eastAsia"/>
          <w:b/>
          <w:bCs/>
        </w:rPr>
        <w:t>4.2 管理人对报告期内本基金运作遵规守信情况的说明</w:t>
      </w:r>
      <w:bookmarkEnd w:id="15"/>
    </w:p>
    <w:p>
      <w:pPr>
        <w:pStyle w:val="20"/>
        <w:rPr>
          <w:rFonts w:hint="eastAsia"/>
        </w:rPr>
      </w:pPr>
      <w:r>
        <w:rPr>
          <w:rFonts w:hint="eastAsia"/>
        </w:rPr>
        <w:t>  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bookmarkStart w:id="16" w:name="_Toc510100494"/>
      <w:r>
        <w:rPr>
          <w:rFonts w:hint="eastAsia"/>
          <w:b/>
          <w:bCs/>
        </w:rPr>
        <w:t>4.3 管理人对报告期内公平交易情况的专项说明</w:t>
      </w:r>
      <w:bookmarkEnd w:id="16"/>
    </w:p>
    <w:p>
      <w:pPr>
        <w:pStyle w:val="15"/>
        <w:rPr>
          <w:rFonts w:hint="eastAsia"/>
        </w:rPr>
      </w:pPr>
      <w:r>
        <w:rPr>
          <w:rFonts w:hint="eastAsia"/>
          <w:b/>
          <w:bCs/>
        </w:rPr>
        <w:t>4.3.1 公平交易制度和控制方法</w:t>
      </w:r>
    </w:p>
    <w:p>
      <w:pPr>
        <w:pStyle w:val="20"/>
        <w:rPr>
          <w:rFonts w:hint="eastAsia"/>
        </w:rPr>
      </w:pPr>
      <w:r>
        <w:rPr>
          <w:rFonts w:hint="eastAsia"/>
        </w:rPr>
        <w:t>  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r>
        <w:rPr>
          <w:rFonts w:hint="eastAsia"/>
        </w:rPr>
        <w:br w:type="textWrapping"/>
      </w:r>
      <w:r>
        <w:rPr>
          <w:rFonts w:hint="eastAsia"/>
        </w:rPr>
        <w:t>  1、授权、研究分析与投资决策的内部控制</w:t>
      </w:r>
      <w:r>
        <w:rPr>
          <w:rFonts w:hint="eastAsia"/>
        </w:rPr>
        <w:br w:type="textWrapping"/>
      </w:r>
      <w:r>
        <w:rPr>
          <w:rFonts w:hint="eastAsia"/>
        </w:rPr>
        <w:t>  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r>
        <w:rPr>
          <w:rFonts w:hint="eastAsia"/>
        </w:rPr>
        <w:br w:type="textWrapping"/>
      </w:r>
      <w:r>
        <w:rPr>
          <w:rFonts w:hint="eastAsia"/>
        </w:rPr>
        <w:t>  2、交易执行的内部控制</w:t>
      </w:r>
      <w:r>
        <w:rPr>
          <w:rFonts w:hint="eastAsia"/>
        </w:rPr>
        <w:br w:type="textWrapping"/>
      </w:r>
      <w:r>
        <w:rPr>
          <w:rFonts w:hint="eastAsia"/>
        </w:rPr>
        <w:t>  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r>
        <w:rPr>
          <w:rFonts w:hint="eastAsia"/>
        </w:rPr>
        <w:br w:type="textWrapping"/>
      </w:r>
      <w:r>
        <w:rPr>
          <w:rFonts w:hint="eastAsia"/>
        </w:rPr>
        <w:t>  3、交易指令分配的控制</w:t>
      </w:r>
      <w:r>
        <w:rPr>
          <w:rFonts w:hint="eastAsia"/>
        </w:rPr>
        <w:br w:type="textWrapping"/>
      </w:r>
      <w:r>
        <w:rPr>
          <w:rFonts w:hint="eastAsia"/>
        </w:rPr>
        <w:t>  所有投资对象的投资指令必须经由交易室总监或其授权人审核后分配至交易员执行。</w:t>
      </w:r>
      <w:r>
        <w:rPr>
          <w:rFonts w:hint="eastAsia"/>
        </w:rPr>
        <w:br w:type="textWrapping"/>
      </w:r>
      <w:r>
        <w:rPr>
          <w:rFonts w:hint="eastAsia"/>
        </w:rPr>
        <w:t>  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r>
        <w:rPr>
          <w:rFonts w:hint="eastAsia"/>
        </w:rPr>
        <w:br w:type="textWrapping"/>
      </w:r>
      <w:r>
        <w:rPr>
          <w:rFonts w:hint="eastAsia"/>
        </w:rPr>
        <w:t>  4、公平交易监控</w:t>
      </w:r>
      <w:r>
        <w:rPr>
          <w:rFonts w:hint="eastAsia"/>
        </w:rPr>
        <w:br w:type="textWrapping"/>
      </w:r>
      <w:r>
        <w:rPr>
          <w:rFonts w:hint="eastAsia"/>
        </w:rPr>
        <w:t>  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b/>
          <w:bCs/>
        </w:rPr>
        <w:t>4.3.2 公平交易制度的执行情况</w:t>
      </w:r>
    </w:p>
    <w:p>
      <w:pPr>
        <w:pStyle w:val="20"/>
        <w:rPr>
          <w:rFonts w:hint="eastAsia"/>
        </w:rPr>
      </w:pPr>
      <w:r>
        <w:rPr>
          <w:rFonts w:hint="eastAsia"/>
        </w:rPr>
        <w:t>  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b/>
          <w:bCs/>
        </w:rPr>
        <w:t>4.3.3 异常交易行为的专项说明</w:t>
      </w:r>
    </w:p>
    <w:p>
      <w:pPr>
        <w:pStyle w:val="20"/>
        <w:rPr>
          <w:rFonts w:hint="eastAsia"/>
        </w:rPr>
      </w:pPr>
      <w:r>
        <w:rPr>
          <w:rFonts w:hint="eastAsia"/>
        </w:rPr>
        <w:t>  本报告期内，公司旗下所有投资组合参与的交易所公开竞价交易中，同日反向交易成交较少的单边交易量超过该证券当日成交量的5%的交易共1次，与该基金发生反向交易的基金为公司量化选股策略的基金，该基金经理基于对市场和个股的判断，同时出于组合调仓的需要，做出该投资行为，该交易未对当天的股票价格产生冲击。</w:t>
      </w:r>
      <w:r>
        <w:rPr>
          <w:rFonts w:hint="eastAsia"/>
        </w:rPr>
        <w:br w:type="textWrapping"/>
      </w:r>
      <w:r>
        <w:rPr>
          <w:rFonts w:hint="eastAsia"/>
        </w:rPr>
        <w:t>  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510100495"/>
      <w:r>
        <w:rPr>
          <w:rFonts w:hint="eastAsia"/>
          <w:b/>
          <w:bCs/>
        </w:rPr>
        <w:t>4.4 管理人对报告期内基金的投资策略和业绩表现的说明</w:t>
      </w:r>
      <w:bookmarkEnd w:id="17"/>
    </w:p>
    <w:p>
      <w:pPr>
        <w:widowControl/>
        <w:jc w:val="left"/>
        <w:rPr>
          <w:rFonts w:hint="eastAsia" w:ascii="宋体" w:hAnsi="宋体" w:cs="宋体"/>
          <w:kern w:val="0"/>
          <w:sz w:val="24"/>
          <w:szCs w:val="24"/>
        </w:rPr>
      </w:pPr>
    </w:p>
    <w:p>
      <w:pPr>
        <w:pStyle w:val="15"/>
        <w:rPr>
          <w:rFonts w:hint="eastAsia"/>
        </w:rPr>
      </w:pPr>
      <w:r>
        <w:rPr>
          <w:rFonts w:hint="eastAsia"/>
          <w:b/>
          <w:bCs/>
        </w:rPr>
        <w:t>4.4.1 报告期内基金投资策略和运作分析</w:t>
      </w:r>
    </w:p>
    <w:p>
      <w:pPr>
        <w:pStyle w:val="20"/>
        <w:rPr>
          <w:rFonts w:hint="eastAsia"/>
        </w:rPr>
      </w:pPr>
      <w:r>
        <w:rPr>
          <w:rFonts w:hint="eastAsia"/>
        </w:rPr>
        <w:t>  本基金秉承"理性分析价值，深度挖掘成长"的投资理念，以GARP(Growth at a Reasonable Price)策略为核心，致力于寻找市场上具备成长潜力的上市公司，在其估值合理或被低估的时候，以更具估值优势的价格买入并相对长期持有。在过去的一年中本基金所持仓的部分投资标的出现了一定幅度的上涨，在持仓标的上涨幅度较大且有更具性价比的投资标的时对投资组合持续优化，从而保证投资组合风险和收益的相对均衡，获取了相对合理的收益。</w:t>
      </w:r>
    </w:p>
    <w:p>
      <w:pPr>
        <w:widowControl/>
        <w:jc w:val="left"/>
        <w:rPr>
          <w:rFonts w:hint="eastAsia" w:ascii="宋体" w:hAnsi="宋体" w:cs="宋体"/>
          <w:kern w:val="0"/>
          <w:sz w:val="24"/>
          <w:szCs w:val="24"/>
        </w:rPr>
      </w:pPr>
    </w:p>
    <w:p>
      <w:pPr>
        <w:pStyle w:val="15"/>
        <w:rPr>
          <w:rFonts w:hint="eastAsia"/>
        </w:rPr>
      </w:pPr>
      <w:r>
        <w:rPr>
          <w:rFonts w:hint="eastAsia"/>
          <w:b/>
          <w:bCs/>
        </w:rPr>
        <w:t>4.4.2 报告期内基金的业绩表现</w:t>
      </w:r>
    </w:p>
    <w:p>
      <w:pPr>
        <w:pStyle w:val="20"/>
        <w:rPr>
          <w:rFonts w:hint="eastAsia"/>
        </w:rPr>
      </w:pPr>
      <w:r>
        <w:rPr>
          <w:rFonts w:hint="eastAsia"/>
        </w:rPr>
        <w:t>  截至报告期末创金合信优价成长股票A基金份额净值为1.1368元;本报告期内，基金份额净值增长率为16.27%，同期业绩比较基准收益率为13.77%;截至报告期末创金合信优价成长股票C基金份额净值为1.1348元;本报告期内，基金份额净值增长率为16.12%，同期业绩比较基准收益率为13.77%。</w:t>
      </w:r>
    </w:p>
    <w:p>
      <w:pPr>
        <w:widowControl/>
        <w:jc w:val="left"/>
        <w:rPr>
          <w:rFonts w:hint="eastAsia" w:ascii="宋体" w:hAnsi="宋体" w:cs="宋体"/>
          <w:kern w:val="0"/>
          <w:sz w:val="24"/>
          <w:szCs w:val="24"/>
        </w:rPr>
      </w:pPr>
    </w:p>
    <w:p>
      <w:pPr>
        <w:pStyle w:val="14"/>
        <w:rPr>
          <w:rFonts w:hint="eastAsia"/>
        </w:rPr>
      </w:pPr>
      <w:bookmarkStart w:id="18" w:name="_Toc510100496"/>
      <w:r>
        <w:rPr>
          <w:rFonts w:hint="eastAsia"/>
          <w:b/>
          <w:bCs/>
        </w:rPr>
        <w:t>4.5 管理人对宏观经济、证券市场及行业走势的简要展望</w:t>
      </w:r>
      <w:bookmarkEnd w:id="18"/>
    </w:p>
    <w:p>
      <w:pPr>
        <w:pStyle w:val="20"/>
        <w:rPr>
          <w:rFonts w:hint="eastAsia"/>
        </w:rPr>
      </w:pPr>
      <w:r>
        <w:rPr>
          <w:rFonts w:hint="eastAsia"/>
        </w:rPr>
        <w:t>  目前我国经济仍处于"转型升级"的过程中，经济大概率处于上有顶、下有底的区间震荡整理。</w:t>
      </w:r>
      <w:r>
        <w:rPr>
          <w:rFonts w:hint="eastAsia"/>
        </w:rPr>
        <w:br w:type="textWrapping"/>
      </w:r>
      <w:r>
        <w:rPr>
          <w:rFonts w:hint="eastAsia"/>
        </w:rPr>
        <w:t>  股票市场经过一年聚焦式的结构性上涨之后，部分个股涨幅巨大，部分此类公司的估值得到了极大修复，未来基本面因素可能将成为股价的重要影响因素，未来一段时间此类公司如果没有超强的基本面支撑则获得超额收益的概率相对较小。</w:t>
      </w:r>
      <w:r>
        <w:rPr>
          <w:rFonts w:hint="eastAsia"/>
        </w:rPr>
        <w:br w:type="textWrapping"/>
      </w:r>
      <w:r>
        <w:rPr>
          <w:rFonts w:hint="eastAsia"/>
        </w:rPr>
        <w:t>  在经济"转型升级"过程中，大多数行业的景气都相对较弱或难以持续，通过深入研究和挖掘，我们寻找到了部分景气度较高、持续性较强、估值较为合理的行业性投资机会，随着市场认知的加深相关标的未来可能具备一定的投资机会。</w:t>
      </w:r>
      <w:r>
        <w:rPr>
          <w:rFonts w:hint="eastAsia"/>
        </w:rPr>
        <w:br w:type="textWrapping"/>
      </w:r>
      <w:r>
        <w:rPr>
          <w:rFonts w:hint="eastAsia"/>
        </w:rPr>
        <w:t>  从中长期看，越来越多的优质企业经过多年积累和成长，已经初步完成了物质基础、管理能力的积累，随着外部制约因素的减弱和消除，部分优质企业将进入良性循环的发展轨道。前期市场的结构性分化只是一次对于价值投资的启蒙，部分目前被市场所忽略的优质企业将伴随着"转型升级"的不断推进而浮出水面。随着这些优质企业的经营状况不断改善及竞争力的持续提升，具备较强核心竞争力的企业也将越来越多的被市场关注和认知。</w:t>
      </w:r>
    </w:p>
    <w:p>
      <w:pPr>
        <w:widowControl/>
        <w:jc w:val="left"/>
        <w:rPr>
          <w:rFonts w:hint="eastAsia" w:ascii="宋体" w:hAnsi="宋体" w:cs="宋体"/>
          <w:kern w:val="0"/>
          <w:sz w:val="24"/>
          <w:szCs w:val="24"/>
        </w:rPr>
      </w:pPr>
    </w:p>
    <w:p>
      <w:pPr>
        <w:pStyle w:val="14"/>
        <w:rPr>
          <w:rFonts w:hint="eastAsia"/>
        </w:rPr>
      </w:pPr>
      <w:bookmarkStart w:id="19" w:name="_Toc510100497"/>
      <w:r>
        <w:rPr>
          <w:rFonts w:hint="eastAsia"/>
          <w:b/>
          <w:bCs/>
        </w:rPr>
        <w:t>4.6 管理人内部有关本基金的监察稽核工作情况</w:t>
      </w:r>
      <w:bookmarkEnd w:id="19"/>
    </w:p>
    <w:p>
      <w:pPr>
        <w:pStyle w:val="20"/>
        <w:rPr>
          <w:rFonts w:hint="eastAsia"/>
        </w:rPr>
      </w:pPr>
      <w:r>
        <w:rPr>
          <w:rFonts w:hint="eastAsia"/>
        </w:rPr>
        <w:t>  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r>
        <w:rPr>
          <w:rFonts w:hint="eastAsia"/>
        </w:rPr>
        <w:br w:type="textWrapping"/>
      </w:r>
      <w:r>
        <w:rPr>
          <w:rFonts w:hint="eastAsia"/>
        </w:rPr>
        <w:t>  本报告期内，本基金管理人的主要内部监察稽核工作如下：</w:t>
      </w:r>
      <w:r>
        <w:rPr>
          <w:rFonts w:hint="eastAsia"/>
        </w:rPr>
        <w:br w:type="textWrapping"/>
      </w:r>
      <w:r>
        <w:rPr>
          <w:rFonts w:hint="eastAsia"/>
        </w:rPr>
        <w:t>  （1）开展全面自查工作，排查各项业务活动中存在的问题或潜在的风险隐患，制定整改计划，并督促按计划完成整改；</w:t>
      </w:r>
      <w:r>
        <w:rPr>
          <w:rFonts w:hint="eastAsia"/>
        </w:rPr>
        <w:br w:type="textWrapping"/>
      </w:r>
      <w:r>
        <w:rPr>
          <w:rFonts w:hint="eastAsia"/>
        </w:rPr>
        <w:t>  （2）开展公司专项稽核工作，了解合规风险现状、发现薄弱环节，并持续督导改进；</w:t>
      </w:r>
      <w:r>
        <w:rPr>
          <w:rFonts w:hint="eastAsia"/>
        </w:rPr>
        <w:br w:type="textWrapping"/>
      </w:r>
      <w:r>
        <w:rPr>
          <w:rFonts w:hint="eastAsia"/>
        </w:rPr>
        <w:t>  （3）强化合规法务工作。严格审核公司业务、产品及其合同等法律文件，解读最新的法律法规，发布合规提示或警示，举办合规培训；</w:t>
      </w:r>
      <w:r>
        <w:rPr>
          <w:rFonts w:hint="eastAsia"/>
        </w:rPr>
        <w:br w:type="textWrapping"/>
      </w:r>
      <w:r>
        <w:rPr>
          <w:rFonts w:hint="eastAsia"/>
        </w:rPr>
        <w:t>  （4）建立健全全面风险管理体系。全面梳理各业务部门的职责与权限，理顺工作流程；同时加强权限管理，健全事前、事中和事后的风险管理体系；</w:t>
      </w:r>
      <w:r>
        <w:rPr>
          <w:rFonts w:hint="eastAsia"/>
        </w:rPr>
        <w:br w:type="textWrapping"/>
      </w:r>
      <w:r>
        <w:rPr>
          <w:rFonts w:hint="eastAsia"/>
        </w:rPr>
        <w:t>  （5）完善信息披露工作。修订完善《信息披露制度》等制度，建立统一规范信息披露流程，明确各部门信息披露的职责分工，及时履行信息披露工作；</w:t>
      </w:r>
      <w:r>
        <w:rPr>
          <w:rFonts w:hint="eastAsia"/>
        </w:rPr>
        <w:br w:type="textWrapping"/>
      </w:r>
      <w:r>
        <w:rPr>
          <w:rFonts w:hint="eastAsia"/>
        </w:rPr>
        <w:t>  （6）加强关联交易管理。修订《关联交易管理制度》，履行关联交易决策审批程序；</w:t>
      </w:r>
      <w:r>
        <w:rPr>
          <w:rFonts w:hint="eastAsia"/>
        </w:rPr>
        <w:br w:type="textWrapping"/>
      </w:r>
      <w:r>
        <w:rPr>
          <w:rFonts w:hint="eastAsia"/>
        </w:rPr>
        <w:t>  （7）建立内幕交易防控机制。公司建立了《内幕交易防控管理办法》，定期开展关于防止内幕交易的合规培训，严防内幕信息传递和内幕交易发生；</w:t>
      </w:r>
      <w:r>
        <w:rPr>
          <w:rFonts w:hint="eastAsia"/>
        </w:rPr>
        <w:br w:type="textWrapping"/>
      </w:r>
      <w:r>
        <w:rPr>
          <w:rFonts w:hint="eastAsia"/>
        </w:rPr>
        <w:t>  （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r>
        <w:rPr>
          <w:rFonts w:hint="eastAsia"/>
        </w:rPr>
        <w:br w:type="textWrapping"/>
      </w:r>
      <w:r>
        <w:rPr>
          <w:rFonts w:hint="eastAsia"/>
        </w:rPr>
        <w:t>  （9）建立员工投资行为管理机制，规范员工的证券投资行为。</w:t>
      </w:r>
      <w:r>
        <w:rPr>
          <w:rFonts w:hint="eastAsia"/>
        </w:rPr>
        <w:br w:type="textWrapping"/>
      </w:r>
      <w:r>
        <w:rPr>
          <w:rFonts w:hint="eastAsia"/>
        </w:rPr>
        <w:t>  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510100498"/>
      <w:r>
        <w:rPr>
          <w:rFonts w:hint="eastAsia"/>
          <w:b/>
          <w:bCs/>
        </w:rPr>
        <w:t>4.7 管理人对报告期内基金估值程序等事项的说明</w:t>
      </w:r>
      <w:bookmarkEnd w:id="20"/>
    </w:p>
    <w:p>
      <w:pPr>
        <w:pStyle w:val="20"/>
        <w:rPr>
          <w:rFonts w:hint="eastAsia"/>
        </w:rPr>
      </w:pPr>
      <w:r>
        <w:rPr>
          <w:rFonts w:hint="eastAsia"/>
        </w:rPr>
        <w:t>  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r>
        <w:rPr>
          <w:rFonts w:hint="eastAsia"/>
        </w:rPr>
        <w:br w:type="textWrapping"/>
      </w:r>
      <w:r>
        <w:rPr>
          <w:rFonts w:hint="eastAsia"/>
        </w:rPr>
        <w:t>  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510100499"/>
      <w:r>
        <w:rPr>
          <w:rFonts w:hint="eastAsia"/>
          <w:b/>
          <w:bCs/>
        </w:rPr>
        <w:t>4.8 管理人对报告期内基金利润分配情况的说明</w:t>
      </w:r>
      <w:bookmarkEnd w:id="21"/>
    </w:p>
    <w:p>
      <w:pPr>
        <w:pStyle w:val="20"/>
        <w:rPr>
          <w:rFonts w:hint="eastAsia"/>
        </w:rPr>
      </w:pPr>
      <w:r>
        <w:rPr>
          <w:rFonts w:hint="eastAsia"/>
        </w:rPr>
        <w:t>  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510100500"/>
      <w:r>
        <w:rPr>
          <w:rFonts w:hint="eastAsia"/>
          <w:b/>
          <w:bCs/>
        </w:rPr>
        <w:t>4.9 报告期内管理人对本基金持有人数或基金资产净值预警情形的说明</w:t>
      </w:r>
      <w:bookmarkEnd w:id="22"/>
    </w:p>
    <w:p>
      <w:pPr>
        <w:pStyle w:val="20"/>
        <w:rPr>
          <w:rFonts w:hint="eastAsia"/>
        </w:rPr>
      </w:pPr>
      <w:r>
        <w:rPr>
          <w:rFonts w:hint="eastAsia"/>
        </w:rPr>
        <w:t>  本基金为发起式基金，不适用本项说明。</w:t>
      </w:r>
    </w:p>
    <w:p>
      <w:pPr>
        <w:widowControl/>
        <w:jc w:val="left"/>
        <w:rPr>
          <w:rFonts w:hint="eastAsia" w:ascii="宋体" w:hAnsi="宋体" w:cs="宋体"/>
          <w:kern w:val="0"/>
          <w:sz w:val="24"/>
          <w:szCs w:val="24"/>
        </w:rPr>
      </w:pPr>
    </w:p>
    <w:p>
      <w:pPr>
        <w:pStyle w:val="13"/>
        <w:rPr>
          <w:rFonts w:hint="eastAsia"/>
        </w:rPr>
      </w:pPr>
      <w:bookmarkStart w:id="23" w:name="_Toc510100501"/>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510100502"/>
      <w:r>
        <w:rPr>
          <w:rFonts w:hint="eastAsia"/>
          <w:b/>
          <w:bCs/>
        </w:rPr>
        <w:t>5.1 报告期内本基金托管人遵规守信情况声明</w:t>
      </w:r>
      <w:bookmarkEnd w:id="24"/>
    </w:p>
    <w:p>
      <w:pPr>
        <w:pStyle w:val="20"/>
        <w:rPr>
          <w:rFonts w:hint="eastAsia"/>
        </w:rPr>
      </w:pPr>
      <w:r>
        <w:rPr>
          <w:rFonts w:hint="eastAsia"/>
        </w:rPr>
        <w:t>  本报告期内，本基金托管人在对创金合信优价成长股票型发起式证券投资基金的托管过程中，严格遵守《证券投资基金法》及其他法律法规和基金合同的有关规定，不存在任何损害基金份额持有人利益的行为，完全尽职尽责地履行了基金托管人应尽的义务。</w:t>
      </w:r>
    </w:p>
    <w:p>
      <w:pPr>
        <w:widowControl/>
        <w:jc w:val="left"/>
        <w:rPr>
          <w:rFonts w:hint="eastAsia" w:ascii="宋体" w:hAnsi="宋体" w:cs="宋体"/>
          <w:kern w:val="0"/>
          <w:sz w:val="24"/>
          <w:szCs w:val="24"/>
        </w:rPr>
      </w:pPr>
    </w:p>
    <w:p>
      <w:pPr>
        <w:pStyle w:val="14"/>
        <w:rPr>
          <w:rFonts w:hint="eastAsia"/>
        </w:rPr>
      </w:pPr>
      <w:bookmarkStart w:id="25" w:name="_Toc510100503"/>
      <w:r>
        <w:rPr>
          <w:rFonts w:hint="eastAsia"/>
          <w:b/>
          <w:bCs/>
        </w:rPr>
        <w:t>5.2 托管人对报告期内本基金投资运作遵规守信、净值计算、利润分配等情况的说明</w:t>
      </w:r>
      <w:bookmarkEnd w:id="25"/>
    </w:p>
    <w:p>
      <w:pPr>
        <w:pStyle w:val="20"/>
        <w:rPr>
          <w:rFonts w:hint="eastAsia"/>
        </w:rPr>
      </w:pPr>
      <w:r>
        <w:rPr>
          <w:rFonts w:hint="eastAsia"/>
        </w:rPr>
        <w:t>  本报告期内，创金合信优价成长股票型发起式证券投资基金的管理人--创金合信基金管理有限公司在创金合信优价成长股票型发起式证券投资基金的投资运作、基金资产净值计算、基金份额申购赎回价格计算、基金费用开支等问题上，不存在任何损害基金份额持有人利益的行为，在各重要方面的运作严格按照基金合同的规定进行。本报告期内，创金合信优价成长股票型发起式证券投资基金未进行利润分配。</w:t>
      </w:r>
    </w:p>
    <w:p>
      <w:pPr>
        <w:widowControl/>
        <w:jc w:val="left"/>
        <w:rPr>
          <w:rFonts w:hint="eastAsia" w:ascii="宋体" w:hAnsi="宋体" w:cs="宋体"/>
          <w:kern w:val="0"/>
          <w:sz w:val="24"/>
          <w:szCs w:val="24"/>
        </w:rPr>
      </w:pPr>
    </w:p>
    <w:p>
      <w:pPr>
        <w:pStyle w:val="14"/>
        <w:rPr>
          <w:rFonts w:hint="eastAsia"/>
        </w:rPr>
      </w:pPr>
      <w:bookmarkStart w:id="26" w:name="_Toc510100504"/>
      <w:r>
        <w:rPr>
          <w:rFonts w:hint="eastAsia"/>
          <w:b/>
          <w:bCs/>
        </w:rPr>
        <w:t>5.3 托管人对本年度报告中财务信息等内容的真实、准确和完整发表意见</w:t>
      </w:r>
      <w:bookmarkEnd w:id="26"/>
    </w:p>
    <w:p>
      <w:pPr>
        <w:pStyle w:val="20"/>
        <w:rPr>
          <w:rFonts w:hint="eastAsia"/>
        </w:rPr>
      </w:pPr>
      <w:r>
        <w:rPr>
          <w:rFonts w:hint="eastAsia"/>
        </w:rPr>
        <w:t>  本托管人依法对创金合信基金管理有限公司编制和披露的创金合信优价成长股票型发起式证券投资基金2017年年度报告中财务指标、净值表现、利润分配情况、财务会计报告、投资组合报告等内容进行了核查，以上内容真实、准确和完整。</w:t>
      </w:r>
    </w:p>
    <w:p>
      <w:pPr>
        <w:pStyle w:val="13"/>
        <w:rPr>
          <w:rFonts w:hint="eastAsia"/>
        </w:rPr>
      </w:pPr>
      <w:bookmarkStart w:id="27" w:name="_Toc510100505"/>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510100506"/>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普华永道中天审字(2018)第21836号</w:t>
            </w:r>
          </w:p>
        </w:tc>
      </w:tr>
    </w:tbl>
    <w:p>
      <w:pPr>
        <w:widowControl/>
        <w:jc w:val="left"/>
        <w:rPr>
          <w:rFonts w:hint="eastAsia" w:ascii="宋体" w:hAnsi="宋体" w:cs="宋体"/>
          <w:kern w:val="0"/>
          <w:sz w:val="24"/>
          <w:szCs w:val="24"/>
        </w:rPr>
      </w:pPr>
    </w:p>
    <w:p>
      <w:pPr>
        <w:pStyle w:val="14"/>
        <w:rPr>
          <w:rFonts w:hint="eastAsia"/>
        </w:rPr>
      </w:pPr>
      <w:bookmarkStart w:id="29" w:name="_Toc510100507"/>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创金合信优价成长股票型发起式证券投资基金全体基金份额持有人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我们审计了创金合信优价成长股票型发起式证券投资基金 (以下简称"创金合信优价成长股票基金")的财务报表，包括2017年12月31日和2016年12月31日的资产负债表，2017年度和2016年11月2日(基金合同生效日)至2016年12月31日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优价成长股票基金2017年12月31日和2016年12月31日的财务状况以及2017年度和2016年11月2日(基金合同生效日)至2016年12月31日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按照中国注册会计师职业道德守则，我们独立于创金合信优价成长股票基金，并履行了职业道德方面的其他责任。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优价成长股票基金的持续经营能力，披露与持续经营相关的事项(如适用)，并运用持续经营假设，除非基金管理人管理层计划清算创金合信优价成长股票基金、终止运营或别无其他现实的选择。 基金管理人治理层负责监督创金合信优价成长股票基金的财务报告过程。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优价成长股票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优价成长股票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2018-03-27</w:t>
            </w:r>
          </w:p>
        </w:tc>
      </w:tr>
    </w:tbl>
    <w:p>
      <w:pPr>
        <w:pStyle w:val="13"/>
        <w:rPr>
          <w:rFonts w:hint="eastAsia"/>
        </w:rPr>
      </w:pPr>
      <w:bookmarkStart w:id="30" w:name="_Toc510100508"/>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510100509"/>
      <w:r>
        <w:rPr>
          <w:rFonts w:hint="eastAsia"/>
          <w:b/>
          <w:bCs/>
        </w:rPr>
        <w:t>7.1 资产负债表</w:t>
      </w:r>
      <w:bookmarkEnd w:id="31"/>
    </w:p>
    <w:p>
      <w:pPr>
        <w:pStyle w:val="17"/>
        <w:rPr>
          <w:rFonts w:hint="eastAsia"/>
        </w:rPr>
      </w:pPr>
      <w:r>
        <w:rPr>
          <w:rFonts w:hint="eastAsia"/>
        </w:rPr>
        <w:t>会计主体：创金合信优价成长股票型发起式证券投资基金</w:t>
      </w:r>
    </w:p>
    <w:p>
      <w:pPr>
        <w:pStyle w:val="17"/>
        <w:rPr>
          <w:rFonts w:hint="eastAsia"/>
        </w:rPr>
      </w:pPr>
      <w:r>
        <w:rPr>
          <w:rFonts w:hint="eastAsia"/>
        </w:rPr>
        <w:t>报告截止日：2017年12月31日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888"/>
        <w:gridCol w:w="1083"/>
        <w:gridCol w:w="2529"/>
        <w:gridCol w:w="2620"/>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2017年12月31日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2016年12月31日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9,809,605.17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498,198.45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144,997.63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164,372.85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17,943.97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2,440.36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174,548,089.69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11,910,962.12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174,548,089.69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11,910,962.12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264,291.31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192.71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16,383.08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184,803,588.22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12,576,666.49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182,542.18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7,158.39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927.66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232,872.53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16,097.84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38,812.05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2,682.95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2,280.65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1,441.89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43,958.96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8,773.86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642,626.12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29,924.20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162,004,996.05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12,834,217.79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22,155,966.05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-287,475.50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184,160,962.10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12,546,742.29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184,803,588.22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12,576,666.49</w:t>
            </w:r>
          </w:p>
        </w:tc>
      </w:tr>
    </w:tbl>
    <w:p>
      <w:pPr>
        <w:pStyle w:val="20"/>
        <w:rPr>
          <w:rFonts w:hint="eastAsia"/>
        </w:rPr>
      </w:pPr>
      <w:r>
        <w:rPr>
          <w:rFonts w:hint="eastAsia"/>
        </w:rPr>
        <w:t>注：1.报告截止日2017年12月31日，基金份额总额162,004,996.05份，其中下属A类基金份额157,617,925.86份，C类基金份额4,387,070.19份。下属A类基金份额净值1.1368元，C类基金份额净值1.1348元。</w:t>
      </w:r>
      <w:r>
        <w:rPr>
          <w:rFonts w:hint="eastAsia"/>
        </w:rPr>
        <w:br w:type="textWrapping"/>
      </w:r>
      <w:r>
        <w:rPr>
          <w:rFonts w:hint="eastAsia"/>
        </w:rPr>
        <w:t>2.本基金合同生效日为2016年11月2日，上年度可比期间为2016年11月2日至2016年12月31日。</w:t>
      </w:r>
    </w:p>
    <w:p>
      <w:pPr>
        <w:pStyle w:val="14"/>
        <w:rPr>
          <w:rFonts w:hint="eastAsia"/>
        </w:rPr>
      </w:pPr>
      <w:bookmarkStart w:id="32" w:name="_Toc510100510"/>
      <w:r>
        <w:rPr>
          <w:rFonts w:hint="eastAsia"/>
          <w:b/>
          <w:bCs/>
        </w:rPr>
        <w:t>7.2 利润表</w:t>
      </w:r>
      <w:bookmarkEnd w:id="32"/>
    </w:p>
    <w:p>
      <w:pPr>
        <w:widowControl/>
        <w:jc w:val="left"/>
        <w:rPr>
          <w:rFonts w:hint="eastAsia" w:ascii="宋体" w:hAnsi="宋体" w:cs="宋体"/>
          <w:kern w:val="0"/>
          <w:sz w:val="24"/>
          <w:szCs w:val="24"/>
        </w:rPr>
      </w:pPr>
    </w:p>
    <w:p>
      <w:pPr>
        <w:pStyle w:val="17"/>
        <w:rPr>
          <w:rFonts w:hint="eastAsia"/>
        </w:rPr>
      </w:pPr>
      <w:r>
        <w:rPr>
          <w:rFonts w:hint="eastAsia"/>
        </w:rPr>
        <w:t>会计主体：创金合信优价成长股票型发起式证券投资基金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249"/>
        <w:gridCol w:w="1083"/>
        <w:gridCol w:w="2168"/>
        <w:gridCol w:w="2620"/>
      </w:tblGrid>
      <w:tr>
        <w:tblPrEx>
          <w:tblCellMar>
            <w:top w:w="0" w:type="dxa"/>
            <w:left w:w="108" w:type="dxa"/>
            <w:bottom w:w="0" w:type="dxa"/>
            <w:right w:w="108" w:type="dxa"/>
          </w:tblCellMar>
        </w:tblPrEx>
        <w:trPr>
          <w:wBefore w:w="0" w:type="auto"/>
          <w:trHeight w:val="374" w:hRule="atLeast"/>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2016年11月02日（基金合同生效日）至2016年12月31日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22,093,771.40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-290,993.78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85,709.33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3,586.91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64,113.37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2,486.76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21,595.96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1,100.15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28,784,612.30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68,253.75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26,695,919.30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64,323.75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2,088,693.00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3,930.00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-6,816,156.14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-364,726.95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39,605.91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1,892.51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3,184,097.70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48,097.67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2,236,569.50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29,135.26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372,761.54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4,855.85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22,324.86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2,656.40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417,282.80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11,045.16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135,159.00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405.00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18,909,673.70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-339,091.45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18,909,673.70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-339,091.45</w:t>
            </w:r>
          </w:p>
        </w:tc>
      </w:tr>
    </w:tbl>
    <w:p>
      <w:pPr>
        <w:pStyle w:val="20"/>
        <w:rPr>
          <w:rFonts w:hint="eastAsia"/>
        </w:rPr>
      </w:pPr>
      <w:r>
        <w:rPr>
          <w:rFonts w:hint="eastAsia"/>
        </w:rPr>
        <w:t>注：本基金合同生效日为2016年11月2日，上年度可比期间为2016年11月2日至2016年12月31日。</w:t>
      </w:r>
    </w:p>
    <w:p>
      <w:pPr>
        <w:pStyle w:val="14"/>
        <w:rPr>
          <w:rFonts w:hint="eastAsia"/>
        </w:rPr>
      </w:pPr>
      <w:bookmarkStart w:id="33" w:name="_Toc510100511"/>
      <w:r>
        <w:rPr>
          <w:rFonts w:hint="eastAsia"/>
          <w:b/>
          <w:bCs/>
        </w:rPr>
        <w:t>7.3 所有者权益（基金净值）变动表</w:t>
      </w:r>
      <w:bookmarkEnd w:id="33"/>
    </w:p>
    <w:p>
      <w:pPr>
        <w:pStyle w:val="17"/>
        <w:rPr>
          <w:rFonts w:hint="eastAsia"/>
        </w:rPr>
      </w:pPr>
      <w:r>
        <w:rPr>
          <w:rFonts w:hint="eastAsia"/>
        </w:rPr>
        <w:t>会计主体：创金合信优价成长股票型发起式证券投资基金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12,834,217.79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-287,475.50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12,546,742.29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18,909,673.70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18,909,673.70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149,170,778.26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3,533,767.85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152,704,546.11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159,054,786.21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4,463,555.57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163,518,341.78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-9,884,007.95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-929,787.72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-10,813,795.67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162,004,996.05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22,155,966.05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184,160,962.10</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2016年11月02日（基金合同生效日）至2016年12月31日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10,187,722.65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10,187,722.65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-339,091.45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-339,091.45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2,646,495.14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51,615.95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2,698,111.09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2,980,970.12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52,071.34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3,033,041.46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-334,474.98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-455.39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-334,930.37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12,834,217.79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-287,475.50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12,546,742.29</w:t>
            </w:r>
          </w:p>
        </w:tc>
      </w:tr>
    </w:tbl>
    <w:p>
      <w:pPr>
        <w:pStyle w:val="20"/>
        <w:rPr>
          <w:rFonts w:hint="eastAsia"/>
        </w:rPr>
      </w:pPr>
      <w:r>
        <w:rPr>
          <w:rFonts w:hint="eastAsia"/>
        </w:rPr>
        <w:t>注：本基金合同生效日为2016年11月2日，上年度可比期间为2016年11月2日至2016年12月31日。</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510100512"/>
      <w:r>
        <w:rPr>
          <w:rFonts w:hint="eastAsia"/>
          <w:b/>
          <w:bCs/>
        </w:rPr>
        <w:t>7.4 报表附注</w:t>
      </w:r>
      <w:bookmarkEnd w:id="34"/>
    </w:p>
    <w:p>
      <w:pPr>
        <w:pStyle w:val="15"/>
        <w:rPr>
          <w:rFonts w:hint="eastAsia"/>
        </w:rPr>
      </w:pPr>
      <w:r>
        <w:rPr>
          <w:rFonts w:hint="eastAsia"/>
          <w:b/>
          <w:bCs/>
        </w:rPr>
        <w:t>7.4.1 基金基本情况</w:t>
      </w:r>
    </w:p>
    <w:p>
      <w:pPr>
        <w:pStyle w:val="20"/>
        <w:rPr>
          <w:rFonts w:hint="eastAsia"/>
        </w:rPr>
      </w:pPr>
      <w:r>
        <w:rPr>
          <w:rFonts w:hint="eastAsia"/>
        </w:rPr>
        <w:t>  创金合信优价成长股票型发起式基金(以下简称"本基金")经中国证券监督管理委员会(以下简称"中国证监会") 证监许可[2016]2275号《关于准予创金合信优价成长股票型发起式基金注册的批复》核准，由创金合信基金管理有限公司依照《中华人民共和国证券投资基金法》和《创金合信优价成长股票型发起式基金基金合同》负责公开募集。本基金为契约型开放式，存续期限不定，首次设立募集不包括认购资金利息共募集人民币10,186,822.11元，业经普华永道中天会计师事务所(特殊普通合伙)普华永道中天验字(2016)第1362号验资报告予以验证。经向中国证监会备案，《创金合信优价成长股票型发起式基金基金合同》于2016年11月2日正式生效，基金合同生效日的基金份额总额为10,187,722.65份基金份额，其中认购资金利息折合900.54份基金份额。本基金的基金管理人为创金合信基金管理有限公司，基金托管人为中国工商银行股份有限公司(以下简称"中国工商银行")。</w:t>
      </w:r>
      <w:r>
        <w:rPr>
          <w:rFonts w:hint="eastAsia"/>
        </w:rPr>
        <w:br w:type="textWrapping"/>
      </w:r>
      <w:r>
        <w:rPr>
          <w:rFonts w:hint="eastAsia"/>
        </w:rPr>
        <w:t>  根据《中华人民共和国证券投资基金法》和《创金合信优价成长股票型发起式基金基金合同》的有关规定，基金的投资范围包括国内依法发行上市的股票（包括创业板、中小板以及其他经中国证监会允许基金投资的股票）、债券（包括国债、央行票据、地方政府债、金融债、企业债、公司债、中小企业私募债、次级债、中期票据、短期融资券、可转换债券、可交换债券等）、资产支持证券、债券回购、银行存款、金融衍生品（包括权证、股指期货、股票期权等）及法律法规或中国证监会允许基金投资的其他金融工具（但须符合中国证监会相关规定）。本基金的业绩比较基准为：中证800指数收益率×90%＋一年期人民币定期存款利率（税后）×10%。</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rPr>
          <w:rFonts w:hint="eastAsia"/>
        </w:rPr>
      </w:pPr>
      <w:r>
        <w:rPr>
          <w:rFonts w:hint="eastAsia"/>
        </w:rPr>
        <w:t>  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优价成长股票型发起式证券投资基金基金合同》和在财务报表附注7.4.4所列示的中国证监会、中国基金业协会发布的有关规定及允许的基金行业实务操作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rPr>
          <w:rFonts w:hint="eastAsia"/>
        </w:rPr>
      </w:pPr>
      <w:r>
        <w:rPr>
          <w:rFonts w:hint="eastAsia"/>
        </w:rPr>
        <w:t>  本财务报表符合企业会计准则的要求，真实、完整地反映了本基金本报告期末的财务状况以及本报告期间的经营成果和基金净值变动情况等有关信息。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15"/>
        <w:rPr>
          <w:rFonts w:hint="eastAsia"/>
        </w:rPr>
      </w:pPr>
      <w:r>
        <w:rPr>
          <w:rFonts w:hint="eastAsia"/>
          <w:b/>
          <w:bCs/>
        </w:rPr>
        <w:t>7.4.4.1 会计年度</w:t>
      </w:r>
    </w:p>
    <w:p>
      <w:pPr>
        <w:pStyle w:val="20"/>
        <w:rPr>
          <w:rFonts w:hint="eastAsia"/>
        </w:rPr>
      </w:pPr>
      <w:r>
        <w:rPr>
          <w:rFonts w:hint="eastAsia"/>
        </w:rPr>
        <w:t>  本基金会计年度为公历1月1日起至12月31日止。比较财务报表的实际编制期间为2016年11月2日(基金合同生效日)至2016年12月31日止期间。</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rPr>
          <w:rFonts w:hint="eastAsia"/>
        </w:rPr>
      </w:pPr>
      <w:r>
        <w:rPr>
          <w:rFonts w:hint="eastAsia"/>
        </w:rPr>
        <w:t>  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rPr>
          <w:rFonts w:hint="eastAsia"/>
        </w:rPr>
      </w:pPr>
      <w:r>
        <w:rPr>
          <w:rFonts w:hint="eastAsia"/>
        </w:rPr>
        <w:t>  (1)金融资产的分类</w:t>
      </w:r>
      <w:r>
        <w:rPr>
          <w:rFonts w:hint="eastAsia"/>
        </w:rPr>
        <w:br w:type="textWrapping"/>
      </w:r>
      <w:r>
        <w:rPr>
          <w:rFonts w:hint="eastAsia"/>
        </w:rPr>
        <w:t>  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r>
        <w:rPr>
          <w:rFonts w:hint="eastAsia"/>
        </w:rPr>
        <w:br w:type="textWrapping"/>
      </w:r>
      <w:r>
        <w:rPr>
          <w:rFonts w:hint="eastAsia"/>
        </w:rPr>
        <w:t>  本基金目前以交易目的持有的股票投资、债券投资和衍生工具(主要为权证投资)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r>
        <w:rPr>
          <w:rFonts w:hint="eastAsia"/>
        </w:rPr>
        <w:br w:type="textWrapping"/>
      </w:r>
      <w:r>
        <w:rPr>
          <w:rFonts w:hint="eastAsia"/>
        </w:rPr>
        <w:t>  本基金持有的其他金融资产分类为应收款项，包括银行存款、买入返售金融资产和其他各类应收款项等。应收款项是指在活跃市场中没有报价、回收金额固定或可确定的非衍生金融资产。</w:t>
      </w:r>
      <w:r>
        <w:rPr>
          <w:rFonts w:hint="eastAsia"/>
        </w:rPr>
        <w:br w:type="textWrapping"/>
      </w:r>
      <w:r>
        <w:rPr>
          <w:rFonts w:hint="eastAsia"/>
        </w:rPr>
        <w:t>  (2)金融负债的分类</w:t>
      </w:r>
      <w:r>
        <w:rPr>
          <w:rFonts w:hint="eastAsia"/>
        </w:rPr>
        <w:br w:type="textWrapping"/>
      </w:r>
      <w:r>
        <w:rPr>
          <w:rFonts w:hint="eastAsia"/>
        </w:rPr>
        <w:t>  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rPr>
          <w:rFonts w:hint="eastAsia"/>
        </w:rPr>
      </w:pPr>
      <w:r>
        <w:rPr>
          <w:rFonts w:hint="eastAsia"/>
        </w:rPr>
        <w:t>  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r>
        <w:rPr>
          <w:rFonts w:hint="eastAsia"/>
        </w:rPr>
        <w:br w:type="textWrapping"/>
      </w:r>
      <w:r>
        <w:rPr>
          <w:rFonts w:hint="eastAsia"/>
        </w:rPr>
        <w:t>  对于以公允价值计量且其变动计入当期损益的金融资产，按照公允价值进行后续计量；对于应收款项和其他金融负债采用实际利率法，以摊余成本进行后续计量。</w:t>
      </w:r>
      <w:r>
        <w:rPr>
          <w:rFonts w:hint="eastAsia"/>
        </w:rPr>
        <w:br w:type="textWrapping"/>
      </w:r>
      <w:r>
        <w:rPr>
          <w:rFonts w:hint="eastAsia"/>
        </w:rPr>
        <w:t>  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r>
        <w:rPr>
          <w:rFonts w:hint="eastAsia"/>
        </w:rPr>
        <w:br w:type="textWrapping"/>
      </w:r>
      <w:r>
        <w:rPr>
          <w:rFonts w:hint="eastAsia"/>
        </w:rPr>
        <w:t>  金融资产终止确认时，其账面价值与收到的对价的差额，计入当期损益。</w:t>
      </w:r>
      <w:r>
        <w:rPr>
          <w:rFonts w:hint="eastAsia"/>
        </w:rPr>
        <w:br w:type="textWrapping"/>
      </w:r>
      <w:r>
        <w:rPr>
          <w:rFonts w:hint="eastAsia"/>
        </w:rPr>
        <w:t>  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rPr>
          <w:rFonts w:hint="eastAsia"/>
        </w:rPr>
      </w:pPr>
      <w:r>
        <w:rPr>
          <w:rFonts w:hint="eastAsia"/>
        </w:rPr>
        <w:t>  本基金持有的股票投资、债券投资和衍生工具(主要为权证投资)按如下原则确定公允价值并进行估值：</w:t>
      </w:r>
      <w:r>
        <w:rPr>
          <w:rFonts w:hint="eastAsia"/>
        </w:rPr>
        <w:br w:type="textWrapping"/>
      </w:r>
      <w:r>
        <w:rPr>
          <w:rFonts w:hint="eastAsia"/>
        </w:rPr>
        <w:t>  (1)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r>
        <w:rPr>
          <w:rFonts w:hint="eastAsia"/>
        </w:rPr>
        <w:br w:type="textWrapping"/>
      </w:r>
      <w:r>
        <w:rPr>
          <w:rFonts w:hint="eastAsia"/>
        </w:rPr>
        <w:t>  (2)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r>
        <w:rPr>
          <w:rFonts w:hint="eastAsia"/>
        </w:rPr>
        <w:br w:type="textWrapping"/>
      </w:r>
      <w:r>
        <w:rPr>
          <w:rFonts w:hint="eastAsia"/>
        </w:rPr>
        <w:t>  (3)如经济环境发生重大变化或证券发行人发生影响金融工具价格的重大事件，应对估值进行调整并确定公允价值。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rPr>
          <w:rFonts w:hint="eastAsia"/>
        </w:rPr>
      </w:pPr>
      <w:r>
        <w:rPr>
          <w:rFonts w:hint="eastAsia"/>
        </w:rPr>
        <w:t>  本基金持有的资产和承担的负债基本为金融资产和金融负债。当本基金</w:t>
      </w:r>
      <w:r>
        <w:rPr>
          <w:rFonts w:hint="eastAsia"/>
        </w:rPr>
        <w:br w:type="textWrapping"/>
      </w:r>
      <w:r>
        <w:rPr>
          <w:rFonts w:hint="eastAsia"/>
        </w:rPr>
        <w:t>  1)具有抵销已确认金额的法定权利且该种法定权利现在是可执行的；且</w:t>
      </w:r>
      <w:r>
        <w:rPr>
          <w:rFonts w:hint="eastAsia"/>
        </w:rPr>
        <w:br w:type="textWrapping"/>
      </w:r>
      <w:r>
        <w:rPr>
          <w:rFonts w:hint="eastAsia"/>
        </w:rPr>
        <w:t>  2)交易双方准备按净额结算时，金融资产与金融负债按抵销后的净额在资产负债表中列示。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rPr>
          <w:rFonts w:hint="eastAsia"/>
        </w:rPr>
      </w:pPr>
      <w:r>
        <w:rPr>
          <w:rFonts w:hint="eastAsia"/>
        </w:rPr>
        <w:t>  实收基金为对外发行基金份额所募集的总金额在扣除损益平准金分摊部分后的余额。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rPr>
          <w:rFonts w:hint="eastAsia"/>
        </w:rPr>
      </w:pPr>
      <w:r>
        <w:rPr>
          <w:rFonts w:hint="eastAsia"/>
        </w:rPr>
        <w:t>  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rPr>
          <w:rFonts w:hint="eastAsia"/>
        </w:rPr>
      </w:pPr>
      <w:r>
        <w:rPr>
          <w:rFonts w:hint="eastAsia"/>
        </w:rPr>
        <w:t>  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r>
        <w:rPr>
          <w:rFonts w:hint="eastAsia"/>
        </w:rPr>
        <w:br w:type="textWrapping"/>
      </w:r>
      <w:r>
        <w:rPr>
          <w:rFonts w:hint="eastAsia"/>
        </w:rPr>
        <w:t>  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r>
        <w:rPr>
          <w:rFonts w:hint="eastAsia"/>
        </w:rPr>
        <w:br w:type="textWrapping"/>
      </w:r>
      <w:r>
        <w:rPr>
          <w:rFonts w:hint="eastAsia"/>
        </w:rPr>
        <w:t>  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rPr>
          <w:rFonts w:hint="eastAsia"/>
        </w:rPr>
      </w:pPr>
      <w:r>
        <w:rPr>
          <w:rFonts w:hint="eastAsia"/>
        </w:rPr>
        <w:t>  本基金的管理人报酬、托管费和销售服务费在费用涵盖期间按基金合同约定的费率和计算方法逐日确认。</w:t>
      </w:r>
      <w:r>
        <w:rPr>
          <w:rFonts w:hint="eastAsia"/>
        </w:rPr>
        <w:br w:type="textWrapping"/>
      </w:r>
      <w:r>
        <w:rPr>
          <w:rFonts w:hint="eastAsia"/>
        </w:rPr>
        <w:t>  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rPr>
          <w:rFonts w:hint="eastAsia"/>
        </w:rPr>
      </w:pPr>
      <w:r>
        <w:rPr>
          <w:rFonts w:hint="eastAsia"/>
        </w:rPr>
        <w:t>  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该类别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在对基金份额持有人利益无实质不利影响的前提下，基金管理人与基金托管人协商一致后，可调整基金收益的分配原则和支付方式，不需召开基金份额持有人大会审议；6、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rPr>
          <w:rFonts w:hint="eastAsia"/>
        </w:rPr>
      </w:pPr>
      <w:r>
        <w:rPr>
          <w:rFonts w:hint="eastAsia"/>
        </w:rPr>
        <w:t>  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r>
        <w:rPr>
          <w:rFonts w:hint="eastAsia"/>
        </w:rPr>
        <w:br w:type="textWrapping"/>
      </w:r>
      <w:r>
        <w:rPr>
          <w:rFonts w:hint="eastAsia"/>
        </w:rPr>
        <w:t>  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rPr>
          <w:rFonts w:hint="eastAsia"/>
        </w:rPr>
      </w:pPr>
      <w:r>
        <w:rPr>
          <w:rFonts w:hint="eastAsia"/>
        </w:rPr>
        <w:t>  根据本基金的估值原则和中国证监会允许的基金行业估值实务操作，本基金确定以下类别股票投资投资的公允价值时采用的估值方法及其关键假设如下：</w:t>
      </w:r>
      <w:r>
        <w:rPr>
          <w:rFonts w:hint="eastAsia"/>
        </w:rPr>
        <w:br w:type="textWrapping"/>
      </w:r>
      <w:r>
        <w:rPr>
          <w:rFonts w:hint="eastAsia"/>
        </w:rPr>
        <w:t>  对于证券交易所上市的股票，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rPr>
          <w:rFonts w:hint="eastAsia"/>
        </w:rPr>
      </w:pPr>
      <w:r>
        <w:rPr>
          <w:rFonts w:hint="eastAsia"/>
        </w:rPr>
        <w:t>  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rPr>
          <w:rFonts w:hint="eastAsia"/>
        </w:rPr>
      </w:pPr>
      <w:r>
        <w:rPr>
          <w:rFonts w:hint="eastAsia"/>
        </w:rPr>
        <w:t>  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rPr>
          <w:rFonts w:hint="eastAsia"/>
        </w:rPr>
      </w:pPr>
      <w:r>
        <w:rPr>
          <w:rFonts w:hint="eastAsia"/>
        </w:rPr>
        <w:t>  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rPr>
          <w:rFonts w:hint="eastAsia"/>
        </w:rPr>
      </w:pPr>
      <w:r>
        <w:rPr>
          <w:rFonts w:hint="eastAsia"/>
        </w:rPr>
        <w:t>  根据财政部、国家税务总局财税[2004]78号《财政部、国家税务总局关于证券投资基金税收政策的通知》、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及其他相关财税法规和实务操作，主要税项列示如下：</w:t>
      </w:r>
      <w:r>
        <w:rPr>
          <w:rFonts w:hint="eastAsia"/>
        </w:rPr>
        <w:br w:type="textWrapping"/>
      </w:r>
      <w:r>
        <w:rPr>
          <w:rFonts w:hint="eastAsia"/>
        </w:rPr>
        <w:t>  (1)于2016年5月1日前，以发行基金方式募集资金不属于营业税征收范围，不征收营业税。对证券投资基金管理人运用基金买卖股票、债券的差价收入免征营业税。自2016年5月1日起，金融业由缴纳营业税改为缴纳增值税。对证券投资基金管理人运用基金买卖股票、债券的转让收入免征增值税，对国债、地方政府债以及金融同业往来利息收入亦免征增值税。</w:t>
      </w:r>
      <w:r>
        <w:rPr>
          <w:rFonts w:hint="eastAsia"/>
        </w:rPr>
        <w:br w:type="textWrapping"/>
      </w:r>
      <w:r>
        <w:rPr>
          <w:rFonts w:hint="eastAsia"/>
        </w:rPr>
        <w:t>  (2)对基金从证券市场中取得的收入，包括买卖股票、债券的差价收入，股票的股息、红利收入，债券的利息收入及其他收入，暂不征收企业所得税。</w:t>
      </w:r>
      <w:r>
        <w:rPr>
          <w:rFonts w:hint="eastAsia"/>
        </w:rPr>
        <w:br w:type="textWrapping"/>
      </w:r>
      <w:r>
        <w:rPr>
          <w:rFonts w:hint="eastAsia"/>
        </w:rPr>
        <w:t>  (3)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r>
        <w:rPr>
          <w:rFonts w:hint="eastAsia"/>
        </w:rPr>
        <w:br w:type="textWrapping"/>
      </w:r>
      <w:r>
        <w:rPr>
          <w:rFonts w:hint="eastAsia"/>
        </w:rPr>
        <w:t>  (4)基金卖出股票按0.1%的税率缴纳股票交易印花税，买入股票不征收股票交易印花税。</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jc w:val="left"/>
        <w:rPr>
          <w:rFonts w:hint="eastAsia" w:ascii="宋体" w:hAnsi="宋体" w:cs="宋体"/>
          <w:kern w:val="0"/>
          <w:sz w:val="24"/>
          <w:szCs w:val="24"/>
        </w:rPr>
      </w:pP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9,809,605.17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498,198.45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9,809,605.17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498,198.45</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181,728,972.78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174,548,089.69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-7,180,883.09</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181,728,972.78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174,548,089.69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-7,180,883.09</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12,275,689.07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11,910,962.12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-364,726.95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12,275,689.07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11,910,962.12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-364,726.95</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7.4.7.3 衍生金融资产/负债</w:t>
      </w:r>
    </w:p>
    <w:p>
      <w:pPr>
        <w:pStyle w:val="20"/>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本基金本报告期末及上年度末未持有买入返售金融资产。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本基金本报告期末及上年度末均未持有买断式逆回购交易中取得的债券。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192.71</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43,958.96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8,773.86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43,958.96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8,773.86</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创金合信优价成长股票A</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(创金合信优价成长股票A)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9,450,982.01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9,450,982.01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151,674,720.44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151,674,720.44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-3,507,776.59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-3,507,776.59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157,617,925.86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157,617,925.86</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创金合信优价成长股票C</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(创金合信优价成长股票C)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3,383,235.78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3,383,235.78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7,380,065.77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7,380,065.77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-6,376,231.36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-6,376,231.36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4,387,070.19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4,387,070.19</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创金合信优价成长股票A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(创金合信优价成长股票A)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22,219.56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-232,768.29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-210,548.73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25,004,215.64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-6,730,701.34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18,273,514.30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774,862.84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2,726,823.18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3,501,686.02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1,094,922.00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2,739,283.43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3,834,205.43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-320,059.16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-12,460.25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-332,519.41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25,801,298.04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-4,236,646.45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21,564,651.59</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创金合信优价成长股票C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(创金合信优价成长股票C)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6,339.88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-83,266.65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-76,926.77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721,614.20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-85,454.80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636,159.40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-18,755.02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50,836.85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32,081.83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513,593.99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115,756.15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629,350.14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-532,349.01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-64,919.30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-597,268.31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709,199.06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-117,884.60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591,314.46</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109"/>
        <w:gridCol w:w="3681"/>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上年度可比期间2016年11月02日（基金合同生效日）至2016年12月31日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58,620.86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2,261.53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5,049.99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64,113.37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2,486.76</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116,610,294.60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1,008,991.05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89,914,375.30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944,667.30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26,695,919.30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64,323.75</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20"/>
        <w:rPr>
          <w:rFonts w:hint="eastAsia"/>
        </w:rPr>
      </w:pPr>
      <w:r>
        <w:rPr>
          <w:rFonts w:hint="eastAsia"/>
        </w:rPr>
        <w:t>本基金本报告期内及上年度可比期间内无债券投资收益。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7.4.7.14 衍生工具收益</w:t>
      </w:r>
    </w:p>
    <w:p>
      <w:pPr>
        <w:pStyle w:val="15"/>
        <w:rPr>
          <w:rFonts w:hint="eastAsia"/>
        </w:rPr>
      </w:pPr>
      <w:r>
        <w:rPr>
          <w:rFonts w:hint="eastAsia"/>
          <w:b/>
          <w:bCs/>
        </w:rPr>
        <w:t>7.4.7.14.1 衍生工具收益——买卖权证差价收入</w:t>
      </w:r>
    </w:p>
    <w:p>
      <w:pPr>
        <w:pStyle w:val="20"/>
        <w:rPr>
          <w:rFonts w:hint="eastAsia"/>
        </w:rPr>
      </w:pPr>
      <w:r>
        <w:rPr>
          <w:rFonts w:hint="eastAsia"/>
        </w:rPr>
        <w:t>本基金本报告期内及上年度可比期间内无衍生工具投资收益。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2,088,693.00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3,930.00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2,088,693.00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3,930.00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-6,816,156.14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-364,726.95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-6,816,156.14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-364,726.95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-6,816,156.14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-364,726.95</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38,797.49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1,892.51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808.42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39,605.91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1,892.51</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417,282.80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11,045.16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417,282.80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11,045.16</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135,159.00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405.00</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rPr>
          <w:rFonts w:hint="eastAsia"/>
        </w:rPr>
      </w:pPr>
      <w:r>
        <w:rPr>
          <w:rFonts w:hint="eastAsia"/>
        </w:rPr>
        <w:t>  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rPr>
          <w:rFonts w:hint="eastAsia"/>
        </w:rPr>
      </w:pPr>
      <w:r>
        <w:rPr>
          <w:rFonts w:hint="eastAsia"/>
        </w:rPr>
        <w:t>  截至本财务报表批准报出日，本基金无需作披露的资产负债表日后事项。</w:t>
      </w:r>
    </w:p>
    <w:p>
      <w:pPr>
        <w:widowControl/>
        <w:jc w:val="left"/>
        <w:rPr>
          <w:rFonts w:hint="eastAsia" w:ascii="宋体" w:hAnsi="宋体" w:cs="宋体"/>
          <w:kern w:val="0"/>
          <w:sz w:val="24"/>
          <w:szCs w:val="24"/>
        </w:rPr>
      </w:pPr>
    </w:p>
    <w:p>
      <w:pPr>
        <w:pStyle w:val="15"/>
        <w:rPr>
          <w:rFonts w:hint="eastAsia"/>
        </w:rPr>
      </w:pPr>
      <w:r>
        <w:rPr>
          <w:rFonts w:hint="eastAsia"/>
          <w:b/>
          <w:bCs/>
        </w:rPr>
        <w:t>7.4.9 关联方关系</w:t>
      </w:r>
    </w:p>
    <w:p>
      <w:pPr>
        <w:pStyle w:val="20"/>
        <w:rPr>
          <w:rFonts w:hint="eastAsia"/>
        </w:rPr>
      </w:pPr>
      <w:r>
        <w:rPr>
          <w:rFonts w:hint="eastAsia"/>
        </w:rPr>
        <w:t>  本报告期不存在重大关联方发生变化的情况。</w:t>
      </w:r>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4821"/>
        <w:gridCol w:w="437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中国工商银行股份有限公司(“工商银行”)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064"/>
        <w:gridCol w:w="1658"/>
        <w:gridCol w:w="1005"/>
        <w:gridCol w:w="2207"/>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30,126,785.51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本基金本报告期内及上年度可比期间内无通过关联方交易单元进行的权证交易。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0"/>
        <w:gridCol w:w="936"/>
        <w:gridCol w:w="1666"/>
        <w:gridCol w:w="1401"/>
        <w:gridCol w:w="1932"/>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21,663.77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6.64%</w:t>
            </w:r>
          </w:p>
        </w:tc>
      </w:tr>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2016年11月02日至2016年12月31日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gridSpan w:val="5"/>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widowControl/>
        <w:jc w:val="left"/>
        <w:rPr>
          <w:rFonts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039"/>
        <w:gridCol w:w="317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2,236,569.50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29,135.26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22,344.26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1,205.47</w:t>
            </w:r>
          </w:p>
        </w:tc>
      </w:tr>
    </w:tbl>
    <w:p>
      <w:pPr>
        <w:pStyle w:val="20"/>
        <w:rPr>
          <w:rFonts w:hint="eastAsia"/>
        </w:rPr>
      </w:pPr>
      <w:r>
        <w:rPr>
          <w:rFonts w:hint="eastAsia"/>
        </w:rPr>
        <w:t>注:本基金的管理费按前一日基金资产净值的1.5%年费率计提。管理费的计算方法如下：</w:t>
      </w:r>
      <w:r>
        <w:rPr>
          <w:rFonts w:hint="eastAsia"/>
        </w:rPr>
        <w:br w:type="textWrapping"/>
      </w:r>
      <w:r>
        <w:rPr>
          <w:rFonts w:hint="eastAsia"/>
        </w:rPr>
        <w:t>H＝E×1.5%÷当年天数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由基金管理人向基金托管人发送基金管理费划款指令，基金托管人复核后于次月前3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132"/>
        <w:gridCol w:w="3322"/>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372,761.54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4,855.85</w:t>
            </w:r>
          </w:p>
        </w:tc>
      </w:tr>
    </w:tbl>
    <w:p>
      <w:pPr>
        <w:pStyle w:val="20"/>
        <w:rPr>
          <w:rFonts w:hint="eastAsia"/>
        </w:rPr>
      </w:pPr>
      <w:r>
        <w:rPr>
          <w:rFonts w:hint="eastAsia"/>
        </w:rPr>
        <w:t>注:本基金的托管费按前一日基金资产净值的0.25%的年费率计提。托管费的计算方法如下：</w:t>
      </w:r>
      <w:r>
        <w:rPr>
          <w:rFonts w:hint="eastAsia"/>
        </w:rPr>
        <w:br w:type="textWrapping"/>
      </w:r>
      <w:r>
        <w:rPr>
          <w:rFonts w:hint="eastAsia"/>
        </w:rPr>
        <w:t>H＝E×0.25%÷当年天数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由基金管理人向基金托管人发送基金托管费划款指令，基金托管人复核后于次月前3个工作日内从基金财产中一次性支取。若遇法定节假日、公休日等，支付日期顺延。</w:t>
      </w: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26"/>
        <w:gridCol w:w="2627"/>
        <w:gridCol w:w="2627"/>
        <w:gridCol w:w="1265"/>
      </w:tblGrid>
      <w:tr>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创金合信优价成长股票A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创金合信优价成长股票C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15,849.36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15,849.36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16,020.85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16,020.85</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创金合信优价成长股票A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创金合信优价成长股票C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2,439.30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2,453.75</w:t>
            </w:r>
          </w:p>
        </w:tc>
      </w:tr>
    </w:tbl>
    <w:p>
      <w:pPr>
        <w:pStyle w:val="20"/>
        <w:rPr>
          <w:rFonts w:hint="eastAsia"/>
        </w:rPr>
      </w:pPr>
      <w:r>
        <w:rPr>
          <w:rFonts w:hint="eastAsia"/>
        </w:rPr>
        <w:t>注:本基金A类基金份额不收取销售服务费，仅就C类基金份额所代表的基金资产收取销售服务费。C类基金份额的销售服务费按前一日C类基金份额基金资产净值的0.5%的年费率计提。销售服务费的计算方法如下：</w:t>
      </w:r>
      <w:r>
        <w:rPr>
          <w:rFonts w:hint="eastAsia"/>
        </w:rPr>
        <w:br w:type="textWrapping"/>
      </w:r>
      <w:r>
        <w:rPr>
          <w:rFonts w:hint="eastAsia"/>
        </w:rPr>
        <w:t>H＝E×0.5%÷当年天数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提，逐日累计至每月月末，按月支付。经基金管理人与基金托管人双方核对无误后，基金托管人按照与基金管理人协商一致的方式于次月前3个工作日内从基金财产中一次性支付，由登记机构代收，登记机构收到后按相关合同规定支付给基金销售机构等。若遇法定节假日、休息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17"/>
        <w:rPr>
          <w:rFonts w:hint="eastAsia"/>
        </w:rPr>
      </w:pPr>
      <w:r>
        <w:rPr>
          <w:rFonts w:hint="eastAsia" w:hAnsi="Calibri"/>
          <w:color w:val="000000"/>
        </w:rPr>
        <w:t>创金合信优价成长股票A</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5310"/>
        <w:gridCol w:w="1875"/>
        <w:gridCol w:w="1860"/>
      </w:tblGrid>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基金合同生效日（2016年11月02日）持有的基金份额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5,000,450.09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5,000,450.09</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5,000,450.09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5,000,450.09</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5,000,450.09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5,000,450.09</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52.91%</w:t>
            </w:r>
          </w:p>
        </w:tc>
      </w:tr>
    </w:tbl>
    <w:p>
      <w:pPr>
        <w:pStyle w:val="17"/>
        <w:rPr>
          <w:rFonts w:hint="eastAsia"/>
        </w:rPr>
      </w:pPr>
      <w:r>
        <w:rPr>
          <w:rFonts w:hint="eastAsia" w:hAnsi="Calibri"/>
          <w:color w:val="000000"/>
        </w:rPr>
        <w:t>创金合信优价成长股票C</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5310"/>
        <w:gridCol w:w="1875"/>
        <w:gridCol w:w="1860"/>
      </w:tblGrid>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基金合同生效日（2016年11月02日）持有的基金份额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3,000,270.00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3,000,270.00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3,000,270.00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3,000,270.00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3,000,270.00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3,000,270.00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88.68%</w:t>
            </w:r>
          </w:p>
        </w:tc>
      </w:tr>
    </w:tbl>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本基金本报告期末及上年度末除基金管理人以外的其他关联方未投资本基金。</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12"/>
        <w:gridCol w:w="1169"/>
        <w:gridCol w:w="1169"/>
        <w:gridCol w:w="1676"/>
        <w:gridCol w:w="1919"/>
      </w:tblGrid>
      <w:tr>
        <w:tblPrEx>
          <w:tblCellMar>
            <w:top w:w="0" w:type="dxa"/>
            <w:left w:w="108" w:type="dxa"/>
            <w:bottom w:w="0" w:type="dxa"/>
            <w:right w:w="108" w:type="dxa"/>
          </w:tblCellMar>
        </w:tblPrEx>
        <w:trPr>
          <w:wBefore w:w="0" w:type="auto"/>
        </w:trPr>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360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9,809,605.17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58,620.86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498,198.45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2,261.53</w:t>
            </w:r>
          </w:p>
        </w:tc>
      </w:tr>
    </w:tbl>
    <w:p>
      <w:pPr>
        <w:pStyle w:val="20"/>
        <w:rPr>
          <w:rFonts w:hint="eastAsia"/>
        </w:rPr>
      </w:pPr>
      <w:r>
        <w:rPr>
          <w:rFonts w:hint="eastAsia"/>
        </w:rPr>
        <w:t>注：本基金的银行存款由基金托管人中国工商银行保管，按金融机构同业存款利率计息。</w:t>
      </w: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pStyle w:val="15"/>
        <w:rPr>
          <w:rFonts w:hint="eastAsia"/>
        </w:rPr>
      </w:pPr>
      <w:r>
        <w:rPr>
          <w:rFonts w:hint="eastAsia"/>
          <w:b/>
          <w:bCs/>
        </w:rPr>
        <w:t>7.4.10.7 其他关联交易事项的说明</w:t>
      </w:r>
    </w:p>
    <w:p>
      <w:pPr>
        <w:pStyle w:val="20"/>
        <w:rPr>
          <w:rFonts w:hint="eastAsia"/>
        </w:rPr>
      </w:pPr>
      <w:r>
        <w:rPr>
          <w:rFonts w:hint="eastAsia"/>
        </w:rPr>
        <w:t>  本基金本报告期及上年度可比期间无需作说明的其他关联交易事项。</w:t>
      </w:r>
    </w:p>
    <w:p>
      <w:pPr>
        <w:pStyle w:val="15"/>
        <w:rPr>
          <w:rFonts w:hint="eastAsia"/>
        </w:rPr>
      </w:pPr>
      <w:r>
        <w:rPr>
          <w:rFonts w:hint="eastAsia"/>
          <w:b/>
          <w:bCs/>
        </w:rPr>
        <w:t>7.4.11 利润分配情况--非货币市场基金</w:t>
      </w:r>
    </w:p>
    <w:p>
      <w:pPr>
        <w:pStyle w:val="20"/>
        <w:rPr>
          <w:rFonts w:hint="eastAsia"/>
        </w:rPr>
      </w:pPr>
      <w:r>
        <w:rPr>
          <w:rFonts w:hint="eastAsia"/>
        </w:rPr>
        <w:t>本基金本报告期内无利润分配。</w:t>
      </w:r>
    </w:p>
    <w:p>
      <w:pPr>
        <w:pStyle w:val="15"/>
        <w:rPr>
          <w:rFonts w:hint="eastAsia"/>
        </w:rPr>
      </w:pPr>
      <w:r>
        <w:rPr>
          <w:rFonts w:hint="eastAsia"/>
          <w:b/>
          <w:bCs/>
        </w:rPr>
        <w:t>7.4.12 期末（2017年12月31日）本基金持有的流通受限证券</w:t>
      </w:r>
    </w:p>
    <w:p>
      <w:pPr>
        <w:pStyle w:val="15"/>
        <w:rPr>
          <w:rFonts w:hint="eastAsia"/>
        </w:rPr>
      </w:pPr>
      <w:r>
        <w:rPr>
          <w:rFonts w:hint="eastAsia"/>
          <w:b/>
          <w:bCs/>
        </w:rPr>
        <w:t>7.4.12.1 因认购新发/增发证券而于期末持有的流通受限证券</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18"/>
        <w:gridCol w:w="818"/>
        <w:gridCol w:w="818"/>
        <w:gridCol w:w="818"/>
        <w:gridCol w:w="819"/>
        <w:gridCol w:w="819"/>
        <w:gridCol w:w="819"/>
        <w:gridCol w:w="1012"/>
        <w:gridCol w:w="819"/>
        <w:gridCol w:w="819"/>
        <w:gridCol w:w="819"/>
      </w:tblGrid>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7.4.12.1.1 受限证券类别：股票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数量（单位：股）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鹏鹞环保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00"/>
        <w:gridCol w:w="800"/>
        <w:gridCol w:w="800"/>
        <w:gridCol w:w="800"/>
        <w:gridCol w:w="801"/>
        <w:gridCol w:w="801"/>
        <w:gridCol w:w="801"/>
        <w:gridCol w:w="1192"/>
        <w:gridCol w:w="801"/>
        <w:gridCol w:w="801"/>
        <w:gridCol w:w="801"/>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科创信息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34,112.55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名臣健康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10,311.76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28,948.46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2,577.53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截至本报告期末2017年12月31日止，本基金从事银行间市场债券正回购交易形成的卖出回购证券款余额0元，无抵押债券。</w:t>
      </w:r>
    </w:p>
    <w:p>
      <w:pPr>
        <w:pStyle w:val="15"/>
        <w:rPr>
          <w:rFonts w:hint="eastAsia"/>
        </w:rPr>
      </w:pPr>
      <w:r>
        <w:rPr>
          <w:rFonts w:hint="eastAsia"/>
          <w:b/>
          <w:bCs/>
        </w:rPr>
        <w:t>7.4.12.3.2 交易所市场债券正回购</w:t>
      </w:r>
    </w:p>
    <w:p>
      <w:pPr>
        <w:pStyle w:val="20"/>
        <w:rPr>
          <w:rFonts w:hint="eastAsia"/>
        </w:rPr>
      </w:pPr>
      <w:r>
        <w:rPr>
          <w:rFonts w:hint="eastAsia"/>
        </w:rPr>
        <w:t>  截至本报告期末2017年12月31日止，本基金从事证券交易所债券正回购交易形成的卖出回购证券款余额0元，无抵押债券。</w:t>
      </w: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rPr>
          <w:rFonts w:hint="eastAsia"/>
        </w:rPr>
      </w:pPr>
      <w:r>
        <w:rPr>
          <w:rFonts w:hint="eastAsia"/>
        </w:rPr>
        <w:t>  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p>
    <w:p>
      <w:pPr>
        <w:pStyle w:val="15"/>
        <w:rPr>
          <w:rFonts w:hint="eastAsia"/>
        </w:rPr>
      </w:pPr>
      <w:r>
        <w:rPr>
          <w:rFonts w:hint="eastAsia"/>
          <w:b/>
          <w:bCs/>
        </w:rPr>
        <w:t>7.4.13.2 信用风险</w:t>
      </w:r>
    </w:p>
    <w:p>
      <w:pPr>
        <w:pStyle w:val="20"/>
        <w:rPr>
          <w:rFonts w:hint="eastAsia"/>
        </w:rPr>
      </w:pPr>
      <w:r>
        <w:rPr>
          <w:rFonts w:hint="eastAsia"/>
        </w:rPr>
        <w:t>  信用风险是指基金在交易过程中因交易对手未履行合约责任，或者基金所投资证券之发行人出现违约、拒绝支付到期本息等情况，导致基金资产损失和收益变化的风险。</w:t>
      </w:r>
      <w:r>
        <w:rPr>
          <w:rFonts w:hint="eastAsia"/>
        </w:rPr>
        <w:br w:type="textWrapping"/>
      </w:r>
      <w:r>
        <w:rPr>
          <w:rFonts w:hint="eastAsia"/>
        </w:rPr>
        <w:t>  本基金的基金管理人在交易前对交易对手和债券的资信状况进行了充分的评估。本基金的活期银行存款存放在本基金的托管行工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r>
        <w:rPr>
          <w:rFonts w:hint="eastAsia"/>
        </w:rPr>
        <w:br w:type="textWrapping"/>
      </w:r>
      <w:r>
        <w:rPr>
          <w:rFonts w:hint="eastAsia"/>
        </w:rPr>
        <w:t>  本基金的基金管理人建立了信用风险管理流程，通过对投资品种信用等级评估来控制证券发行人的信用风险，且通过分散化投资以分散信用风险。</w:t>
      </w:r>
      <w:r>
        <w:rPr>
          <w:rFonts w:hint="eastAsia"/>
        </w:rPr>
        <w:br w:type="textWrapping"/>
      </w:r>
      <w:r>
        <w:rPr>
          <w:rFonts w:hint="eastAsia"/>
        </w:rPr>
        <w:t>  于2017年12月31日,本基金无债券投资(2016年12月31日：同)。</w:t>
      </w:r>
    </w:p>
    <w:p>
      <w:pPr>
        <w:pStyle w:val="15"/>
        <w:rPr>
          <w:rFonts w:hint="eastAsia"/>
        </w:rPr>
      </w:pPr>
      <w:r>
        <w:rPr>
          <w:rFonts w:hint="eastAsia"/>
          <w:b/>
          <w:bCs/>
        </w:rPr>
        <w:t>7.4.13.2.1 按短期信用评级列示的债券投资</w:t>
      </w:r>
    </w:p>
    <w:p>
      <w:pPr>
        <w:pStyle w:val="21"/>
        <w:jc w:val="right"/>
        <w:rPr>
          <w:rFonts w:hint="eastAsia"/>
        </w:rPr>
      </w:pPr>
      <w:r>
        <w:rPr>
          <w:rFonts w:hint="eastAsia"/>
        </w:rPr>
        <w:t>单位：人民币元</w:t>
      </w:r>
    </w:p>
    <w:p>
      <w:pPr>
        <w:pStyle w:val="20"/>
        <w:rPr>
          <w:rFonts w:hint="eastAsia"/>
        </w:rPr>
      </w:pPr>
      <w:r>
        <w:rPr>
          <w:rFonts w:hint="eastAsia"/>
        </w:rPr>
        <w:t>无</w:t>
      </w:r>
    </w:p>
    <w:p>
      <w:pPr>
        <w:widowControl/>
        <w:jc w:val="left"/>
        <w:rPr>
          <w:rFonts w:hint="eastAsia" w:ascii="宋体" w:hAnsi="宋体" w:cs="宋体"/>
          <w:kern w:val="0"/>
          <w:sz w:val="24"/>
          <w:szCs w:val="24"/>
        </w:rPr>
      </w:pPr>
    </w:p>
    <w:p>
      <w:pPr>
        <w:pStyle w:val="15"/>
        <w:rPr>
          <w:rFonts w:hint="eastAsia"/>
        </w:rPr>
      </w:pPr>
      <w:r>
        <w:rPr>
          <w:rFonts w:hint="eastAsia"/>
          <w:b/>
          <w:bCs/>
        </w:rPr>
        <w:t>7.4.13.2.2 按长期信用评级列示的债券投资</w:t>
      </w:r>
    </w:p>
    <w:p>
      <w:pPr>
        <w:pStyle w:val="21"/>
        <w:jc w:val="right"/>
        <w:rPr>
          <w:rFonts w:hint="eastAsia"/>
        </w:rPr>
      </w:pPr>
      <w:r>
        <w:rPr>
          <w:rFonts w:hint="eastAsia"/>
        </w:rPr>
        <w:t>单位：人民币元</w:t>
      </w:r>
    </w:p>
    <w:p>
      <w:pPr>
        <w:pStyle w:val="20"/>
        <w:rPr>
          <w:rFonts w:hint="eastAsia"/>
        </w:rPr>
      </w:pPr>
      <w:r>
        <w:rPr>
          <w:rFonts w:hint="eastAsia"/>
        </w:rPr>
        <w:t>无</w:t>
      </w:r>
    </w:p>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rPr>
          <w:rFonts w:hint="eastAsia"/>
        </w:rPr>
      </w:pPr>
      <w:r>
        <w:rPr>
          <w:rFonts w:hint="eastAsia"/>
        </w:rPr>
        <w:t>  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r>
        <w:rPr>
          <w:rFonts w:hint="eastAsia"/>
        </w:rPr>
        <w:br w:type="textWrapping"/>
      </w:r>
      <w:r>
        <w:rPr>
          <w:rFonts w:hint="eastAsia"/>
        </w:rPr>
        <w:t>  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r>
        <w:rPr>
          <w:rFonts w:hint="eastAsia"/>
        </w:rPr>
        <w:br w:type="textWrapping"/>
      </w:r>
      <w:r>
        <w:rPr>
          <w:rFonts w:hint="eastAsia"/>
        </w:rPr>
        <w:t>  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证券市值不超过基金资产净值的10%，且本基金与由本基金的基金管理人管理的其他基金共同持有一家上市公司发行的可流通股票不得超过该上市公司可流通股票的15%。本基金主动投资于流动性受限资产的市值合计不得超过基金资产净值的15%。本基金所持大部分证券在证券交易所上市，其余亦可在银行间同业市场交易，因此除附注7.4.12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r>
        <w:rPr>
          <w:rFonts w:hint="eastAsia"/>
        </w:rPr>
        <w:br w:type="textWrapping"/>
      </w:r>
      <w:r>
        <w:rPr>
          <w:rFonts w:hint="eastAsia"/>
        </w:rPr>
        <w:t>  于2017年12月31日，本基金所承担的全部金融负债的合约约定到期日均为一个月以内且不计息，可赎回基金份额净值(所有者权益)无固定到期日且不计息，因此账面余额即为未折现的合约到期现金流量。</w:t>
      </w:r>
    </w:p>
    <w:p>
      <w:pPr>
        <w:pStyle w:val="15"/>
        <w:rPr>
          <w:rFonts w:hint="eastAsia"/>
        </w:rPr>
      </w:pPr>
      <w:r>
        <w:rPr>
          <w:rFonts w:hint="eastAsia"/>
          <w:b/>
          <w:bCs/>
        </w:rPr>
        <w:t>7.4.13.3.2 报告期内本基金组合资产的流动性风险分析</w:t>
      </w:r>
    </w:p>
    <w:p>
      <w:pPr>
        <w:widowControl/>
        <w:jc w:val="left"/>
        <w:rPr>
          <w:rFonts w:hint="eastAsia" w:ascii="宋体" w:hAnsi="宋体" w:cs="宋体"/>
          <w:kern w:val="0"/>
          <w:sz w:val="24"/>
          <w:szCs w:val="24"/>
        </w:rPr>
      </w:pPr>
      <w:r>
        <w:rPr>
          <w:rFonts w:hint="eastAsia" w:ascii="宋体" w:hAnsi="宋体" w:cs="宋体"/>
          <w:kern w:val="0"/>
          <w:sz w:val="24"/>
          <w:szCs w:val="24"/>
        </w:rPr>
        <w:t>  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r>
        <w:rPr>
          <w:rFonts w:hint="eastAsia" w:ascii="宋体" w:hAnsi="宋体" w:cs="宋体"/>
          <w:kern w:val="0"/>
          <w:sz w:val="24"/>
          <w:szCs w:val="24"/>
        </w:rPr>
        <w:br w:type="textWrapping"/>
      </w:r>
      <w:r>
        <w:rPr>
          <w:rFonts w:hint="eastAsia" w:ascii="宋体" w:hAnsi="宋体" w:cs="宋体"/>
          <w:kern w:val="0"/>
          <w:sz w:val="24"/>
          <w:szCs w:val="24"/>
        </w:rPr>
        <w:t>  本基金的基金管理人每日对基金组合资产中7个工作日可变现资产的可变现价值进行审慎评估与测算，确保每日确认的净赎回申请不得超过7个工作日可变现资产的可变现价值。于2017年12月31日，本基金组合资产中7个工作日可变现资产的账面价值为184502874.59元，超过经确认的当日净赎回金额。于2017年12月31日，本基金持有的流动性受限资产的估值占基金资产净值的比例为0.07%，未超过15%。</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同时，本基金的基金管理人通过合理分散逆回购交易的到期日与交易对手的集中度。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综合上述各项流动性指标的监测结果及流动性风险管理措施的实施，本基金在本报告期内流动性情况良好。</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xml:space="preserve">  注：流动性受限资产、7个工作日可变现资产的计算口径见《公开募集开放式证券投资基金流动性风险管理规定》第四十条。 </w:t>
      </w:r>
    </w:p>
    <w:p>
      <w:pPr>
        <w:pStyle w:val="15"/>
        <w:rPr>
          <w:rFonts w:hint="eastAsia"/>
        </w:rPr>
      </w:pPr>
      <w:r>
        <w:rPr>
          <w:rFonts w:hint="eastAsia"/>
          <w:b/>
          <w:bCs/>
        </w:rPr>
        <w:t>7.4.13.4 市场风险</w:t>
      </w:r>
    </w:p>
    <w:p>
      <w:pPr>
        <w:pStyle w:val="20"/>
        <w:rPr>
          <w:rFonts w:hint="eastAsia"/>
        </w:rPr>
      </w:pPr>
      <w:r>
        <w:rPr>
          <w:rFonts w:hint="eastAsia"/>
        </w:rPr>
        <w:t>  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rPr>
          <w:rFonts w:hint="eastAsia"/>
        </w:rPr>
      </w:pPr>
      <w:r>
        <w:rPr>
          <w:rFonts w:hint="eastAsia"/>
        </w:rPr>
        <w:t>  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r>
        <w:rPr>
          <w:rFonts w:hint="eastAsia"/>
        </w:rPr>
        <w:br w:type="textWrapping"/>
      </w:r>
      <w:r>
        <w:rPr>
          <w:rFonts w:hint="eastAsia"/>
        </w:rPr>
        <w:t>  本基金的基金管理人定期对本基金面临的利率敏感性缺口进行监控，并通过调整投资组合的久期等方法对上述利率风险进行管理。</w:t>
      </w:r>
      <w:r>
        <w:rPr>
          <w:rFonts w:hint="eastAsia"/>
        </w:rPr>
        <w:br w:type="textWrapping"/>
      </w:r>
      <w:r>
        <w:rPr>
          <w:rFonts w:hint="eastAsia"/>
        </w:rPr>
        <w:t>  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349"/>
        <w:gridCol w:w="1410"/>
        <w:gridCol w:w="1045"/>
        <w:gridCol w:w="1045"/>
        <w:gridCol w:w="1598"/>
        <w:gridCol w:w="1598"/>
      </w:tblGrid>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9,809,605.17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9,809,605.17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144,997.63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144,997.63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17,943.97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17,943.97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174,548,089.69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174,548,089.69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264,291.31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264,291.31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2,277.37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16,383.08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16,383.08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9,972,546.77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174,831,041.45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184,803,588.22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182,542.18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182,542.18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7,158.39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7,158.39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232,872.53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232,872.53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38,812.05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38,812.05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2,280.65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2,280.65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43,958.96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43,958.96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135,001.36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642,626.12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642,626.12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9,972,546.77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174,188,415.33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184,160,962.10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498,198.45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498,198.45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164,372.85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164,372.85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2,440.36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2,440.36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11,910,962.12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11,910,962.12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192.71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665,011.66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11,911,654.83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12,576,666.49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927.66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16,097.84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16,097.84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2,682.95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2,682.95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1,441.89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8,773.86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8,773.86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29,924.20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29,924.20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665,011.66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11,881,730.63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12,546,742.29</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pPr>
      <w:r>
        <w:rPr>
          <w:rFonts w:hint="eastAsia"/>
        </w:rPr>
        <w:t>注：表中所示为本基金资产及负债的账面价值，并按照合约规定的利率重新定价日或到期日孰早者予以分类。</w:t>
      </w:r>
    </w:p>
    <w:p>
      <w:pPr>
        <w:pStyle w:val="15"/>
        <w:rPr>
          <w:rFonts w:hint="eastAsia"/>
        </w:rPr>
      </w:pPr>
      <w:r>
        <w:rPr>
          <w:rFonts w:hint="eastAsia"/>
          <w:b/>
          <w:bCs/>
        </w:rPr>
        <w:t>7.4.13.4.1.2 利率风险的敏感性分析</w:t>
      </w:r>
    </w:p>
    <w:p>
      <w:pPr>
        <w:pStyle w:val="20"/>
        <w:rPr>
          <w:rFonts w:hint="eastAsia"/>
        </w:rPr>
      </w:pPr>
      <w:r>
        <w:rPr>
          <w:rFonts w:hint="eastAsia"/>
        </w:rPr>
        <w:t>于2017年12月31日，本基金未持有交易性债券投资(2016年12月31日：同)，因此市场利率的变动对于本基金资产净值无重大影响(2016年12月31日：同)。</w:t>
      </w:r>
    </w:p>
    <w:p>
      <w:pPr>
        <w:pStyle w:val="15"/>
        <w:rPr>
          <w:rFonts w:hint="eastAsia"/>
        </w:rPr>
      </w:pPr>
      <w:r>
        <w:rPr>
          <w:rFonts w:hint="eastAsia"/>
          <w:b/>
          <w:bCs/>
        </w:rPr>
        <w:t>7.4.13.4.2 外汇风险</w:t>
      </w:r>
    </w:p>
    <w:p>
      <w:pPr>
        <w:pStyle w:val="20"/>
        <w:rPr>
          <w:rFonts w:hint="eastAsia"/>
        </w:rPr>
      </w:pPr>
      <w:r>
        <w:rPr>
          <w:rFonts w:hint="eastAsia"/>
        </w:rPr>
        <w:t>  外汇风险是指金融工具的公允价值或未来现金流量因外汇汇率变动而发生波动的风险。本基金的所有资产及负债以人民币计价，因此无重大外汇风险。</w:t>
      </w:r>
    </w:p>
    <w:p>
      <w:pPr>
        <w:pStyle w:val="15"/>
        <w:rPr>
          <w:rFonts w:hint="eastAsia"/>
        </w:rPr>
      </w:pPr>
      <w:r>
        <w:rPr>
          <w:rFonts w:hint="eastAsia"/>
          <w:b/>
          <w:bCs/>
        </w:rPr>
        <w:t>7.4.13.4.3 其他价格风险</w:t>
      </w:r>
    </w:p>
    <w:p>
      <w:pPr>
        <w:pStyle w:val="20"/>
        <w:rPr>
          <w:rFonts w:hint="eastAsia"/>
        </w:rPr>
      </w:pPr>
      <w:r>
        <w:rPr>
          <w:rFonts w:hint="eastAsia"/>
        </w:rPr>
        <w:t>  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r>
        <w:rPr>
          <w:rFonts w:hint="eastAsia"/>
        </w:rPr>
        <w:br w:type="textWrapping"/>
      </w:r>
      <w:r>
        <w:rPr>
          <w:rFonts w:hint="eastAsia"/>
        </w:rPr>
        <w:t>  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r>
        <w:rPr>
          <w:rFonts w:hint="eastAsia"/>
        </w:rPr>
        <w:br w:type="textWrapping"/>
      </w:r>
      <w:r>
        <w:rPr>
          <w:rFonts w:hint="eastAsia"/>
        </w:rPr>
        <w:t>  </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3249"/>
        <w:gridCol w:w="1806"/>
        <w:gridCol w:w="1083"/>
        <w:gridCol w:w="1171"/>
        <w:gridCol w:w="1736"/>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88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174,548,089.69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11,910,962.12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94.93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交易性金融资产-债券投资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174,548,089.69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11,910,962.12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94.93</w:t>
            </w:r>
          </w:p>
        </w:tc>
      </w:tr>
    </w:tbl>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83"/>
        <w:gridCol w:w="3351"/>
        <w:gridCol w:w="2382"/>
        <w:gridCol w:w="2382"/>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8,942,356.23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629,045.79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-8,942,356.23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-629,045.79</w:t>
            </w:r>
          </w:p>
        </w:tc>
      </w:tr>
    </w:tbl>
    <w:p>
      <w:pPr>
        <w:pStyle w:val="20"/>
        <w:rPr>
          <w:rFonts w:hint="eastAsia"/>
        </w:rPr>
      </w:pPr>
      <w:r>
        <w:rPr>
          <w:rFonts w:hint="eastAsia"/>
        </w:rPr>
        <w:t>本基金的业绩比较基准= 中证800指数收益率×90%＋一年期人民币定期存款利率(税后)×10%</w:t>
      </w:r>
    </w:p>
    <w:p>
      <w:pPr>
        <w:pStyle w:val="15"/>
        <w:rPr>
          <w:rFonts w:hint="eastAsia"/>
        </w:rPr>
      </w:pPr>
      <w:r>
        <w:rPr>
          <w:rFonts w:hint="eastAsia"/>
          <w:b/>
          <w:bCs/>
        </w:rPr>
        <w:t>7.4.14 有助于理解和分析会计报表需要说明的其他事项</w:t>
      </w:r>
    </w:p>
    <w:p>
      <w:pPr>
        <w:pStyle w:val="20"/>
        <w:rPr>
          <w:rFonts w:hint="eastAsia"/>
        </w:rPr>
      </w:pPr>
      <w:r>
        <w:rPr>
          <w:rFonts w:hint="eastAsia"/>
        </w:rPr>
        <w:t>  (1)公允价值</w:t>
      </w:r>
      <w:r>
        <w:rPr>
          <w:rFonts w:hint="eastAsia"/>
        </w:rPr>
        <w:br w:type="textWrapping"/>
      </w:r>
      <w:r>
        <w:rPr>
          <w:rFonts w:hint="eastAsia"/>
        </w:rPr>
        <w:t>  (a)金融工具公允价值计量的方法</w:t>
      </w:r>
      <w:r>
        <w:rPr>
          <w:rFonts w:hint="eastAsia"/>
        </w:rPr>
        <w:br w:type="textWrapping"/>
      </w:r>
      <w:r>
        <w:rPr>
          <w:rFonts w:hint="eastAsia"/>
        </w:rPr>
        <w:t>  公允价值计量结果所属的层次，由对公允价值计量整体而言具有重要意义的输入值所属的最低层次决定：</w:t>
      </w:r>
      <w:r>
        <w:rPr>
          <w:rFonts w:hint="eastAsia"/>
        </w:rPr>
        <w:br w:type="textWrapping"/>
      </w:r>
      <w:r>
        <w:rPr>
          <w:rFonts w:hint="eastAsia"/>
        </w:rPr>
        <w:t>  第一层次：相同资产或负债在活跃市场上未经调整的报价。</w:t>
      </w:r>
      <w:r>
        <w:rPr>
          <w:rFonts w:hint="eastAsia"/>
        </w:rPr>
        <w:br w:type="textWrapping"/>
      </w:r>
      <w:r>
        <w:rPr>
          <w:rFonts w:hint="eastAsia"/>
        </w:rPr>
        <w:t>  第二层次：除第一层次输入值外相关资产或负债直接或间接可观察的输入值。</w:t>
      </w:r>
      <w:r>
        <w:rPr>
          <w:rFonts w:hint="eastAsia"/>
        </w:rPr>
        <w:br w:type="textWrapping"/>
      </w:r>
      <w:r>
        <w:rPr>
          <w:rFonts w:hint="eastAsia"/>
        </w:rPr>
        <w:t>  第三层次：相关资产或负债的不可观察输入值。</w:t>
      </w:r>
      <w:r>
        <w:rPr>
          <w:rFonts w:hint="eastAsia"/>
        </w:rPr>
        <w:br w:type="textWrapping"/>
      </w:r>
      <w:r>
        <w:rPr>
          <w:rFonts w:hint="eastAsia"/>
        </w:rPr>
        <w:t>  (b)持续的以公允价值计量的金融工具</w:t>
      </w:r>
      <w:r>
        <w:rPr>
          <w:rFonts w:hint="eastAsia"/>
        </w:rPr>
        <w:br w:type="textWrapping"/>
      </w:r>
      <w:r>
        <w:rPr>
          <w:rFonts w:hint="eastAsia"/>
        </w:rPr>
        <w:t>  (i)各层次金融工具公允价值</w:t>
      </w:r>
      <w:r>
        <w:rPr>
          <w:rFonts w:hint="eastAsia"/>
        </w:rPr>
        <w:br w:type="textWrapping"/>
      </w:r>
      <w:r>
        <w:rPr>
          <w:rFonts w:hint="eastAsia"/>
        </w:rPr>
        <w:t>  于2017年12月31日，本基金持有的以公允价值计量且其变动计入当期损益的金融资产中属于第一层次的余额为174,412,595.03元，属于第二层次的余额为135,494.66元，无属于第三层次的余额(2016年12月31日：第一层次11,651,026.12元，第二层次259,936.00元，无第三层次)。</w:t>
      </w:r>
      <w:r>
        <w:rPr>
          <w:rFonts w:hint="eastAsia"/>
        </w:rPr>
        <w:br w:type="textWrapping"/>
      </w:r>
      <w:r>
        <w:rPr>
          <w:rFonts w:hint="eastAsia"/>
        </w:rPr>
        <w:t>  (ii)公允价值所属层次间的重大变动</w:t>
      </w:r>
      <w:r>
        <w:rPr>
          <w:rFonts w:hint="eastAsia"/>
        </w:rPr>
        <w:br w:type="textWrapping"/>
      </w:r>
      <w:r>
        <w:rPr>
          <w:rFonts w:hint="eastAsia"/>
        </w:rPr>
        <w:t>  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r>
        <w:rPr>
          <w:rFonts w:hint="eastAsia"/>
        </w:rPr>
        <w:br w:type="textWrapping"/>
      </w:r>
      <w:r>
        <w:rPr>
          <w:rFonts w:hint="eastAsia"/>
        </w:rPr>
        <w:t>  (iii)第三层次公允价值余额和本期变动金额</w:t>
      </w:r>
      <w:r>
        <w:rPr>
          <w:rFonts w:hint="eastAsia"/>
        </w:rPr>
        <w:br w:type="textWrapping"/>
      </w:r>
      <w:r>
        <w:rPr>
          <w:rFonts w:hint="eastAsia"/>
        </w:rPr>
        <w:t>  无。</w:t>
      </w:r>
      <w:r>
        <w:rPr>
          <w:rFonts w:hint="eastAsia"/>
        </w:rPr>
        <w:br w:type="textWrapping"/>
      </w:r>
      <w:r>
        <w:rPr>
          <w:rFonts w:hint="eastAsia"/>
        </w:rPr>
        <w:t>  (c)非持续的以公允价值计量的金融工具</w:t>
      </w:r>
      <w:r>
        <w:rPr>
          <w:rFonts w:hint="eastAsia"/>
        </w:rPr>
        <w:br w:type="textWrapping"/>
      </w:r>
      <w:r>
        <w:rPr>
          <w:rFonts w:hint="eastAsia"/>
        </w:rPr>
        <w:t>  于2017年12月31日，本基金未持有非持续的以公允价值计量的金融资产(2016年12月31日：同)。</w:t>
      </w:r>
      <w:r>
        <w:rPr>
          <w:rFonts w:hint="eastAsia"/>
        </w:rPr>
        <w:br w:type="textWrapping"/>
      </w:r>
      <w:r>
        <w:rPr>
          <w:rFonts w:hint="eastAsia"/>
        </w:rPr>
        <w:t>  (d)不以公允价值计量的金融工具</w:t>
      </w:r>
      <w:r>
        <w:rPr>
          <w:rFonts w:hint="eastAsia"/>
        </w:rPr>
        <w:br w:type="textWrapping"/>
      </w:r>
      <w:r>
        <w:rPr>
          <w:rFonts w:hint="eastAsia"/>
        </w:rPr>
        <w:t>  不以公允价值计量的金融资产和负债主要包括应收款项和其他金融负债，其账面价值与公允价值相差很小。</w:t>
      </w:r>
      <w:r>
        <w:rPr>
          <w:rFonts w:hint="eastAsia"/>
        </w:rPr>
        <w:br w:type="textWrapping"/>
      </w:r>
      <w:r>
        <w:rPr>
          <w:rFonts w:hint="eastAsia"/>
        </w:rPr>
        <w:t>  (2)增值税</w:t>
      </w:r>
      <w:r>
        <w:rPr>
          <w:rFonts w:hint="eastAsia"/>
        </w:rPr>
        <w:br w:type="textWrapping"/>
      </w:r>
      <w:r>
        <w:rPr>
          <w:rFonts w:hint="eastAsia"/>
        </w:rPr>
        <w:t>  根据财政部、国家税务总局于2016年12月21日颁布的财税[2016]140号《关于明确金融 房地产开发 教育辅助服务等增值税政策的通知》的规定，资管产品运营过程中发生的增值税应税行为，以资管产品管理人为增值税纳税人。</w:t>
      </w:r>
      <w:r>
        <w:rPr>
          <w:rFonts w:hint="eastAsia"/>
        </w:rPr>
        <w:br w:type="textWrapping"/>
      </w:r>
      <w:r>
        <w:rPr>
          <w:rFonts w:hint="eastAsia"/>
        </w:rPr>
        <w:t>  根据财政部、国家税务总局于2017年6月30日颁布的财税[2017]56号《关于资管产品增值税有关问题的通知》的规定，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r>
        <w:rPr>
          <w:rFonts w:hint="eastAsia"/>
        </w:rPr>
        <w:br w:type="textWrapping"/>
      </w:r>
      <w:r>
        <w:rPr>
          <w:rFonts w:hint="eastAsia"/>
        </w:rPr>
        <w:t>  此外，财政部、国家税务总局于2017年12月25日颁布的财税[2017]90号《关于租入固定资产进行税额抵扣等增值税政策的通知》对资管产品管理人自2018年1月1日起运营资管产品提供的贷款服务、发生的部分金融商品转让业务的销售额确定做出规定。</w:t>
      </w:r>
      <w:r>
        <w:rPr>
          <w:rFonts w:hint="eastAsia"/>
        </w:rPr>
        <w:br w:type="textWrapping"/>
      </w:r>
      <w:r>
        <w:rPr>
          <w:rFonts w:hint="eastAsia"/>
        </w:rPr>
        <w:t>  上述税收政策对本基金截至2017年12月31日止的财务状况和经营成果无影响。</w:t>
      </w:r>
      <w:r>
        <w:rPr>
          <w:rFonts w:hint="eastAsia"/>
        </w:rPr>
        <w:br w:type="textWrapping"/>
      </w:r>
      <w:r>
        <w:rPr>
          <w:rFonts w:hint="eastAsia"/>
        </w:rPr>
        <w:t>  (3)除公允价值和增值税外，截至资产负债表日本基金无需要说明的其他重要事项。</w:t>
      </w:r>
    </w:p>
    <w:p>
      <w:pPr>
        <w:pStyle w:val="13"/>
        <w:rPr>
          <w:rFonts w:hint="eastAsia"/>
        </w:rPr>
      </w:pPr>
      <w:bookmarkStart w:id="35" w:name="_Toc510100513"/>
      <w:r>
        <w:rPr>
          <w:rFonts w:hint="eastAsia" w:hAnsi="Calibri"/>
          <w:b/>
          <w:color w:val="000000"/>
        </w:rPr>
        <w:t>§8 投资组合报告</w:t>
      </w:r>
      <w:bookmarkEnd w:id="35"/>
    </w:p>
    <w:p>
      <w:pPr>
        <w:pStyle w:val="14"/>
        <w:rPr>
          <w:rFonts w:hint="eastAsia"/>
        </w:rPr>
      </w:pPr>
      <w:bookmarkStart w:id="36" w:name="_Toc510100514"/>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174,548,089.69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94.45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174,548,089.69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94.45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9,954,602.80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300,895.73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184,803,588.22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pStyle w:val="14"/>
        <w:rPr>
          <w:rFonts w:hint="eastAsia"/>
        </w:rPr>
      </w:pPr>
      <w:bookmarkStart w:id="37" w:name="_Toc510100515"/>
      <w:r>
        <w:rPr>
          <w:rFonts w:hint="eastAsia"/>
          <w:b/>
          <w:bCs/>
        </w:rPr>
        <w:t>8.2 报告期末按行业分类的股票投资组合</w:t>
      </w:r>
      <w:bookmarkEnd w:id="37"/>
    </w:p>
    <w:p>
      <w:pPr>
        <w:pStyle w:val="15"/>
        <w:rPr>
          <w:rFonts w:hint="eastAsia"/>
        </w:rPr>
      </w:pPr>
      <w:r>
        <w:rPr>
          <w:rFonts w:hint="eastAsia"/>
          <w:b/>
          <w:bCs/>
        </w:rPr>
        <w:t>8.2.1 报告期末按行业分类的境内股票投资组合</w:t>
      </w:r>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78,925,613.13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42.86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16,878.20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43,792,264.57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23.78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10,526,639.12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7,092,091.30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9,933,493.90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24,248,819.47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174,548,089.69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94.78</w:t>
            </w:r>
          </w:p>
        </w:tc>
      </w:tr>
    </w:tbl>
    <w:p>
      <w:pPr>
        <w:rPr>
          <w:vanish/>
        </w:rPr>
      </w:pPr>
    </w:p>
    <w:tbl>
      <w:tblPr>
        <w:tblStyle w:val="7"/>
        <w:tblW w:w="0" w:type="dxa"/>
        <w:tblInd w:w="108"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wBefore w:w="0" w:type="auto"/>
        </w:trPr>
        <w:tc>
          <w:tcPr>
            <w:tcW w:w="0" w:type="auto"/>
            <w:noWrap w:val="0"/>
            <w:vAlign w:val="center"/>
          </w:tcPr>
          <w:p>
            <w:pPr>
              <w:rPr>
                <w:rFonts w:hint="eastAsia" w:ascii="宋体" w:hAnsi="宋体" w:cs="宋体"/>
                <w:kern w:val="0"/>
                <w:sz w:val="24"/>
                <w:szCs w:val="24"/>
              </w:rPr>
            </w:pPr>
          </w:p>
        </w:tc>
      </w:tr>
    </w:tbl>
    <w:p>
      <w:pPr>
        <w:pStyle w:val="14"/>
      </w:pPr>
      <w:bookmarkStart w:id="38" w:name="_Toc510100516"/>
      <w:r>
        <w:rPr>
          <w:rFonts w:hint="eastAsia"/>
          <w:b/>
          <w:bCs/>
        </w:rPr>
        <w:t>8.3 期末按公允价值占基金资产净值比例大小排序的所有股票投资明细</w:t>
      </w:r>
      <w:bookmarkEnd w:id="38"/>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6"/>
        <w:gridCol w:w="1650"/>
        <w:gridCol w:w="1650"/>
        <w:gridCol w:w="1731"/>
        <w:gridCol w:w="1650"/>
        <w:gridCol w:w="16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2,350,340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17,486,529.60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长安汽车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1,332,140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16,784,964.00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1,339,320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11,370,826.80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一汽轿车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1,031,289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11,096,669.64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11,011,616.00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10,161,800.00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中青旅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9,933,493.90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江铃汽车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9,444,708.00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黄山旅游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658,745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9,400,291.15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烽火通信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8,185,586.58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世联行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7,092,091.30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春秋航空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6,712,066.11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吉祥航空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425,860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6,511,399.40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鹏博士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5,911,436.57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4,622,755.15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人民网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4,581,090.00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兴森科技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3,917,439.00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喜临门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3,882,900.00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广深铁路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3,870,593.00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3,656,159.30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大唐电信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3,063,733.40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外运发展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1,850,688.00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峨眉山Ａ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1,819,053.00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三特索道</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1,626,325.32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德赛西威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178,784.97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光弘科技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49,012.34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中欣氟材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38,181.15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振静股份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科创信息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34,112.55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鹏鹞环保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名臣健康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28,948.46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伊戈尔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22,248.15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19,614.46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上海雅仕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17,942.76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苏宁云商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中石科技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11,528.38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恒瑞医药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8,277.60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朗博科技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8,193.30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中国核电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bl>
    <w:p>
      <w:pPr>
        <w:pStyle w:val="14"/>
        <w:rPr>
          <w:rFonts w:hint="eastAsia"/>
        </w:rPr>
      </w:pPr>
      <w:bookmarkStart w:id="39" w:name="_Toc510100517"/>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22,370,471.98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长安汽车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21,894,204.88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15,361,625.00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江铃汽车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13,514,698.40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一汽轿车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11,089,903.90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10,347,615.20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黄山旅游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9,779,318.50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中青旅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9,760,770.38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烽火通信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9,432,211.21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8,743,472.63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8,531,628.00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中国核电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8,290,359.95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恒瑞医药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7,837,912.94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7,728,791.00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7,081,559.00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世联行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6,879,250.80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吉祥航空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6,857,117.40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鹏博士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6,822,413.49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人民网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6,727,766.28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春秋航空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6,424,526.66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6,416,013.00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6,320,763.55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5,096,255.42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大唐电信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4,275,511.05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兴森科技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4,026,320.00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中国联通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3,791,326.00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广深铁路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3,650,863.00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喜临门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3,372,766.00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海澜之家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3,267,301.00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三特索道</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2,086,503.00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外运发展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1,835,578.00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峨眉山Ａ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1,773,361.00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张家界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1,392,309.00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老板电器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1,163,194.00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515,762.00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w:t>
            </w:r>
          </w:p>
        </w:tc>
      </w:tr>
    </w:tbl>
    <w:p>
      <w:pPr>
        <w:pStyle w:val="20"/>
        <w:rPr>
          <w:rFonts w:hint="eastAsia"/>
        </w:rPr>
      </w:pPr>
      <w:r>
        <w:rPr>
          <w:rFonts w:hint="eastAsia"/>
        </w:rPr>
        <w:t>注：本期累计买入金额按买卖成交金额,不考虑相关交易费用。</w:t>
      </w: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19,832,197.63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17,904,303.32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中国核电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9,287,921.30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9,117,050.75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恒瑞医药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8,765,096.67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7,602,087.18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中国联通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5,012,399.83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4,545,379.94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海澜之家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3,543,495.06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3,393,175.18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3,184,584.47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老板电器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2,316,013.12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长安汽车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2,156,052.60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张家界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1,486,848.23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烽火通信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1,207,787.04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1,199,688.00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1,077,321.87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515,162.96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森马服饰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342,252.86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光威复材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338,893.20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338,879.00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深南电路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265,075.20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w:t>
            </w:r>
          </w:p>
        </w:tc>
      </w:tr>
    </w:tbl>
    <w:p>
      <w:pPr>
        <w:pStyle w:val="20"/>
        <w:rPr>
          <w:rFonts w:hint="eastAsia"/>
        </w:rPr>
      </w:pPr>
      <w:r>
        <w:rPr>
          <w:rFonts w:hint="eastAsia"/>
        </w:rPr>
        <w:t>注：本期累计卖出金额按买卖成交金额,不考虑相关交易费用。</w:t>
      </w: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259,367,659.01</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116,610,294.60</w:t>
            </w:r>
          </w:p>
        </w:tc>
      </w:tr>
    </w:tbl>
    <w:p>
      <w:pPr>
        <w:pStyle w:val="20"/>
        <w:rPr>
          <w:rFonts w:hint="eastAsia"/>
        </w:rPr>
      </w:pPr>
      <w:r>
        <w:rPr>
          <w:rFonts w:hint="eastAsia"/>
        </w:rPr>
        <w:t>注：买入股票成本、卖出股票收入均按买卖成交金额填列，不考虑相关交易费用。</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4"/>
      </w:pPr>
      <w:bookmarkStart w:id="40" w:name="_Toc510100518"/>
      <w:r>
        <w:rPr>
          <w:rFonts w:hint="eastAsia"/>
          <w:b/>
          <w:bCs/>
        </w:rPr>
        <w:t>8.7 期末按公允价值占基金资产净值比例大小排序的所有资产支持证券投资明细</w:t>
      </w:r>
      <w:bookmarkEnd w:id="40"/>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本基金本报告期末未持有资产支持证券。</w:t>
      </w:r>
    </w:p>
    <w:p>
      <w:pPr>
        <w:pStyle w:val="14"/>
        <w:rPr>
          <w:rFonts w:hint="eastAsia"/>
        </w:rPr>
      </w:pPr>
      <w:bookmarkStart w:id="41" w:name="_Toc510100519"/>
      <w:r>
        <w:rPr>
          <w:rFonts w:hint="eastAsia"/>
          <w:b/>
          <w:bCs/>
        </w:rPr>
        <w:t>8.8 报告期末按公允价值占基金资产净值比例大小排序的前五名贵金属投资明细</w:t>
      </w:r>
      <w:bookmarkEnd w:id="41"/>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pStyle w:val="14"/>
        <w:rPr>
          <w:rFonts w:hint="eastAsia"/>
        </w:rPr>
      </w:pPr>
      <w:bookmarkStart w:id="42" w:name="_Toc510100520"/>
      <w:r>
        <w:rPr>
          <w:rFonts w:hint="eastAsia"/>
          <w:b/>
          <w:bCs/>
        </w:rPr>
        <w:t>8.9 期末按公允价值占基金资产净值比例大小排序的前五名权证投资明细</w:t>
      </w:r>
      <w:bookmarkEnd w:id="42"/>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pStyle w:val="14"/>
        <w:rPr>
          <w:rFonts w:hint="eastAsia"/>
        </w:rPr>
      </w:pPr>
      <w:bookmarkStart w:id="43" w:name="_Toc510100521"/>
      <w:r>
        <w:rPr>
          <w:rFonts w:hint="eastAsia"/>
          <w:b/>
          <w:bCs/>
        </w:rPr>
        <w:t>8.10 报告期末本基金投资的股指期货交易情况说明</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4" w:name="_Toc510100522"/>
      <w:r>
        <w:rPr>
          <w:rFonts w:hint="eastAsia"/>
          <w:b/>
          <w:bCs/>
        </w:rPr>
        <w:t>8.11 报告期末本基金投资的国债期货交易情况说明</w:t>
      </w:r>
      <w:bookmarkEnd w:id="44"/>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20"/>
      </w:pPr>
      <w:r>
        <w:rPr>
          <w:rFonts w:hint="eastAsia"/>
        </w:rPr>
        <w:t>本基金本报告期未投资国债期货。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5" w:name="_Toc510100523"/>
      <w:r>
        <w:rPr>
          <w:rFonts w:hint="eastAsia"/>
          <w:b/>
          <w:bCs/>
        </w:rPr>
        <w:t>8.12 投资组合报告附注</w:t>
      </w:r>
      <w:bookmarkEnd w:id="45"/>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17,943.97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264,291.31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2,277.37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16,383.08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300,895.73</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本基金本报告期末未持有处于转股期的可转换债券。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8.12.5 期末前十名股票中存在流通受限情况的说明</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本基金本报告期末前十名股票不存在流通受限的情况。</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3"/>
        <w:rPr>
          <w:rFonts w:hint="eastAsia"/>
        </w:rPr>
      </w:pPr>
      <w:bookmarkStart w:id="46" w:name="_Toc510100524"/>
      <w:r>
        <w:rPr>
          <w:rFonts w:hint="eastAsia" w:hAnsi="Calibri"/>
          <w:b/>
          <w:color w:val="000000"/>
        </w:rPr>
        <w:t>§9  基金份额持有人信息</w:t>
      </w:r>
      <w:bookmarkEnd w:id="46"/>
    </w:p>
    <w:p>
      <w:pPr>
        <w:pStyle w:val="14"/>
        <w:rPr>
          <w:rFonts w:hint="eastAsia"/>
        </w:rPr>
      </w:pPr>
      <w:bookmarkStart w:id="47" w:name="_Toc510100525"/>
      <w:r>
        <w:rPr>
          <w:rFonts w:hint="eastAsia"/>
          <w:b/>
          <w:bCs/>
        </w:rPr>
        <w:t>9.1 期末基金份额持有人户数及持有人结构</w:t>
      </w:r>
      <w:bookmarkEnd w:id="47"/>
    </w:p>
    <w:p>
      <w:pPr>
        <w:pStyle w:val="19"/>
        <w:rPr>
          <w:rFonts w:hint="eastAsia"/>
        </w:rPr>
      </w:pPr>
      <w:r>
        <w:rPr>
          <w:rFonts w:hint="eastAsia" w:hAnsi="Calibri"/>
          <w:color w:val="000000"/>
        </w:rPr>
        <w:t>份额单位：份</w:t>
      </w:r>
    </w:p>
    <w:tbl>
      <w:tblPr>
        <w:tblStyle w:val="7"/>
        <w:tblW w:w="9045" w:type="dxa"/>
        <w:jc w:val="center"/>
        <w:tblLayout w:type="autofit"/>
        <w:tblCellMar>
          <w:top w:w="0" w:type="dxa"/>
          <w:left w:w="108" w:type="dxa"/>
          <w:bottom w:w="0" w:type="dxa"/>
          <w:right w:w="108" w:type="dxa"/>
        </w:tblCellMar>
      </w:tblPr>
      <w:tblGrid>
        <w:gridCol w:w="904"/>
        <w:gridCol w:w="904"/>
        <w:gridCol w:w="1809"/>
        <w:gridCol w:w="1809"/>
        <w:gridCol w:w="905"/>
        <w:gridCol w:w="1809"/>
        <w:gridCol w:w="905"/>
      </w:tblGrid>
      <w:tr>
        <w:tblPrEx>
          <w:tblCellMar>
            <w:top w:w="0" w:type="dxa"/>
            <w:left w:w="108" w:type="dxa"/>
            <w:bottom w:w="0" w:type="dxa"/>
            <w:right w:w="108" w:type="dxa"/>
          </w:tblCellMar>
        </w:tblPrEx>
        <w:trPr>
          <w:wBefore w:w="0" w:type="auto"/>
          <w:jc w:val="center"/>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0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354,197.59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151,569,728.96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6,048,196.90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7,764.73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3,000,270.00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1,386,800.19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31.61%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168,229.49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154,569,998.96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7,434,997.09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4.59%</w:t>
            </w:r>
          </w:p>
        </w:tc>
      </w:tr>
    </w:tbl>
    <w:p>
      <w:pPr>
        <w:widowControl/>
        <w:jc w:val="left"/>
        <w:rPr>
          <w:rFonts w:hint="eastAsia" w:ascii="宋体" w:hAnsi="宋体" w:cs="宋体"/>
          <w:kern w:val="0"/>
          <w:sz w:val="24"/>
          <w:szCs w:val="24"/>
        </w:rPr>
      </w:pPr>
    </w:p>
    <w:p>
      <w:pPr>
        <w:pStyle w:val="14"/>
        <w:rPr>
          <w:rFonts w:hint="eastAsia"/>
        </w:rPr>
      </w:pPr>
      <w:bookmarkStart w:id="48" w:name="_Toc510100526"/>
      <w:r>
        <w:rPr>
          <w:rFonts w:hint="eastAsia" w:hAnsi="Calibri"/>
          <w:b/>
          <w:color w:val="000000"/>
        </w:rPr>
        <w:t>9.2期末基金管理人的从业人员持有本基金的情况</w:t>
      </w:r>
      <w:bookmarkEnd w:id="48"/>
    </w:p>
    <w:tbl>
      <w:tblPr>
        <w:tblStyle w:val="7"/>
        <w:tblW w:w="9045" w:type="dxa"/>
        <w:jc w:val="center"/>
        <w:tblLayout w:type="autofit"/>
        <w:tblCellMar>
          <w:top w:w="0" w:type="dxa"/>
          <w:left w:w="108" w:type="dxa"/>
          <w:bottom w:w="0" w:type="dxa"/>
          <w:right w:w="108" w:type="dxa"/>
        </w:tblCellMar>
      </w:tblPr>
      <w:tblGrid>
        <w:gridCol w:w="3048"/>
        <w:gridCol w:w="2103"/>
        <w:gridCol w:w="1924"/>
        <w:gridCol w:w="1970"/>
      </w:tblGrid>
      <w:tr>
        <w:tblPrEx>
          <w:tblCellMar>
            <w:top w:w="0" w:type="dxa"/>
            <w:left w:w="108" w:type="dxa"/>
            <w:bottom w:w="0" w:type="dxa"/>
            <w:right w:w="108" w:type="dxa"/>
          </w:tblCellMar>
        </w:tblPrEx>
        <w:trPr>
          <w:wBefore w:w="0" w:type="auto"/>
          <w:jc w:val="center"/>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3,798,451.40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14,108.84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0.3200%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3,812,560.24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2.3500%</w:t>
            </w:r>
          </w:p>
        </w:tc>
      </w:tr>
    </w:tbl>
    <w:p>
      <w:pPr>
        <w:widowControl/>
        <w:jc w:val="left"/>
        <w:rPr>
          <w:rFonts w:hint="eastAsia" w:ascii="宋体" w:hAnsi="宋体" w:cs="宋体"/>
          <w:kern w:val="0"/>
          <w:sz w:val="24"/>
          <w:szCs w:val="24"/>
        </w:rPr>
      </w:pPr>
    </w:p>
    <w:p>
      <w:pPr>
        <w:pStyle w:val="14"/>
        <w:rPr>
          <w:rFonts w:hint="eastAsia"/>
        </w:rPr>
      </w:pPr>
      <w:bookmarkStart w:id="49" w:name="_Toc510100527"/>
      <w:r>
        <w:rPr>
          <w:rFonts w:hint="eastAsia"/>
          <w:b/>
          <w:bCs/>
        </w:rPr>
        <w:t>9.3期末基金管理人的从业人员持有本开放式基金份额总量区间情况</w:t>
      </w:r>
      <w:bookmarkEnd w:id="49"/>
    </w:p>
    <w:tbl>
      <w:tblPr>
        <w:tblStyle w:val="7"/>
        <w:tblW w:w="9045" w:type="dxa"/>
        <w:jc w:val="center"/>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jc w:val="center"/>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&gt;100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&gt;100</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&gt;100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&gt;100</w:t>
            </w:r>
          </w:p>
        </w:tc>
      </w:tr>
    </w:tbl>
    <w:p>
      <w:pPr>
        <w:pStyle w:val="14"/>
        <w:rPr>
          <w:rFonts w:hint="eastAsia"/>
        </w:rPr>
      </w:pPr>
      <w:bookmarkStart w:id="50" w:name="_Toc510100528"/>
      <w:r>
        <w:rPr>
          <w:rFonts w:hint="eastAsia"/>
          <w:b/>
          <w:bCs/>
        </w:rPr>
        <w:t>9.4发起式基金发起资金持有份额情况</w:t>
      </w:r>
      <w:bookmarkEnd w:id="50"/>
    </w:p>
    <w:tbl>
      <w:tblPr>
        <w:tblStyle w:val="7"/>
        <w:tblW w:w="9045" w:type="dxa"/>
        <w:tblInd w:w="108" w:type="dxa"/>
        <w:tblLayout w:type="autofit"/>
        <w:tblCellMar>
          <w:top w:w="0" w:type="dxa"/>
          <w:left w:w="108" w:type="dxa"/>
          <w:bottom w:w="0" w:type="dxa"/>
          <w:right w:w="108" w:type="dxa"/>
        </w:tblCellMar>
      </w:tblPr>
      <w:tblGrid>
        <w:gridCol w:w="2808"/>
        <w:gridCol w:w="1757"/>
        <w:gridCol w:w="1126"/>
        <w:gridCol w:w="1757"/>
        <w:gridCol w:w="1126"/>
        <w:gridCol w:w="471"/>
      </w:tblGrid>
      <w:tr>
        <w:tblPrEx>
          <w:tblCellMar>
            <w:top w:w="0" w:type="dxa"/>
            <w:left w:w="108" w:type="dxa"/>
            <w:bottom w:w="0" w:type="dxa"/>
            <w:right w:w="108" w:type="dxa"/>
          </w:tblCellMar>
        </w:tblPrEx>
        <w:trPr>
          <w:wBefore w:w="0" w:type="auto"/>
        </w:trPr>
        <w:tc>
          <w:tcPr>
            <w:tcW w:w="24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持有份额占基金总份额比例(%)</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发起份额承诺持有期限</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基金管理人固有资金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8,000,720.09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8,000,720.09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基金管理人高级管理人员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基金经理等人员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3,780,619.50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2,001,178.45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基金管理人股东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11,781,339.59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10,001,898.54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bl>
    <w:p>
      <w:pPr>
        <w:pStyle w:val="13"/>
        <w:rPr>
          <w:rFonts w:hint="eastAsia"/>
        </w:rPr>
      </w:pPr>
      <w:bookmarkStart w:id="51" w:name="_Toc510100529"/>
      <w:r>
        <w:rPr>
          <w:rFonts w:hint="eastAsia" w:hAnsi="Calibri"/>
          <w:b/>
          <w:color w:val="000000"/>
        </w:rPr>
        <w:t>§10  开放式基金份额变动</w:t>
      </w:r>
      <w:bookmarkEnd w:id="51"/>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创金合信优价成长股票A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创金合信优价成长股票C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基金合同生效日(2016年11月02日)基金份额总额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7,106,920.17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3,080,802.48</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9,450,982.01</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3,383,235.78</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151,674,720.44</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7,380,065.77</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3,507,776.59</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6,376,231.36</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157,617,925.86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4,387,070.19</w:t>
            </w:r>
          </w:p>
        </w:tc>
      </w:tr>
    </w:tbl>
    <w:p>
      <w:pPr>
        <w:pStyle w:val="13"/>
        <w:rPr>
          <w:rFonts w:hint="eastAsia"/>
        </w:rPr>
      </w:pPr>
      <w:bookmarkStart w:id="52" w:name="_Toc510100530"/>
      <w:r>
        <w:rPr>
          <w:rFonts w:hint="eastAsia" w:hAnsi="Calibri"/>
          <w:b/>
          <w:color w:val="000000"/>
        </w:rPr>
        <w:t>§11  重大事件揭示</w:t>
      </w:r>
      <w:bookmarkEnd w:id="52"/>
    </w:p>
    <w:p>
      <w:pPr>
        <w:widowControl/>
        <w:jc w:val="left"/>
        <w:rPr>
          <w:rFonts w:hint="eastAsia" w:ascii="宋体" w:hAnsi="宋体" w:cs="宋体"/>
          <w:kern w:val="0"/>
          <w:sz w:val="24"/>
          <w:szCs w:val="24"/>
        </w:rPr>
      </w:pPr>
    </w:p>
    <w:p>
      <w:pPr>
        <w:pStyle w:val="14"/>
        <w:rPr>
          <w:rFonts w:hint="eastAsia"/>
        </w:rPr>
      </w:pPr>
      <w:bookmarkStart w:id="53" w:name="_Toc510100531"/>
      <w:r>
        <w:rPr>
          <w:rFonts w:hint="eastAsia"/>
          <w:b/>
          <w:bCs/>
        </w:rPr>
        <w:t>11.1 基金份额持有人大会决议</w:t>
      </w:r>
      <w:bookmarkEnd w:id="53"/>
    </w:p>
    <w:p>
      <w:pPr>
        <w:pStyle w:val="20"/>
        <w:rPr>
          <w:rFonts w:hint="eastAsia"/>
        </w:rPr>
      </w:pPr>
      <w:r>
        <w:rPr>
          <w:rFonts w:hint="eastAsia"/>
        </w:rPr>
        <w:t>  本报告期内未召开基金份额持有人大会。</w:t>
      </w:r>
    </w:p>
    <w:p>
      <w:pPr>
        <w:pStyle w:val="14"/>
        <w:rPr>
          <w:rFonts w:hint="eastAsia"/>
        </w:rPr>
      </w:pPr>
      <w:bookmarkStart w:id="54" w:name="_Toc510100532"/>
      <w:r>
        <w:rPr>
          <w:rFonts w:hint="eastAsia"/>
          <w:b/>
          <w:bCs/>
        </w:rPr>
        <w:t>11.2 基金管理人、基金托管人的专门基金托管部门的重大人事变动</w:t>
      </w:r>
      <w:bookmarkEnd w:id="54"/>
    </w:p>
    <w:p>
      <w:pPr>
        <w:pStyle w:val="20"/>
        <w:rPr>
          <w:rFonts w:hint="eastAsia"/>
        </w:rPr>
      </w:pPr>
      <w:r>
        <w:rPr>
          <w:rFonts w:hint="eastAsia"/>
        </w:rPr>
        <w:t>  本报告期内基金管理人、基金托管人的专门基金托管部门无重大人事变动。</w:t>
      </w:r>
    </w:p>
    <w:p>
      <w:pPr>
        <w:pStyle w:val="14"/>
        <w:rPr>
          <w:rFonts w:hint="eastAsia"/>
        </w:rPr>
      </w:pPr>
      <w:bookmarkStart w:id="55" w:name="_Toc510100533"/>
      <w:r>
        <w:rPr>
          <w:rFonts w:hint="eastAsia"/>
          <w:b/>
          <w:bCs/>
        </w:rPr>
        <w:t>11.3 涉及基金管理人、基金财产、基金托管业务的诉讼</w:t>
      </w:r>
      <w:bookmarkEnd w:id="55"/>
    </w:p>
    <w:p>
      <w:pPr>
        <w:pStyle w:val="20"/>
        <w:rPr>
          <w:rFonts w:hint="eastAsia"/>
        </w:rPr>
      </w:pPr>
      <w:r>
        <w:rPr>
          <w:rFonts w:hint="eastAsia"/>
        </w:rPr>
        <w:t>  本报告期内，未出现涉及基金管理人、基金财产、基金托管业务的诉讼。</w:t>
      </w:r>
    </w:p>
    <w:p>
      <w:pPr>
        <w:pStyle w:val="14"/>
        <w:rPr>
          <w:rFonts w:hint="eastAsia"/>
        </w:rPr>
      </w:pPr>
      <w:bookmarkStart w:id="56" w:name="_Toc510100534"/>
      <w:r>
        <w:rPr>
          <w:rFonts w:hint="eastAsia"/>
          <w:b/>
          <w:bCs/>
        </w:rPr>
        <w:t>11.4 基金投资策略的改变</w:t>
      </w:r>
      <w:bookmarkEnd w:id="56"/>
    </w:p>
    <w:p>
      <w:pPr>
        <w:pStyle w:val="20"/>
        <w:rPr>
          <w:rFonts w:hint="eastAsia"/>
        </w:rPr>
      </w:pPr>
      <w:r>
        <w:rPr>
          <w:rFonts w:hint="eastAsia"/>
        </w:rPr>
        <w:t>  本报告期内基金投资策略无重大改变。</w:t>
      </w:r>
    </w:p>
    <w:p>
      <w:pPr>
        <w:pStyle w:val="14"/>
        <w:rPr>
          <w:rFonts w:hint="eastAsia"/>
        </w:rPr>
      </w:pPr>
      <w:bookmarkStart w:id="57" w:name="_Toc510100535"/>
      <w:r>
        <w:rPr>
          <w:rFonts w:hint="eastAsia"/>
          <w:b/>
          <w:bCs/>
        </w:rPr>
        <w:t>11.5 为基金进行审计的会计师事务所情况</w:t>
      </w:r>
      <w:bookmarkEnd w:id="57"/>
    </w:p>
    <w:p>
      <w:pPr>
        <w:pStyle w:val="20"/>
        <w:rPr>
          <w:rFonts w:hint="eastAsia"/>
        </w:rPr>
      </w:pPr>
      <w:r>
        <w:rPr>
          <w:rFonts w:hint="eastAsia"/>
        </w:rPr>
        <w:t>  本报告期内本基金未更换会计师事务所,本年度支付给普华永道中天会计师事务所(特殊普通合伙)审计费用35,000.00元,该审计机构连续提供审计服务的年限为1年。 </w:t>
      </w:r>
    </w:p>
    <w:p>
      <w:pPr>
        <w:pStyle w:val="14"/>
        <w:rPr>
          <w:rFonts w:hint="eastAsia"/>
        </w:rPr>
      </w:pPr>
      <w:bookmarkStart w:id="58" w:name="_Toc510100536"/>
      <w:r>
        <w:rPr>
          <w:rFonts w:hint="eastAsia"/>
          <w:b/>
          <w:bCs/>
        </w:rPr>
        <w:t>11.6 管理人、托管人及其高级管理人员受稽查或处罚等情况</w:t>
      </w:r>
      <w:bookmarkEnd w:id="58"/>
    </w:p>
    <w:p>
      <w:pPr>
        <w:pStyle w:val="20"/>
        <w:rPr>
          <w:rFonts w:hint="eastAsia"/>
        </w:rPr>
      </w:pPr>
      <w:r>
        <w:rPr>
          <w:rFonts w:hint="eastAsia"/>
        </w:rPr>
        <w:t>  本报告期内，未出现管理人、托管人及其高级管理人员受监管部门稽查或处罚的情况。</w:t>
      </w:r>
    </w:p>
    <w:p>
      <w:pPr>
        <w:pStyle w:val="14"/>
        <w:rPr>
          <w:rFonts w:hint="eastAsia"/>
        </w:rPr>
      </w:pPr>
      <w:bookmarkStart w:id="59" w:name="_Toc510100537"/>
      <w:r>
        <w:rPr>
          <w:rFonts w:hint="eastAsia"/>
          <w:b/>
          <w:bCs/>
        </w:rPr>
        <w:t>11.7 基金租用证券公司交易单元的有关情况</w:t>
      </w:r>
      <w:bookmarkEnd w:id="59"/>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152"/>
        <w:gridCol w:w="1080"/>
        <w:gridCol w:w="1733"/>
        <w:gridCol w:w="1050"/>
        <w:gridCol w:w="1299"/>
        <w:gridCol w:w="1050"/>
        <w:gridCol w:w="681"/>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08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30,126,785.51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21,663.77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1,371,791.40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995.87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31,336,156.49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22,801.19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20,475,110.29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14,712.45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1,162,246.66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843.29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283,069,772.32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204,197.39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3,527,875.55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2,543.29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银河证券、光大证券、东吴证券、中信证券、长江证券、天风证券、国泰君安、安信证券、太平洋证券、兴业证券、平安证券、广发证券、申万宏源、西藏东方财富证券、华泰证券、中投证券、广州证券18家券商的36个交易单元。</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150"/>
        <w:gridCol w:w="629"/>
        <w:gridCol w:w="1050"/>
        <w:gridCol w:w="787"/>
        <w:gridCol w:w="1071"/>
        <w:gridCol w:w="629"/>
        <w:gridCol w:w="1050"/>
        <w:gridCol w:w="629"/>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134,000,000.00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0" w:name="_Toc510100538"/>
      <w:r>
        <w:rPr>
          <w:rFonts w:hint="eastAsia"/>
          <w:b/>
          <w:bCs/>
        </w:rPr>
        <w:t>11.8 其他重大事件</w:t>
      </w:r>
      <w:bookmarkEnd w:id="60"/>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创金合信基金管理有限公司关于调整旗下部分开放式证券投资基金申购及赎回金额的公告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创金合信基金管理有限公司旗下部分开放式证券投资基金增加蛋卷基金为代销机构的公告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创金合信基金管理有限公司旗下部分开放式证券投资基金增加平安证券为代销机构的公告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创金合信基金管理有限公司关于直销柜台申购费率优惠政策调整的公告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创金合信优价成长股票型发起式证券投资基金暂停大额申购的公告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创金合信基金管理有限公司旗下部分开放式证券投资基金增加上海基煜为代销机构的公告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创金合信基金管理有限公司关于旗下部分开放式证券投资基金增加汇成基金为代销机构的公告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创金合信优价成长股票型发起式证券投资基金2017年第1季度报告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创金合信基金管理有限公司旗下部分开放式证券投资基金增加安信证券为代销机构的公告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创金合信基金管理有限公司关于旗下部分开放式证券投资基金增加前海凯恩斯为代销机构的公告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创金合信基金管理有限公司关于开通旗下部分开放式基金转换业务的公告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创金合信优价成长股票型发起式证券投资基金（2017年第1号）招募说明书（更新）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创金合信优价成长股票型发起式证券投资基金（2017年第1号）招募说明书（摘要）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创金合信基金管理有限公司关于旗下部分基金及其代销机构一览表的公告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创金合信基金管理有限公司关于旗下部分开放式基金增加代销机构暨参加代销机构费率优惠活动的公告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关于创金合信基金管理有限公司旗下部分开放式基金开通在代销机构转换业务的公告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关于创金合信基金管理有限公司关于旗下部分基金开通在微信直销平台转换业务的公告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创金合信基金管理有限公司关于旗下部分开放式基金增加东莞证券为代销机构的公告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创金合信基金管理有限公司关于旗下部分开放式基金增加凯石财富为代销机构的公告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创金合信优价成长股票型发起式证券投资基金2017年第二季度报告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创金合信基金管理有限公司关于旗下部分开放式基金增加唐鼎耀华为代销机构的公告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创金合信基金管理有限公司关于旗下部分开放式基金增加凤凰金融为代销机构的公告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创金合信基金管理有限公司关于旗下部分开放式基金增加挖财基金为代销机构的公告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创金合信优价成长股票型发起式证券投资基金2017年半年度报告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创金合信优价成长股票型发起式证券投资基金2017年半年度报告摘要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创金合信基金管理有限公司关于旗下部分开放式基金增加万家财富为代销机构的公告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创金合信基金管理有限公司关于旗下部分开放式基金增加大智慧为代销机构的公告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创金合信基金管理有限公司关于旗下部分开放式基金增加中泰证券为代销机构暨参加中泰证券费率优惠活动的公告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创金合信基金管理有限公司关于旗下部分开放式基金增加光大证券为代销机构的公告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创金合信基金管理有限公司关于旗下部分开放式基金增加世纪证券为代销机构的公告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创金合信基金管理有限公司关于旗下部分开放式基金增加包商银行为代销机构的公告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创金合信优价成长股票型发起式证券投资基金2017年第3季度报告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创金合信优价成长股票型发起式证券投资基金（2017年第2号）招募说明书（更新）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创金合信优价成长股票型发起式证券投资基金（2017年第2号）招募说明书（更新）摘要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创金合信基金管理有限公司关于增值税对资产管理产品影响告投资者通知书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2017-12-30</w:t>
            </w:r>
          </w:p>
        </w:tc>
      </w:tr>
    </w:tbl>
    <w:p>
      <w:pPr>
        <w:widowControl/>
        <w:jc w:val="left"/>
        <w:rPr>
          <w:rFonts w:hint="eastAsia" w:ascii="宋体" w:hAnsi="宋体" w:cs="宋体"/>
          <w:kern w:val="0"/>
          <w:sz w:val="24"/>
          <w:szCs w:val="24"/>
        </w:rPr>
      </w:pPr>
    </w:p>
    <w:p>
      <w:pPr>
        <w:pStyle w:val="13"/>
        <w:rPr>
          <w:rFonts w:hint="eastAsia"/>
        </w:rPr>
      </w:pPr>
      <w:bookmarkStart w:id="61" w:name="_Toc510100539"/>
      <w:r>
        <w:rPr>
          <w:rFonts w:hint="eastAsia" w:hAnsi="Calibri"/>
          <w:b/>
          <w:color w:val="000000"/>
        </w:rPr>
        <w:t>§12  影响投资者决策的其他重要信息</w:t>
      </w:r>
      <w:bookmarkEnd w:id="61"/>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2" w:name="_Toc510100540"/>
      <w:r>
        <w:rPr>
          <w:rFonts w:hint="eastAsia"/>
          <w:b/>
          <w:bCs/>
        </w:rPr>
        <w:t>12.1 报告期内单一投资者持有基金份额比例达到或超过20%的情况</w:t>
      </w:r>
      <w:bookmarkEnd w:id="62"/>
    </w:p>
    <w:tbl>
      <w:tblPr>
        <w:tblStyle w:val="7"/>
        <w:tblW w:w="10200" w:type="dxa"/>
        <w:tblInd w:w="108" w:type="dxa"/>
        <w:tblLayout w:type="autofit"/>
        <w:tblCellMar>
          <w:top w:w="0" w:type="dxa"/>
          <w:left w:w="108" w:type="dxa"/>
          <w:bottom w:w="0" w:type="dxa"/>
          <w:right w:w="108" w:type="dxa"/>
        </w:tblCellMar>
      </w:tblPr>
      <w:tblGrid>
        <w:gridCol w:w="472"/>
        <w:gridCol w:w="549"/>
        <w:gridCol w:w="1275"/>
        <w:gridCol w:w="1808"/>
        <w:gridCol w:w="1694"/>
        <w:gridCol w:w="1694"/>
        <w:gridCol w:w="1866"/>
        <w:gridCol w:w="842"/>
      </w:tblGrid>
      <w:tr>
        <w:tblPrEx>
          <w:tblCellMar>
            <w:top w:w="0" w:type="dxa"/>
            <w:left w:w="108" w:type="dxa"/>
            <w:bottom w:w="0" w:type="dxa"/>
            <w:right w:w="108" w:type="dxa"/>
          </w:tblCellMar>
        </w:tblPrEx>
        <w:trPr>
          <w:wBefore w:w="0" w:type="auto"/>
        </w:trPr>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50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3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12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32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2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1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20170101-20170222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8,000,720.09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8,000,720.09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20170223-20171231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146,569,278.87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146,569,278.87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个人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20170101-20170222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3,005,069.97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775,549.53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3,780,619.50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本基金在报告期内，存在报告期间单一投资者持有基金份额达到或超过20%的情形，可能会存在以下风险：</w:t>
            </w:r>
            <w:r>
              <w:rPr>
                <w:rFonts w:hint="eastAsia"/>
              </w:rPr>
              <w:br w:type="textWrapping"/>
            </w:r>
            <w:r>
              <w:rPr>
                <w:rFonts w:hint="eastAsia"/>
              </w:rPr>
              <w:t>  1、大额申购风险</w:t>
            </w:r>
            <w:r>
              <w:rPr>
                <w:rFonts w:hint="eastAsia"/>
              </w:rPr>
              <w:br w:type="textWrapping"/>
            </w:r>
            <w:r>
              <w:rPr>
                <w:rFonts w:hint="eastAsia"/>
              </w:rPr>
              <w:t>  在发生投资者大额申购时，若本基金所投资的标的资产未及时准备，则可能降低基金净值涨幅。</w:t>
            </w:r>
            <w:r>
              <w:rPr>
                <w:rFonts w:hint="eastAsia"/>
              </w:rPr>
              <w:br w:type="textWrapping"/>
            </w:r>
            <w:r>
              <w:rPr>
                <w:rFonts w:hint="eastAsia"/>
              </w:rPr>
              <w:t>  2、大额赎回风险</w:t>
            </w:r>
            <w:r>
              <w:rPr>
                <w:rFonts w:hint="eastAsia"/>
              </w:rPr>
              <w:br w:type="textWrapping"/>
            </w:r>
            <w:r>
              <w:rPr>
                <w:rFonts w:hint="eastAsia"/>
              </w:rPr>
              <w:t>  （1）若本基金在短时间内难以变现足够的资产予以应对，可能导致流动性风险；</w:t>
            </w:r>
            <w:r>
              <w:rPr>
                <w:rFonts w:hint="eastAsia"/>
              </w:rPr>
              <w:br w:type="textWrapping"/>
            </w:r>
            <w:r>
              <w:rPr>
                <w:rFonts w:hint="eastAsia"/>
              </w:rPr>
              <w:t>  （2）若持有基金份额比例达到或超过基金份额总额20%的单一投资者大额赎回引发巨额赎回，将可能对基金管理人的管理造成影响；</w:t>
            </w:r>
            <w:r>
              <w:rPr>
                <w:rFonts w:hint="eastAsia"/>
              </w:rPr>
              <w:br w:type="textWrapping"/>
            </w:r>
            <w:r>
              <w:rPr>
                <w:rFonts w:hint="eastAsia"/>
              </w:rPr>
              <w:t>  （3）基金管理人被迫大量卖出基金投资标的以赎回现金，可能使基金资产净值受到不利影响，影响基金的投资运作；</w:t>
            </w:r>
            <w:r>
              <w:rPr>
                <w:rFonts w:hint="eastAsia"/>
              </w:rPr>
              <w:br w:type="textWrapping"/>
            </w:r>
            <w:r>
              <w:rPr>
                <w:rFonts w:hint="eastAsia"/>
              </w:rPr>
              <w:t>  （4）因基金净值精度计算问题，可能因赎回费归入基金资产，导致基金净值有较大波动；</w:t>
            </w:r>
            <w:r>
              <w:rPr>
                <w:rFonts w:hint="eastAsia"/>
              </w:rPr>
              <w:br w:type="textWrapping"/>
            </w:r>
            <w:r>
              <w:rPr>
                <w:rFonts w:hint="eastAsia"/>
              </w:rPr>
              <w:t>  （5）大额赎回导致基金资产规模过小，不能满足存续条件，可能导致基金合同终止、清算等风险。</w:t>
            </w:r>
            <w:r>
              <w:rPr>
                <w:rFonts w:hint="eastAsia"/>
              </w:rPr>
              <w:br w:type="textWrapping"/>
            </w:r>
            <w:r>
              <w:rPr>
                <w:rFonts w:hint="eastAsia"/>
              </w:rPr>
              <w:t>  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3" w:name="_Toc510100541"/>
      <w:r>
        <w:rPr>
          <w:rFonts w:hint="eastAsia"/>
          <w:b/>
          <w:bCs/>
        </w:rPr>
        <w:t>12.2 影响投资者决策的其他重要信息</w:t>
      </w:r>
      <w:bookmarkEnd w:id="63"/>
    </w:p>
    <w:p>
      <w:pPr>
        <w:pStyle w:val="17"/>
        <w:rPr>
          <w:rFonts w:hint="eastAsia"/>
        </w:rPr>
      </w:pPr>
      <w:r>
        <w:rPr>
          <w:rFonts w:hint="eastAsia"/>
        </w:rPr>
        <w:t>  本报告期，未出现影响投资者决策的其他重要信息。</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4" w:name="_Toc510100542"/>
      <w:r>
        <w:rPr>
          <w:rFonts w:hint="eastAsia" w:hAnsi="Calibri"/>
          <w:b/>
          <w:color w:val="000000"/>
        </w:rPr>
        <w:t>§13  备查文件目录</w:t>
      </w:r>
      <w:bookmarkEnd w:id="64"/>
    </w:p>
    <w:p>
      <w:pPr>
        <w:widowControl/>
        <w:jc w:val="left"/>
        <w:rPr>
          <w:rFonts w:hint="eastAsia" w:ascii="宋体" w:hAnsi="宋体" w:cs="宋体"/>
          <w:kern w:val="0"/>
          <w:sz w:val="24"/>
          <w:szCs w:val="24"/>
        </w:rPr>
      </w:pPr>
    </w:p>
    <w:p>
      <w:pPr>
        <w:pStyle w:val="14"/>
        <w:rPr>
          <w:rFonts w:hint="eastAsia"/>
        </w:rPr>
      </w:pPr>
      <w:bookmarkStart w:id="65" w:name="_Toc510100543"/>
      <w:r>
        <w:rPr>
          <w:rFonts w:hint="eastAsia"/>
          <w:b/>
          <w:bCs/>
        </w:rPr>
        <w:t>13.1 备查文件目录</w:t>
      </w:r>
      <w:r>
        <w:rPr>
          <w:rFonts w:hint="eastAsia"/>
        </w:rPr>
        <w:t>.</w:t>
      </w:r>
      <w:bookmarkEnd w:id="65"/>
    </w:p>
    <w:p>
      <w:pPr>
        <w:pStyle w:val="20"/>
        <w:rPr>
          <w:rFonts w:hint="eastAsia"/>
        </w:rPr>
      </w:pPr>
      <w:r>
        <w:rPr>
          <w:rFonts w:hint="eastAsia"/>
        </w:rPr>
        <w:t>  1、《创金合信优价成长股票型发起式证券投资基金基金合同》;</w:t>
      </w:r>
      <w:r>
        <w:rPr>
          <w:rFonts w:hint="eastAsia"/>
        </w:rPr>
        <w:br w:type="textWrapping"/>
      </w:r>
      <w:r>
        <w:rPr>
          <w:rFonts w:hint="eastAsia"/>
        </w:rPr>
        <w:t>  2、《创金合信优价成长股票型发起式证券投资基金托管协议》;</w:t>
      </w:r>
      <w:r>
        <w:rPr>
          <w:rFonts w:hint="eastAsia"/>
        </w:rPr>
        <w:br w:type="textWrapping"/>
      </w:r>
      <w:r>
        <w:rPr>
          <w:rFonts w:hint="eastAsia"/>
        </w:rPr>
        <w:t>  3、创金合信优价成长股票型发起式证券投资基金2017年年度报告</w:t>
      </w:r>
    </w:p>
    <w:p>
      <w:pPr>
        <w:pStyle w:val="14"/>
        <w:rPr>
          <w:rFonts w:hint="eastAsia"/>
        </w:rPr>
      </w:pPr>
      <w:bookmarkStart w:id="66" w:name="_Toc510100544"/>
      <w:r>
        <w:rPr>
          <w:rFonts w:hint="eastAsia"/>
          <w:b/>
          <w:bCs/>
        </w:rPr>
        <w:t>13.2 存放地点</w:t>
      </w:r>
      <w:bookmarkEnd w:id="66"/>
    </w:p>
    <w:p>
      <w:pPr>
        <w:pStyle w:val="20"/>
        <w:rPr>
          <w:rFonts w:hint="eastAsia"/>
        </w:rPr>
      </w:pPr>
      <w:r>
        <w:rPr>
          <w:rFonts w:hint="eastAsia"/>
        </w:rPr>
        <w:t>  深圳市福田中心区福华一路115号投行大厦15楼</w:t>
      </w:r>
    </w:p>
    <w:p>
      <w:pPr>
        <w:pStyle w:val="14"/>
        <w:rPr>
          <w:rFonts w:hint="eastAsia"/>
        </w:rPr>
      </w:pPr>
      <w:bookmarkStart w:id="67" w:name="_Toc510100545"/>
      <w:r>
        <w:rPr>
          <w:rFonts w:hint="eastAsia"/>
          <w:b/>
          <w:bCs/>
        </w:rPr>
        <w:t>13.3 查阅方式</w:t>
      </w:r>
      <w:bookmarkEnd w:id="67"/>
    </w:p>
    <w:p>
      <w:pPr>
        <w:pStyle w:val="20"/>
        <w:rPr>
          <w:rFonts w:hint="eastAsia"/>
        </w:rPr>
      </w:pPr>
      <w:r>
        <w:rPr>
          <w:rFonts w:hint="eastAsia"/>
        </w:rPr>
        <w:t>  www.cjhxfund.com</w:t>
      </w:r>
    </w:p>
    <w:p>
      <w:pPr>
        <w:widowControl/>
        <w:spacing w:after="240"/>
        <w:jc w:val="left"/>
        <w:rPr>
          <w:rFonts w:hint="eastAsia" w:ascii="宋体" w:hAnsi="宋体" w:cs="宋体"/>
          <w:kern w:val="0"/>
          <w:sz w:val="24"/>
          <w:szCs w:val="24"/>
        </w:rPr>
      </w:pPr>
      <w:r>
        <w:rPr>
          <w:rFonts w:hint="eastAsia" w:ascii="宋体" w:hAnsi="宋体" w:cs="宋体"/>
          <w:kern w:val="0"/>
          <w:sz w:val="24"/>
          <w:szCs w:val="24"/>
        </w:rPr>
        <w:br w:type="textWrapping"/>
      </w: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二〇一八年三月三十一日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5" w:type="first"/>
      <w:footerReference r:id="rId8" w:type="first"/>
      <w:headerReference r:id="rId3" w:type="default"/>
      <w:footerReference r:id="rId6" w:type="default"/>
      <w:headerReference r:id="rId4" w:type="even"/>
      <w:footerReference r:id="rId7"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5</w:t>
    </w:r>
    <w:r>
      <w:rPr>
        <w:rStyle w:val="10"/>
      </w:rPr>
      <w:fldChar w:fldCharType="end"/>
    </w:r>
  </w:p>
  <w:p>
    <w:pPr>
      <w:pStyle w:val="2"/>
      <w:jc w:val="center"/>
    </w:pPr>
    <w:r>
      <w:rPr>
        <w:rFonts w:hint="eastAsia"/>
      </w:rPr>
      <w:t xml:space="preserve">                   第       页，共70页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创金合信优价成长股票型发起式证券投资基金2017年年度报告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E3796"/>
    <w:rsid w:val="0001532C"/>
    <w:rsid w:val="001B15D3"/>
    <w:rsid w:val="007E3796"/>
    <w:rsid w:val="00AE40DB"/>
    <w:rsid w:val="61A00E2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 w:type="character" w:customStyle="1" w:styleId="27">
    <w:name w:val="biaoge_left1"/>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69</Pages>
  <Words>8005</Words>
  <Characters>45630</Characters>
  <Lines>380</Lines>
  <Paragraphs>107</Paragraphs>
  <TotalTime>0</TotalTime>
  <ScaleCrop>false</ScaleCrop>
  <LinksUpToDate>false</LinksUpToDate>
  <CharactersWithSpaces>53528</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2018-03-29T07:25:00Z</dcterms:created>
  <dc:creator>贺祎琪</dc:creator>
  <cp:lastModifiedBy>Administrator</cp:lastModifiedBy>
  <dcterms:modified xsi:type="dcterms:W3CDTF">2019-12-26T14:08:21Z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