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8" w:name="_GoBack"/>
      <w:bookmarkEnd w:id="68"/>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创金合信优价成长股票型发起式证券投资基金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478"/>
      <w:r>
        <w:rPr>
          <w:rFonts w:hint="eastAsia" w:hAnsi="Calibri"/>
          <w:b/>
          <w:color w:val="000000"/>
        </w:rPr>
        <w:t>§1  重要提示及目录</w:t>
      </w:r>
      <w:bookmarkEnd w:id="0"/>
      <w:r>
        <w:rPr>
          <w:rFonts w:hint="eastAsia"/>
        </w:rPr>
        <w:t xml:space="preserve"> </w:t>
      </w:r>
    </w:p>
    <w:p>
      <w:pPr>
        <w:pStyle w:val="14"/>
        <w:rPr>
          <w:rFonts w:hint="eastAsia"/>
        </w:rPr>
      </w:pPr>
      <w:bookmarkStart w:id="1" w:name="_Toc51010047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7"/>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7"/>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7"/>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7"/>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7"/>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480"/>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"_Toc510100478"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_Toc510100478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"_Toc510100479"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_Toc510100479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_Toc510100480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"_Toc510100481"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_Toc510100481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_Toc510100482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_Toc510100483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_Toc510100484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_Toc510100485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_Toc510100486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"_Toc510100487"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_Toc510100487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_Toc510100488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"_Toc510100489"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_Toc510100489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_Toc510100490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"_Toc510100491"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_Toc510100491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_Toc510100492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"_Toc510100493"</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_Toc510100493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"_Toc510100494"</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_Toc510100494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"_Toc510100495"</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_Toc510100495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"_Toc510100496"</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_Toc510100496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"_Toc510100497"</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_Toc510100497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"_Toc510100498"</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_Toc510100498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"_Toc510100499"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_Toc510100499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_Toc510100500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_Toc510100501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_Toc510100502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_Toc510100503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_Toc510100504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_Toc510100505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_Toc510100506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_Toc510100507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"_Toc510100508"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_Toc510100508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"_Toc510100509"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_Toc510100509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_Toc510100510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_Toc510100511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_Toc510100512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"_Toc510100513"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_Toc510100513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_Toc510100514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_Toc510100515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_Toc510100516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_Toc510100517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_Toc510100518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"_Toc510100519"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_Toc510100519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_Toc510100520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_Toc510100521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_Toc510100522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_Toc510100523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"_Toc510100524"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_Toc510100524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_Toc510100525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"_Toc510100526"</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_Toc510100526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"_Toc510100527"</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_Toc510100527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"_Toc510100528"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_Toc510100528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"_Toc510100529"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_Toc510100529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"_Toc510100530"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_Toc510100530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_Toc510100531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_Toc510100532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_Toc510100533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_Toc510100534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_Toc510100535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_Toc510100536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_Toc510100537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"_Toc510100538"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_Toc510100538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"_Toc510100539"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_Toc510100539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_Toc510100540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_Toc510100541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"_Toc510100542"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_Toc510100542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_Toc510100543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_Toc510100544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"_Toc510100545"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_Toc510100545 \h </w:instrText>
      </w:r>
      <w:r>
        <w:rPr>
          <w:lang/>
        </w:rPr>
        <w:fldChar w:fldCharType="separate"/>
      </w:r>
      <w:r>
        <w:rPr>
          <w:lang/>
        </w:rPr>
        <w:t>69</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48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48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162,004,996.05份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157,617,925.86份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4,387,070.19份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48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本基金秉承“理性分析价值，深度挖掘成长”的投资理念，以GARP（Growth at a Reasonable Price）策略为核心，致力于寻找市场上具备成长潜力的上市公司，在其估值合理或被低估的时候，以更具估值优势的价格买入并相对长期持有，力争为投资者创造超越业绩比较基准的回报。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本基金的投资策略以GARP（Growth at a Reasonable Price）策略为核心，是一种价值与成长并重的混合型投资策略。该策略的目标是：通过对行业和公司的深入基本面研究，寻找具备成长潜力的上市公司，在其估值合理或被低估的时候，以更具估值优势的价格买入并相对长期持有。GARP策略融合了价值策略和成长策略的优势，以成长为目标，分享了具备核心竞争力的优质企业成长所带来的丰厚收益；以具备相对估值优势的价格为标尺，筛选低估值股票，有效控制市场波动时的风险。在股票市场价值风格与成长风格发生轮动时，GARP策略可兼顾价值与成长两种特征，能有效平滑收益波动，提高股票组合风险调整后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中证800指数收益率×90%＋一年期人民币定期存款利率（税后）×10%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本基金为股票型基金，长期来看，其预期风险与预期收益水平高于混合型基金、债券型基金和货币市场基金。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48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0048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48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48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48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25,004,215.64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721,614.20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6,221.51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18,273,514.30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636,159.40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-244,925.87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-94,165.58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21,564,651.59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591,314.46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179,182,577.45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4,978,384.65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9,240,433.28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3,306,309.01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4.本基金合同生效日为2016年11月2日，上年度可比期间的相关数据和指标按实际存续期计算。</w:t>
      </w:r>
    </w:p>
    <w:p>
      <w:pPr>
        <w:pStyle w:val="14"/>
        <w:rPr>
          <w:rFonts w:hint="eastAsia"/>
        </w:rPr>
      </w:pPr>
      <w:bookmarkStart w:id="11" w:name="_Toc51010048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创金合信优价成长股票A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创金合信优价成长股票C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22_FB010010_20180002_2.jpg" type="#_x0000_t75" style="height:286.2pt;width:441pt;" filled="f" stroked="f" coordsize="21600,21600">
            <v:path/>
            <v:fill on="f" focussize="0,0"/>
            <v:stroke on="f"/>
            <v:imagedata r:id="rId10" grayscale="f" bilevel="f" o:title="CN_50990000_003622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22_FB010010_20180002_3.jpg" type="#_x0000_t75" style="height:286.2pt;width:441pt;" filled="f" stroked="f" coordsize="21600,21600">
            <v:path/>
            <v:fill on="f" focussize="0,0"/>
            <v:stroke on="f"/>
            <v:imagedata r:id="rId11" grayscale="f" bilevel="f" o:title="CN_50990000_003622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22_FB010010_20180002_4.jpg" type="#_x0000_t75" style="height:285.95pt;width:440.6pt;" filled="f" stroked="f" coordsize="21600,21600">
            <v:path/>
            <v:fill on="f" focussize="0,0"/>
            <v:stroke on="f"/>
            <v:imagedata r:id="rId12" grayscale="f" bilevel="f" o:title="CN_50990000_003622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22_FB010010_20180002_5.jpg" type="#_x0000_t75" style="height:285.95pt;width:440.6pt;" filled="f" stroked="f" coordsize="21600,21600">
            <v:path/>
            <v:fill on="f" focussize="0,0"/>
            <v:stroke on="f"/>
            <v:imagedata r:id="rId13" grayscale="f" bilevel="f" o:title="CN_50990000_003622_FB010010_20180002_5"/>
            <o:lock v:ext="edit" grouping="f" rotation="f" aspectratio="t"/>
            <w10:wrap type="none"/>
            <w10:anchorlock/>
          </v:shape>
        </w:pict>
      </w:r>
    </w:p>
    <w:p>
      <w:pPr>
        <w:pStyle w:val="14"/>
        <w:rPr>
          <w:rFonts w:hint="eastAsia"/>
        </w:rPr>
      </w:pPr>
      <w:bookmarkStart w:id="12" w:name="_Toc510100490"/>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pStyle w:val="13"/>
        <w:rPr>
          <w:rFonts w:hint="eastAsia"/>
        </w:rPr>
      </w:pPr>
      <w:bookmarkStart w:id="13" w:name="_Toc51010049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49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493"/>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494"/>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次，与该基金发生反向交易的基金为公司量化选股策略的基金，该基金经理基于对市场和个股的判断，同时出于组合调仓的需要，做出该投资行为，该交易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495"/>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本基金秉承"理性分析价值，深度挖掘成长"的投资理念，以GARP(Growth at a Reasonable Price)策略为核心，致力于寻找市场上具备成长潜力的上市公司，在其估值合理或被低估的时候，以更具估值优势的价格买入并相对长期持有。在过去的一年中本基金所持仓的部分投资标的出现了一定幅度的上涨，在持仓标的上涨幅度较大且有更具性价比的投资标的时对投资组合持续优化，从而保证投资组合风险和收益的相对均衡，获取了相对合理的收益。</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优价成长股票A基金份额净值为1.1368元;本报告期内，基金份额净值增长率为16.27%，同期业绩比较基准收益率为13.77%;截至报告期末创金合信优价成长股票C基金份额净值为1.1348元;本报告期内，基金份额净值增长率为16.12%，同期业绩比较基准收益率为13.77%。</w:t>
      </w:r>
    </w:p>
    <w:p>
      <w:pPr>
        <w:widowControl/>
        <w:jc w:val="left"/>
        <w:rPr>
          <w:rFonts w:hint="eastAsia" w:ascii="宋体" w:hAnsi="宋体" w:cs="宋体"/>
          <w:kern w:val="0"/>
          <w:sz w:val="24"/>
          <w:szCs w:val="24"/>
        </w:rPr>
      </w:pPr>
    </w:p>
    <w:p>
      <w:pPr>
        <w:pStyle w:val="14"/>
        <w:rPr>
          <w:rFonts w:hint="eastAsia"/>
        </w:rPr>
      </w:pPr>
      <w:bookmarkStart w:id="18" w:name="_Toc510100496"/>
      <w:r>
        <w:rPr>
          <w:rFonts w:hint="eastAsia"/>
          <w:b/>
          <w:bCs/>
        </w:rPr>
        <w:t>4.5 管理人对宏观经济、证券市场及行业走势的简要展望</w:t>
      </w:r>
      <w:bookmarkEnd w:id="18"/>
    </w:p>
    <w:p>
      <w:pPr>
        <w:pStyle w:val="20"/>
        <w:rPr>
          <w:rFonts w:hint="eastAsia"/>
        </w:rPr>
      </w:pPr>
      <w:r>
        <w:rPr>
          <w:rFonts w:hint="eastAsia"/>
        </w:rPr>
        <w:t>  目前我国经济仍处于"转型升级"的过程中，经济大概率处于上有顶、下有底的区间震荡整理。</w:t>
      </w:r>
      <w:r>
        <w:rPr>
          <w:rFonts w:hint="eastAsia"/>
        </w:rPr>
        <w:br w:type="textWrapping"/>
      </w:r>
      <w:r>
        <w:rPr>
          <w:rFonts w:hint="eastAsia"/>
        </w:rPr>
        <w:t>  股票市场经过一年聚焦式的结构性上涨之后，部分个股涨幅巨大，部分此类公司的估值得到了极大修复，未来基本面因素可能将成为股价的重要影响因素，未来一段时间此类公司如果没有超强的基本面支撑则获得超额收益的概率相对较小。</w:t>
      </w:r>
      <w:r>
        <w:rPr>
          <w:rFonts w:hint="eastAsia"/>
        </w:rPr>
        <w:br w:type="textWrapping"/>
      </w:r>
      <w:r>
        <w:rPr>
          <w:rFonts w:hint="eastAsia"/>
        </w:rPr>
        <w:t>  在经济"转型升级"过程中，大多数行业的景气都相对较弱或难以持续，通过深入研究和挖掘，我们寻找到了部分景气度较高、持续性较强、估值较为合理的行业性投资机会，随着市场认知的加深相关标的未来可能具备一定的投资机会。</w:t>
      </w:r>
      <w:r>
        <w:rPr>
          <w:rFonts w:hint="eastAsia"/>
        </w:rPr>
        <w:br w:type="textWrapping"/>
      </w:r>
      <w:r>
        <w:rPr>
          <w:rFonts w:hint="eastAsia"/>
        </w:rPr>
        <w:t>  从中长期看，越来越多的优质企业经过多年积累和成长，已经初步完成了物质基础、管理能力的积累，随着外部制约因素的减弱和消除，部分优质企业将进入良性循环的发展轨道。前期市场的结构性分化只是一次对于价值投资的启蒙，部分目前被市场所忽略的优质企业将伴随着"转型升级"的不断推进而浮出水面。随着这些优质企业的经营状况不断改善及竞争力的持续提升，具备较强核心竞争力的企业也将越来越多的被市场关注和认知。</w:t>
      </w:r>
    </w:p>
    <w:p>
      <w:pPr>
        <w:widowControl/>
        <w:jc w:val="left"/>
        <w:rPr>
          <w:rFonts w:hint="eastAsia" w:ascii="宋体" w:hAnsi="宋体" w:cs="宋体"/>
          <w:kern w:val="0"/>
          <w:sz w:val="24"/>
          <w:szCs w:val="24"/>
        </w:rPr>
      </w:pPr>
    </w:p>
    <w:p>
      <w:pPr>
        <w:pStyle w:val="14"/>
        <w:rPr>
          <w:rFonts w:hint="eastAsia"/>
        </w:rPr>
      </w:pPr>
      <w:bookmarkStart w:id="19" w:name="_Toc510100497"/>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498"/>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499"/>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500"/>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050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502"/>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优价成长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503"/>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优价成长股票型发起式证券投资基金的管理人--创金合信基金管理有限公司在创金合信优价成长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优价成长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00504"/>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优价成长股票型发起式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50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50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普华永道中天审字(2018)第21836号</w:t>
            </w:r>
          </w:p>
        </w:tc>
      </w:tr>
    </w:tbl>
    <w:p>
      <w:pPr>
        <w:widowControl/>
        <w:jc w:val="left"/>
        <w:rPr>
          <w:rFonts w:hint="eastAsia" w:ascii="宋体" w:hAnsi="宋体" w:cs="宋体"/>
          <w:kern w:val="0"/>
          <w:sz w:val="24"/>
          <w:szCs w:val="24"/>
        </w:rPr>
      </w:pPr>
    </w:p>
    <w:p>
      <w:pPr>
        <w:pStyle w:val="14"/>
        <w:rPr>
          <w:rFonts w:hint="eastAsia"/>
        </w:rPr>
      </w:pPr>
      <w:bookmarkStart w:id="29" w:name="_Toc51010050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我们审计了创金合信优价成长股票型发起式证券投资基金 (以下简称"创金合信优价成长股票基金")的财务报表，包括2017年12月31日和2016年12月31日的资产负债表，2017年度和2016年11月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价成长股票基金2017年12月31日和2016年12月31日的财务状况以及2017年度和2016年11月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按照中国注册会计师职业道德守则，我们独立于创金合信优价成长股票基金，并履行了职业道德方面的其他责任。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价成长股票基金的持续经营能力，披露与持续经营相关的事项(如适用)，并运用持续经营假设，除非基金管理人管理层计划清算创金合信优价成长股票基金、终止运营或别无其他现实的选择。 基金管理人治理层负责监督创金合信优价成长股票基金的财务报告过程。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价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价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50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509"/>
      <w:r>
        <w:rPr>
          <w:rFonts w:hint="eastAsia"/>
          <w:b/>
          <w:bCs/>
        </w:rPr>
        <w:t>7.1 资产负债表</w:t>
      </w:r>
      <w:bookmarkEnd w:id="31"/>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bl>
    <w:p>
      <w:pPr>
        <w:pStyle w:val="20"/>
        <w:rPr>
          <w:rFonts w:hint="eastAsia"/>
        </w:rPr>
      </w:pPr>
      <w:r>
        <w:rPr>
          <w:rFonts w:hint="eastAsia"/>
        </w:rPr>
        <w:t>注：1.报告截止日2017年12月31日，基金份额总额162,004,996.05份，其中下属A类基金份额157,617,925.86份，C类基金份额4,387,070.19份。下属A类基金份额净值1.1368元，C类基金份额净值1.1348元。</w:t>
      </w:r>
      <w:r>
        <w:rPr>
          <w:rFonts w:hint="eastAsia"/>
        </w:rPr>
        <w:br w:type="textWrapping"/>
      </w:r>
      <w:r>
        <w:rPr>
          <w:rFonts w:hint="eastAsia"/>
        </w:rPr>
        <w:t>2.本基金合同生效日为2016年11月2日，上年度可比期间为2016年11月2日至2016年12月31日。</w:t>
      </w:r>
    </w:p>
    <w:p>
      <w:pPr>
        <w:pStyle w:val="14"/>
        <w:rPr>
          <w:rFonts w:hint="eastAsia"/>
        </w:rPr>
      </w:pPr>
      <w:bookmarkStart w:id="32" w:name="_Toc510100510"/>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22,093,771.40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-290,993.78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3,586.91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28,784,612.30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64,323.75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3,184,097.70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48,097.67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29,135.26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bl>
    <w:p>
      <w:pPr>
        <w:pStyle w:val="20"/>
        <w:rPr>
          <w:rFonts w:hint="eastAsia"/>
        </w:rPr>
      </w:pPr>
      <w:r>
        <w:rPr>
          <w:rFonts w:hint="eastAsia"/>
        </w:rPr>
        <w:t>注：本基金合同生效日为2016年11月2日，上年度可比期间为2016年11月2日至2016年12月31日。</w:t>
      </w:r>
    </w:p>
    <w:p>
      <w:pPr>
        <w:pStyle w:val="14"/>
        <w:rPr>
          <w:rFonts w:hint="eastAsia"/>
        </w:rPr>
      </w:pPr>
      <w:bookmarkStart w:id="33" w:name="_Toc510100511"/>
      <w:r>
        <w:rPr>
          <w:rFonts w:hint="eastAsia"/>
          <w:b/>
          <w:bCs/>
        </w:rPr>
        <w:t>7.3 所有者权益（基金净值）变动表</w:t>
      </w:r>
      <w:bookmarkEnd w:id="33"/>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149,170,778.26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3,533,767.85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152,704,546.11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159,054,786.21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4,463,555.57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163,518,341.78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-9,884,007.95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-929,787.72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-10,813,795.67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10,187,722.65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10,187,722.65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2,646,495.14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2,698,111.09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2,980,970.12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52,071.34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3,033,041.46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-334,474.98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-334,930.37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bl>
    <w:p>
      <w:pPr>
        <w:pStyle w:val="20"/>
        <w:rPr>
          <w:rFonts w:hint="eastAsia"/>
        </w:rPr>
      </w:pPr>
      <w:r>
        <w:rPr>
          <w:rFonts w:hint="eastAsia"/>
        </w:rPr>
        <w:t>注：本基金合同生效日为2016年11月2日，上年度可比期间为2016年11月2日至2016年12月31日。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512"/>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创金合信优价成长股票型发起式基金(以下简称"本基金")经中国证券监督管理委员会(以下简称"中国证监会") 证监许可[2016]2275号《关于准予创金合信优价成长股票型发起式基金注册的批复》核准，由创金合信基金管理有限公司依照《中华人民共和国证券投资基金法》和《创金合信优价成长股票型发起式基金基金合同》负责公开募集。本基金为契约型开放式，存续期限不定，首次设立募集不包括认购资金利息共募集人民币10,186,822.11元，业经普华永道中天会计师事务所(特殊普通合伙)普华永道中天验字(2016)第1362号验资报告予以验证。经向中国证监会备案，《创金合信优价成长股票型发起式基金基金合同》于2016年11月2日正式生效，基金合同生效日的基金份额总额为10,187,722.65份基金份额，其中认购资金利息折合900.54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优价成长股票型发起式基金基金合同》的有关规定，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股票期权等）及法律法规或中国证监会允许基金投资的其他金融工具（但须符合中国证监会相关规定）。本基金的业绩比较基准为：中证800指数收益率×90%＋一年期人民币定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价成长股票型发起式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本基金会计年度为公历1月1日起至12月31日止。比较财务报表的实际编制期间为2016年11月2日(基金合同生效日)至2016年12月31日止期间。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w:t>
      </w:r>
      <w:r>
        <w:rPr>
          <w:rFonts w:hint="eastAsia"/>
        </w:rPr>
        <w:br w:type="textWrapping"/>
      </w:r>
      <w:r>
        <w:rPr>
          <w:rFonts w:hint="eastAsia"/>
        </w:rPr>
        <w:t>  1)具有抵销已确认金额的法定权利且该种法定权利现在是可执行的；且</w:t>
      </w:r>
      <w:r>
        <w:rPr>
          <w:rFonts w:hint="eastAsia"/>
        </w:rPr>
        <w:br w:type="textWrapping"/>
      </w:r>
      <w:r>
        <w:rPr>
          <w:rFonts w:hint="eastAsia"/>
        </w:rPr>
        <w:t>  2)交易双方准备按净额结算时，金融资产与金融负债按抵销后的净额在资产负债表中列示。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12,275,689.07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12,275,689.07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创金合信优价成长股票A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9,450,982.01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9,450,982.01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151,674,720.44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151,674,720.44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-3,507,776.59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-3,507,776.59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创金合信优价成长股票C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3,383,235.78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3,383,235.78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7,380,065.77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7,380,065.77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-6,376,231.36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-6,376,231.36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创金合信优价成长股票A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22,219.56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-232,768.29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25,004,215.64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-6,730,701.34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18,273,514.30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774,862.84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2,726,823.18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3,501,686.02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2,739,283.43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3,834,205.43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-320,059.16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-332,519.41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25,801,298.04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-4,236,646.45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创金合信优价成长股票C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-83,266.65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721,614.20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636,159.40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-18,755.02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32,081.83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513,593.99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115,756.15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629,350.14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-532,349.01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-64,919.30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-597,268.31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709,199.06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-117,884.60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2,486.76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1,008,991.05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89,914,375.30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944,667.30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64,323.75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20"/>
        <w:rPr>
          <w:rFonts w:hint="eastAsia"/>
        </w:rPr>
      </w:pPr>
      <w:r>
        <w:rPr>
          <w:rFonts w:hint="eastAsia"/>
        </w:rPr>
        <w:t>本基金本报告期内及上年度可比期间内无债券投资收益。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-364,726.95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11,045.16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64"/>
        <w:gridCol w:w="1658"/>
        <w:gridCol w:w="1005"/>
        <w:gridCol w:w="220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36"/>
        <w:gridCol w:w="1666"/>
        <w:gridCol w:w="1401"/>
        <w:gridCol w:w="193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29,135.26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1,205.47</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4,855.85</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27"/>
        <w:gridCol w:w="2627"/>
        <w:gridCol w:w="126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2,453.75</w:t>
            </w:r>
          </w:p>
        </w:tc>
      </w:tr>
    </w:tbl>
    <w:p>
      <w:pPr>
        <w:pStyle w:val="20"/>
        <w:rPr>
          <w:rFonts w:hint="eastAsia"/>
        </w:rPr>
      </w:pPr>
      <w:r>
        <w:rPr>
          <w:rFonts w:hint="eastAsia"/>
        </w:rPr>
        <w:t>注:本基金A类基金份额不收取销售服务费，仅就C类基金份额所代表的基金资产收取销售服务费。C类基金份额的销售服务费按前一日C类基金份额基金资产净值的0.5%的年费率计提。销售服务费的计算方法如下：</w:t>
      </w:r>
      <w:r>
        <w:rPr>
          <w:rFonts w:hint="eastAsia"/>
        </w:rPr>
        <w:br w:type="textWrapping"/>
      </w:r>
      <w:r>
        <w:rPr>
          <w:rFonts w:hint="eastAsia"/>
        </w:rPr>
        <w:t>H＝E×0.5%÷当年天数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创金合信优价成长股票A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52.91%</w:t>
            </w:r>
          </w:p>
        </w:tc>
      </w:tr>
    </w:tbl>
    <w:p>
      <w:pPr>
        <w:pStyle w:val="17"/>
        <w:rPr>
          <w:rFonts w:hint="eastAsia"/>
        </w:rPr>
      </w:pPr>
      <w:r>
        <w:rPr>
          <w:rFonts w:hint="eastAsia" w:hAnsi="Calibri"/>
          <w:color w:val="000000"/>
        </w:rPr>
        <w:t>创金合信优价成长股票C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88.68%</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本基金本报告期末及上年度末除基金管理人以外的其他关联方未投资本基金。</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169"/>
        <w:gridCol w:w="1169"/>
        <w:gridCol w:w="1676"/>
        <w:gridCol w:w="1919"/>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2,261.53</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本基金本报告期内无利润分配。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截至本报告期末2017年12月31日止，本基金从事证券交易所债券正回购交易形成的卖出回购证券款余额0元，无抵押债券。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于2017年12月31日,本基金无债券投资(2016年12月31日：同)。</w:t>
      </w:r>
    </w:p>
    <w:p>
      <w:pPr>
        <w:pStyle w:val="15"/>
        <w:rPr>
          <w:rFonts w:hint="eastAsia"/>
        </w:rPr>
      </w:pPr>
      <w:r>
        <w:rPr>
          <w:rFonts w:hint="eastAsia"/>
          <w:b/>
          <w:bCs/>
        </w:rPr>
        <w:t>7.4.13.2.1 按短期信用评级列示的债券投资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184502874.59元，超过经确认的当日净赎回金额。于2017年12月31日，本基金持有的流动性受限资产的估值占基金资产净值的比例为0.07%，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349"/>
        <w:gridCol w:w="1410"/>
        <w:gridCol w:w="1045"/>
        <w:gridCol w:w="1045"/>
        <w:gridCol w:w="1598"/>
        <w:gridCol w:w="1598"/>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174,831,041.45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174,188,415.33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498,198.45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164,372.85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11,910,962.12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11,911,654.83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12,576,666.49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16,097.84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1,441.89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29,924.20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11,881,730.63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于2017年12月31日，本基金未持有交易性债券投资(2016年12月31日：同)，因此市场利率的变动对于本基金资产净值无重大影响(2016年12月31日：同)。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11,910,962.12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94.93</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629,045.79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-629,045.79</w:t>
            </w:r>
          </w:p>
        </w:tc>
      </w:tr>
    </w:tbl>
    <w:p>
      <w:pPr>
        <w:pStyle w:val="20"/>
        <w:rPr>
          <w:rFonts w:hint="eastAsia"/>
        </w:rPr>
      </w:pPr>
      <w:r>
        <w:rPr>
          <w:rFonts w:hint="eastAsia"/>
        </w:rPr>
        <w:t>本基金的业绩比较基准= 中证800指数收益率×90%＋一年期人民币定期存款利率(税后)×10%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174,412,595.03元，属于第二层次的余额为135,494.66元，无属于第三层次的余额(2016年12月31日：第一层次11,651,026.12元，第二层次259,936.00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513"/>
      <w:r>
        <w:rPr>
          <w:rFonts w:hint="eastAsia" w:hAnsi="Calibri"/>
          <w:b/>
          <w:color w:val="000000"/>
        </w:rPr>
        <w:t>§8 投资组合报告</w:t>
      </w:r>
      <w:bookmarkEnd w:id="35"/>
    </w:p>
    <w:p>
      <w:pPr>
        <w:pStyle w:val="14"/>
        <w:rPr>
          <w:rFonts w:hint="eastAsia"/>
        </w:rPr>
      </w:pPr>
      <w:bookmarkStart w:id="36" w:name="_Toc51010051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9,954,602.80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300,895.73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515"/>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78,925,613.13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16,878.20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43,792,264.57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10,526,639.12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7,092,091.30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9,933,493.90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24,248,819.47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94.78</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51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17,486,529.60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16,784,964.00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11,370,826.80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11,096,669.64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9,933,493.90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9,400,291.15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8,185,586.58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7,092,091.30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6,712,066.11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6,511,399.40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5,911,436.57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4,622,755.15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3,656,159.30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大唐电信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3,063,733.40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1,819,053.00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1,626,325.32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49,012.34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0517"/>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22,370,471.98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21,894,204.88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15,361,625.00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13,514,698.40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11,089,903.90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10,347,615.20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9,779,318.50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9,760,770.38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9,432,211.21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8,743,472.63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8,290,359.95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7,837,912.94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6,879,250.80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6,857,117.40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6,822,413.49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6,727,766.28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6,424,526.66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6,320,763.55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5,096,255.42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大唐电信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4,275,511.05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19,832,197.63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17,904,303.32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9,287,921.30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9,117,050.75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8,765,096.67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7,602,087.18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5,012,399.83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4,545,379.94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3,543,495.06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3,393,175.18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3,184,584.47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2,316,013.12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2,156,052.60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1,486,848.23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1,207,787.04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1,077,321.87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338,893.20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265,075.20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259,367,659.01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r>
    </w:tbl>
    <w:p>
      <w:pPr>
        <w:pStyle w:val="20"/>
        <w:rPr>
          <w:rFonts w:hint="eastAsia"/>
        </w:rPr>
      </w:pPr>
      <w:r>
        <w:rPr>
          <w:rFonts w:hint="eastAsia"/>
        </w:rPr>
        <w:t>注：买入股票成本、卖出股票收入均按买卖成交金额填列，不考虑相关交易费用。</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4"/>
      </w:pPr>
      <w:bookmarkStart w:id="40" w:name="_Toc510100518"/>
      <w:r>
        <w:rPr>
          <w:rFonts w:hint="eastAsia"/>
          <w:b/>
          <w:bCs/>
        </w:rPr>
        <w:t>8.7 期末按公允价值占基金资产净值比例大小排序的所有资产支持证券投资明细</w:t>
      </w:r>
      <w:bookmarkEnd w:id="40"/>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1" w:name="_Toc510100519"/>
      <w:r>
        <w:rPr>
          <w:rFonts w:hint="eastAsia"/>
          <w:b/>
          <w:bCs/>
        </w:rPr>
        <w:t>8.8 报告期末按公允价值占基金资产净值比例大小排序的前五名贵金属投资明细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2" w:name="_Toc510100520"/>
      <w:r>
        <w:rPr>
          <w:rFonts w:hint="eastAsia"/>
          <w:b/>
          <w:bCs/>
        </w:rPr>
        <w:t>8.9 期末按公允价值占基金资产净值比例大小排序的前五名权证投资明细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3" w:name="_Toc510100521"/>
      <w:r>
        <w:rPr>
          <w:rFonts w:hint="eastAsia"/>
          <w:b/>
          <w:bCs/>
        </w:rPr>
        <w:t>8.10 报告期末本基金投资的股指期货交易情况说明</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4" w:name="_Toc510100522"/>
      <w:r>
        <w:rPr>
          <w:rFonts w:hint="eastAsia"/>
          <w:b/>
          <w:bCs/>
        </w:rPr>
        <w:t>8.11 报告期末本基金投资的国债期货交易情况说明</w:t>
      </w:r>
      <w:bookmarkEnd w:id="44"/>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5" w:name="_Toc510100523"/>
      <w:r>
        <w:rPr>
          <w:rFonts w:hint="eastAsia"/>
          <w:b/>
          <w:bCs/>
        </w:rPr>
        <w:t>8.12 投资组合报告附注</w:t>
      </w:r>
      <w:bookmarkEnd w:id="45"/>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300,895.73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6" w:name="_Toc510100524"/>
      <w:r>
        <w:rPr>
          <w:rFonts w:hint="eastAsia" w:hAnsi="Calibri"/>
          <w:b/>
          <w:color w:val="000000"/>
        </w:rPr>
        <w:t>§9  基金份额持有人信息</w:t>
      </w:r>
      <w:bookmarkEnd w:id="46"/>
    </w:p>
    <w:p>
      <w:pPr>
        <w:pStyle w:val="14"/>
        <w:rPr>
          <w:rFonts w:hint="eastAsia"/>
        </w:rPr>
      </w:pPr>
      <w:bookmarkStart w:id="47" w:name="_Toc510100525"/>
      <w:r>
        <w:rPr>
          <w:rFonts w:hint="eastAsia"/>
          <w:b/>
          <w:bCs/>
        </w:rPr>
        <w:t>9.1 期末基金份额持有人户数及持有人结构</w:t>
      </w:r>
      <w:bookmarkEnd w:id="47"/>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354,197.59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151,569,728.96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6,048,196.90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168,229.49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154,569,998.96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7,434,997.09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w:t>
            </w:r>
          </w:p>
        </w:tc>
      </w:tr>
    </w:tbl>
    <w:p>
      <w:pPr>
        <w:widowControl/>
        <w:jc w:val="left"/>
        <w:rPr>
          <w:rFonts w:hint="eastAsia" w:ascii="宋体" w:hAnsi="宋体" w:cs="宋体"/>
          <w:kern w:val="0"/>
          <w:sz w:val="24"/>
          <w:szCs w:val="24"/>
        </w:rPr>
      </w:pPr>
    </w:p>
    <w:p>
      <w:pPr>
        <w:pStyle w:val="14"/>
        <w:rPr>
          <w:rFonts w:hint="eastAsia"/>
        </w:rPr>
      </w:pPr>
      <w:bookmarkStart w:id="48" w:name="_Toc510100526"/>
      <w:r>
        <w:rPr>
          <w:rFonts w:hint="eastAsia" w:hAnsi="Calibri"/>
          <w:b/>
          <w:color w:val="000000"/>
        </w:rPr>
        <w:t>9.2期末基金管理人的从业人员持有本基金的情况</w:t>
      </w:r>
      <w:bookmarkEnd w:id="48"/>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3,798,451.40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3,812,560.24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w:t>
            </w:r>
          </w:p>
        </w:tc>
      </w:tr>
    </w:tbl>
    <w:p>
      <w:pPr>
        <w:widowControl/>
        <w:jc w:val="left"/>
        <w:rPr>
          <w:rFonts w:hint="eastAsia" w:ascii="宋体" w:hAnsi="宋体" w:cs="宋体"/>
          <w:kern w:val="0"/>
          <w:sz w:val="24"/>
          <w:szCs w:val="24"/>
        </w:rPr>
      </w:pPr>
    </w:p>
    <w:p>
      <w:pPr>
        <w:pStyle w:val="14"/>
        <w:rPr>
          <w:rFonts w:hint="eastAsia"/>
        </w:rPr>
      </w:pPr>
      <w:bookmarkStart w:id="49" w:name="_Toc510100527"/>
      <w:r>
        <w:rPr>
          <w:rFonts w:hint="eastAsia"/>
          <w:b/>
          <w:bCs/>
        </w:rPr>
        <w:t>9.3期末基金管理人的从业人员持有本开放式基金份额总量区间情况</w:t>
      </w:r>
      <w:bookmarkEnd w:id="49"/>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bl>
    <w:p>
      <w:pPr>
        <w:pStyle w:val="14"/>
        <w:rPr>
          <w:rFonts w:hint="eastAsia"/>
        </w:rPr>
      </w:pPr>
      <w:bookmarkStart w:id="50" w:name="_Toc510100528"/>
      <w:r>
        <w:rPr>
          <w:rFonts w:hint="eastAsia"/>
          <w:b/>
          <w:bCs/>
        </w:rPr>
        <w:t>9.4发起式基金发起资金持有份额情况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2,001,178.45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11,781,339.59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10,001,898.54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1" w:name="_Toc510100529"/>
      <w:r>
        <w:rPr>
          <w:rFonts w:hint="eastAsia" w:hAnsi="Calibri"/>
          <w:b/>
          <w:color w:val="000000"/>
        </w:rPr>
        <w:t>§10  开放式基金份额变动</w:t>
      </w:r>
      <w:bookmarkEnd w:id="51"/>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7,106,920.17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3,080,802.48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9,450,982.01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3,383,235.78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151,674,720.44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7,380,065.77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3,507,776.59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6,376,231.36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157,617,925.86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4,387,070.19</w:t>
            </w:r>
          </w:p>
        </w:tc>
      </w:tr>
    </w:tbl>
    <w:p>
      <w:pPr>
        <w:pStyle w:val="13"/>
        <w:rPr>
          <w:rFonts w:hint="eastAsia"/>
        </w:rPr>
      </w:pPr>
      <w:bookmarkStart w:id="52" w:name="_Toc510100530"/>
      <w:r>
        <w:rPr>
          <w:rFonts w:hint="eastAsia" w:hAnsi="Calibri"/>
          <w:b/>
          <w:color w:val="000000"/>
        </w:rPr>
        <w:t>§11  重大事件揭示</w:t>
      </w:r>
      <w:bookmarkEnd w:id="52"/>
    </w:p>
    <w:p>
      <w:pPr>
        <w:widowControl/>
        <w:jc w:val="left"/>
        <w:rPr>
          <w:rFonts w:hint="eastAsia" w:ascii="宋体" w:hAnsi="宋体" w:cs="宋体"/>
          <w:kern w:val="0"/>
          <w:sz w:val="24"/>
          <w:szCs w:val="24"/>
        </w:rPr>
      </w:pPr>
    </w:p>
    <w:p>
      <w:pPr>
        <w:pStyle w:val="14"/>
        <w:rPr>
          <w:rFonts w:hint="eastAsia"/>
        </w:rPr>
      </w:pPr>
      <w:bookmarkStart w:id="53" w:name="_Toc510100531"/>
      <w:r>
        <w:rPr>
          <w:rFonts w:hint="eastAsia"/>
          <w:b/>
          <w:bCs/>
        </w:rPr>
        <w:t>11.1 基金份额持有人大会决议</w:t>
      </w:r>
      <w:bookmarkEnd w:id="53"/>
    </w:p>
    <w:p>
      <w:pPr>
        <w:pStyle w:val="20"/>
        <w:rPr>
          <w:rFonts w:hint="eastAsia"/>
        </w:rPr>
      </w:pPr>
      <w:r>
        <w:rPr>
          <w:rFonts w:hint="eastAsia"/>
        </w:rPr>
        <w:t>  本报告期内未召开基金份额持有人大会。</w:t>
      </w:r>
    </w:p>
    <w:p>
      <w:pPr>
        <w:pStyle w:val="14"/>
        <w:rPr>
          <w:rFonts w:hint="eastAsia"/>
        </w:rPr>
      </w:pPr>
      <w:bookmarkStart w:id="54" w:name="_Toc510100532"/>
      <w:r>
        <w:rPr>
          <w:rFonts w:hint="eastAsia"/>
          <w:b/>
          <w:bCs/>
        </w:rPr>
        <w:t>11.2 基金管理人、基金托管人的专门基金托管部门的重大人事变动</w:t>
      </w:r>
      <w:bookmarkEnd w:id="54"/>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5" w:name="_Toc510100533"/>
      <w:r>
        <w:rPr>
          <w:rFonts w:hint="eastAsia"/>
          <w:b/>
          <w:bCs/>
        </w:rPr>
        <w:t>11.3 涉及基金管理人、基金财产、基金托管业务的诉讼</w:t>
      </w:r>
      <w:bookmarkEnd w:id="55"/>
    </w:p>
    <w:p>
      <w:pPr>
        <w:pStyle w:val="20"/>
        <w:rPr>
          <w:rFonts w:hint="eastAsia"/>
        </w:rPr>
      </w:pPr>
      <w:r>
        <w:rPr>
          <w:rFonts w:hint="eastAsia"/>
        </w:rPr>
        <w:t>  本报告期内，未出现涉及基金管理人、基金财产、基金托管业务的诉讼。</w:t>
      </w:r>
    </w:p>
    <w:p>
      <w:pPr>
        <w:pStyle w:val="14"/>
        <w:rPr>
          <w:rFonts w:hint="eastAsia"/>
        </w:rPr>
      </w:pPr>
      <w:bookmarkStart w:id="56" w:name="_Toc510100534"/>
      <w:r>
        <w:rPr>
          <w:rFonts w:hint="eastAsia"/>
          <w:b/>
          <w:bCs/>
        </w:rPr>
        <w:t>11.4 基金投资策略的改变</w:t>
      </w:r>
      <w:bookmarkEnd w:id="56"/>
    </w:p>
    <w:p>
      <w:pPr>
        <w:pStyle w:val="20"/>
        <w:rPr>
          <w:rFonts w:hint="eastAsia"/>
        </w:rPr>
      </w:pPr>
      <w:r>
        <w:rPr>
          <w:rFonts w:hint="eastAsia"/>
        </w:rPr>
        <w:t>  本报告期内基金投资策略无重大改变。</w:t>
      </w:r>
    </w:p>
    <w:p>
      <w:pPr>
        <w:pStyle w:val="14"/>
        <w:rPr>
          <w:rFonts w:hint="eastAsia"/>
        </w:rPr>
      </w:pPr>
      <w:bookmarkStart w:id="57" w:name="_Toc510100535"/>
      <w:r>
        <w:rPr>
          <w:rFonts w:hint="eastAsia"/>
          <w:b/>
          <w:bCs/>
        </w:rPr>
        <w:t>11.5 为基金进行审计的会计师事务所情况</w:t>
      </w:r>
      <w:bookmarkEnd w:id="57"/>
    </w:p>
    <w:p>
      <w:pPr>
        <w:pStyle w:val="20"/>
        <w:rPr>
          <w:rFonts w:hint="eastAsia"/>
        </w:rPr>
      </w:pPr>
      <w:r>
        <w:rPr>
          <w:rFonts w:hint="eastAsia"/>
        </w:rPr>
        <w:t>  本报告期内本基金未更换会计师事务所,本年度支付给普华永道中天会计师事务所(特殊普通合伙)审计费用35,000.00元,该审计机构连续提供审计服务的年限为1年。 </w:t>
      </w:r>
    </w:p>
    <w:p>
      <w:pPr>
        <w:pStyle w:val="14"/>
        <w:rPr>
          <w:rFonts w:hint="eastAsia"/>
        </w:rPr>
      </w:pPr>
      <w:bookmarkStart w:id="58" w:name="_Toc510100536"/>
      <w:r>
        <w:rPr>
          <w:rFonts w:hint="eastAsia"/>
          <w:b/>
          <w:bCs/>
        </w:rPr>
        <w:t>11.6 管理人、托管人及其高级管理人员受稽查或处罚等情况</w:t>
      </w:r>
      <w:bookmarkEnd w:id="58"/>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59" w:name="_Toc510100537"/>
      <w:r>
        <w:rPr>
          <w:rFonts w:hint="eastAsia"/>
          <w:b/>
          <w:bCs/>
        </w:rPr>
        <w:t>11.7 基金租用证券公司交易单元的有关情况</w:t>
      </w:r>
      <w:bookmarkEnd w:id="59"/>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1,371,791.40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31,336,156.49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22,801.19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20,475,110.29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14,712.45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1,162,246.66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843.29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283,069,772.32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204,197.39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3,527,875.55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2,543.29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0"/>
        <w:gridCol w:w="629"/>
        <w:gridCol w:w="1050"/>
        <w:gridCol w:w="787"/>
        <w:gridCol w:w="1071"/>
        <w:gridCol w:w="629"/>
        <w:gridCol w:w="1050"/>
        <w:gridCol w:w="62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0" w:name="_Toc510100538"/>
      <w:r>
        <w:rPr>
          <w:rFonts w:hint="eastAsia"/>
          <w:b/>
          <w:bCs/>
        </w:rPr>
        <w:t>11.8 其他重大事件</w:t>
      </w:r>
      <w:bookmarkEnd w:id="60"/>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创金合信优价成长股票型发起式证券投资基金暂停大额申购的公告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1" w:name="_Toc510100539"/>
      <w:r>
        <w:rPr>
          <w:rFonts w:hint="eastAsia" w:hAnsi="Calibri"/>
          <w:b/>
          <w:color w:val="000000"/>
        </w:rPr>
        <w:t>§12  影响投资者决策的其他重要信息</w:t>
      </w:r>
      <w:bookmarkEnd w:id="61"/>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2" w:name="_Toc510100540"/>
      <w:r>
        <w:rPr>
          <w:rFonts w:hint="eastAsia"/>
          <w:b/>
          <w:bCs/>
        </w:rPr>
        <w:t>12.1 报告期内单一投资者持有基金份额比例达到或超过20%的情况</w:t>
      </w:r>
      <w:bookmarkEnd w:id="62"/>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20170223-20171231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3,005,069.97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775,549.53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541"/>
      <w:r>
        <w:rPr>
          <w:rFonts w:hint="eastAsia"/>
          <w:b/>
          <w:bCs/>
        </w:rPr>
        <w:t>12.2 影响投资者决策的其他重要信息</w:t>
      </w:r>
      <w:bookmarkEnd w:id="63"/>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542"/>
      <w:r>
        <w:rPr>
          <w:rFonts w:hint="eastAsia" w:hAnsi="Calibri"/>
          <w:b/>
          <w:color w:val="000000"/>
        </w:rPr>
        <w:t>§13  备查文件目录</w:t>
      </w:r>
      <w:bookmarkEnd w:id="64"/>
    </w:p>
    <w:p>
      <w:pPr>
        <w:widowControl/>
        <w:jc w:val="left"/>
        <w:rPr>
          <w:rFonts w:hint="eastAsia" w:ascii="宋体" w:hAnsi="宋体" w:cs="宋体"/>
          <w:kern w:val="0"/>
          <w:sz w:val="24"/>
          <w:szCs w:val="24"/>
        </w:rPr>
      </w:pPr>
    </w:p>
    <w:p>
      <w:pPr>
        <w:pStyle w:val="14"/>
        <w:rPr>
          <w:rFonts w:hint="eastAsia"/>
        </w:rPr>
      </w:pPr>
      <w:bookmarkStart w:id="65" w:name="_Toc510100543"/>
      <w:r>
        <w:rPr>
          <w:rFonts w:hint="eastAsia"/>
          <w:b/>
          <w:bCs/>
        </w:rPr>
        <w:t>13.1 备查文件目录</w:t>
      </w:r>
      <w:r>
        <w:rPr>
          <w:rFonts w:hint="eastAsia"/>
        </w:rPr>
        <w:t>.</w:t>
      </w:r>
      <w:bookmarkEnd w:id="65"/>
    </w:p>
    <w:p>
      <w:pPr>
        <w:pStyle w:val="20"/>
        <w:rPr>
          <w:rFonts w:hint="eastAsia"/>
        </w:rPr>
      </w:pPr>
      <w:r>
        <w:rPr>
          <w:rFonts w:hint="eastAsia"/>
        </w:rPr>
        <w:t>  1、《创金合信优价成长股票型发起式证券投资基金基金合同》;</w:t>
      </w:r>
      <w:r>
        <w:rPr>
          <w:rFonts w:hint="eastAsia"/>
        </w:rPr>
        <w:br w:type="textWrapping"/>
      </w:r>
      <w:r>
        <w:rPr>
          <w:rFonts w:hint="eastAsia"/>
        </w:rPr>
        <w:t>  2、《创金合信优价成长股票型发起式证券投资基金托管协议》;</w:t>
      </w:r>
      <w:r>
        <w:rPr>
          <w:rFonts w:hint="eastAsia"/>
        </w:rPr>
        <w:br w:type="textWrapping"/>
      </w:r>
      <w:r>
        <w:rPr>
          <w:rFonts w:hint="eastAsia"/>
        </w:rPr>
        <w:t>  3、创金合信优价成长股票型发起式证券投资基金2017年年度报告</w:t>
      </w:r>
    </w:p>
    <w:p>
      <w:pPr>
        <w:pStyle w:val="14"/>
        <w:rPr>
          <w:rFonts w:hint="eastAsia"/>
        </w:rPr>
      </w:pPr>
      <w:bookmarkStart w:id="66" w:name="_Toc510100544"/>
      <w:r>
        <w:rPr>
          <w:rFonts w:hint="eastAsia"/>
          <w:b/>
          <w:bCs/>
        </w:rPr>
        <w:t>13.2 存放地点</w:t>
      </w:r>
      <w:bookmarkEnd w:id="66"/>
    </w:p>
    <w:p>
      <w:pPr>
        <w:pStyle w:val="20"/>
        <w:rPr>
          <w:rFonts w:hint="eastAsia"/>
        </w:rPr>
      </w:pPr>
      <w:r>
        <w:rPr>
          <w:rFonts w:hint="eastAsia"/>
        </w:rPr>
        <w:t>  深圳市福田中心区福华一路115号投行大厦15楼</w:t>
      </w:r>
    </w:p>
    <w:p>
      <w:pPr>
        <w:pStyle w:val="14"/>
        <w:rPr>
          <w:rFonts w:hint="eastAsia"/>
        </w:rPr>
      </w:pPr>
      <w:bookmarkStart w:id="67" w:name="_Toc510100545"/>
      <w:r>
        <w:rPr>
          <w:rFonts w:hint="eastAsia"/>
          <w:b/>
          <w:bCs/>
        </w:rPr>
        <w:t>13.3 查阅方式</w:t>
      </w:r>
      <w:bookmarkEnd w:id="67"/>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创金合信优价成长股票型发起式证券投资基金2017年年度报告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796"/>
    <w:rsid w:val="0001532C"/>
    <w:rsid w:val="001B15D3"/>
    <w:rsid w:val="007E3796"/>
    <w:rsid w:val="00AE40DB"/>
    <w:rsid w:val="406149D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8005</Words>
  <Characters>45630</Characters>
  <Lines>380</Lines>
  <Paragraphs>107</Paragraphs>
  <TotalTime>0</TotalTime>
  <ScaleCrop>false</ScaleCrop>
  <LinksUpToDate>false</LinksUpToDate>
  <CharactersWithSpaces>53528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2018-03-29T07:25:00Z</dcterms:created>
  <dc:creator>贺祎琪</dc:creator>
  <cp:lastModifiedBy>Administrator</cp:lastModifiedBy>
  <dcterms:modified xsi:type="dcterms:W3CDTF">2019-12-26T14:08:26Z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