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创金合信优价成长股票型发起式证券投资基金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870"/>
      <w:r>
        <w:rPr>
          <w:rFonts w:hint="eastAsia" w:hAnsi="Calibri"/>
          <w:b/>
          <w:color w:val="000000"/>
        </w:rPr>
        <w:t>§1  重要提示及目录</w:t>
      </w:r>
      <w:bookmarkEnd w:id="0"/>
      <w:r>
        <w:rPr>
          <w:rFonts w:hint="eastAsia"/>
        </w:rPr>
        <w:t xml:space="preserve"> </w:t>
      </w:r>
    </w:p>
    <w:p>
      <w:pPr>
        <w:pStyle w:val="14"/>
        <w:rPr>
          <w:rFonts w:hint="eastAsia"/>
        </w:rPr>
      </w:pPr>
      <w:bookmarkStart w:id="1" w:name="_Toc4526871"/>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872"/>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"_Toc4526870"</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_Toc4526870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"_Toc4526871"</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_Toc4526871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"_Toc4526872"</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_Toc4526872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"_Toc4526873"</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_Toc4526873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"_Toc4526874"</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_Toc4526874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"_Toc4526875"</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_Toc4526875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"_Toc4526876"</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_Toc4526876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"_Toc4526877"</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_Toc4526877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"_Toc4526878"</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_Toc4526878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"_Toc4526879"</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_Toc4526879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"_Toc4526880"</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_Toc4526880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"_Toc4526881"</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_Toc4526881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"_Toc4526882"</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_Toc4526882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"_Toc4526883"</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_Toc4526883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"_Toc4526884"</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_Toc4526884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"_Toc4526885"</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_Toc4526885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"_Toc4526886"</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_Toc4526886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"_Toc4526887"</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_Toc4526887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"_Toc4526888"</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_Toc4526888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"_Toc4526889"</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_Toc4526889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"_Toc4526890"</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_Toc4526890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"_Toc4526891"</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_Toc4526891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"_Toc4526892"</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_Toc4526892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"_Toc4526893"</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_Toc4526893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"_Toc4526894"</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_Toc4526894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"_Toc4526895"</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_Toc4526895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"_Toc4526896"</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_Toc4526896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"_Toc4526897"</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_Toc4526897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"_Toc4526898"</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_Toc4526898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"_Toc4526899"</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_Toc4526899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"_Toc4526900"</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_Toc4526900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"_Toc4526901"</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_Toc4526901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"_Toc4526902"</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_Toc4526902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"_Toc4526903"</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_Toc4526903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"_Toc4526904"</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_Toc4526904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"_Toc4526905"</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_Toc4526905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"_Toc4526906"</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_Toc4526906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"_Toc4526907"</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_Toc4526907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"_Toc4526908"</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_Toc4526908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"_Toc4526909"</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_Toc4526909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"_Toc4526910"</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_Toc4526910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"_Toc4526911"</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_Toc4526911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"_Toc4526912"</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_Toc4526912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"_Toc4526913"</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_Toc4526913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"_Toc4526914"</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_Toc4526914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"_Toc4526915"</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_Toc4526915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"_Toc4526916"</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_Toc4526916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"_Toc4526917"</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_Toc4526917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"_Toc4526918"</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_Toc4526918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"_Toc4526919"</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_Toc4526919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"_Toc4526920"</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_Toc4526920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"_Toc4526921"</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_Toc4526921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"_Toc4526922"</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_Toc4526922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"_Toc4526923"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_Toc4526923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"_Toc4526924"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_Toc4526924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_Toc4526925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_Toc4526926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_Toc4526927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_Toc4526928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_Toc4526929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_Toc4526930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_Toc4526931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_Toc4526932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"_Toc4526933"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_Toc4526933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_Toc4526934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_Toc4526935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"_Toc4526936"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_Toc4526936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_Toc4526937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_Toc4526938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_Toc4526939 \h </w:instrText>
      </w:r>
      <w:r>
        <w:rPr>
          <w:lang/>
        </w:rPr>
        <w:fldChar w:fldCharType="separate"/>
      </w:r>
      <w:r>
        <w:rPr>
          <w:lang/>
        </w:rPr>
        <w:t>68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873"/>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874"/>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25,008,310.82份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17,261,487.23份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7,746,823.59份</w:t>
            </w:r>
          </w:p>
        </w:tc>
      </w:tr>
    </w:tbl>
    <w:p>
      <w:pPr>
        <w:widowControl/>
        <w:jc w:val="left"/>
        <w:rPr>
          <w:rFonts w:hint="eastAsia" w:ascii="宋体" w:hAnsi="宋体" w:cs="宋体"/>
          <w:kern w:val="0"/>
          <w:sz w:val="24"/>
          <w:szCs w:val="24"/>
        </w:rPr>
      </w:pPr>
    </w:p>
    <w:p>
      <w:pPr>
        <w:pStyle w:val="14"/>
        <w:rPr>
          <w:rFonts w:hint="eastAsia"/>
        </w:rPr>
      </w:pPr>
      <w:bookmarkStart w:id="5" w:name="_Toc4526875"/>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本基金秉承“理性分析价值，深度挖掘成长”的投资理念，以GARP（Growth at a Reasonable Price）策略为核心，致力于寻找市场上具备成长潜力的上市公司，在其估值合理或被低估的时候，以更具估值优势的价格买入并相对长期持有，力争为投资者创造超越业绩比较基准的回报。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本基金的投资策略以GARP（Growth at a Reasonable Price）策略为核心，是一种价值与成长并重的混合型投资策略。该策略的目标是：通过对行业和公司的深入基本面研究，寻找具备成长潜力的上市公司，在其估值合理或被低估的时候，以更具估值优势的价格买入并相对长期持有。GARP策略融合了价值策略和成长策略的优势，以成长为目标，分享了具备核心竞争力的优质企业成长所带来的丰厚收益；以具备相对估值优势的价格为标尺，筛选低估值股票，有效控制市场波动时的风险。在股票市场价值风格与成长风格发生轮动时，GARP策略可兼顾价值与成长两种特征，能有效平滑收益波动，提高股票组合风险调整后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中证800指数收益率×90%＋一年期人民币定期存款利率（税后）×10%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26876"/>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877"/>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526878"/>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879"/>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880"/>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2016年11月02日（基金合同生效日）-2016年12月31日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-51,929,983.26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-2,731,470.07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25,004,215.64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721,614.20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-50,137,036.63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-1,626,262.64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18,273,514.30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636,159.40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-244,925.87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-94,165.58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-5,561,090.54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-2,492,872.36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14,674,743.03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6,585,241.76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179,182,577.45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4,978,384.65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9,240,433.28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3,306,309.01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526881"/>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创金合信优价成长股票A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bl>
    <w:p>
      <w:pPr>
        <w:pStyle w:val="17"/>
        <w:rPr>
          <w:rFonts w:hint="eastAsia"/>
        </w:rPr>
      </w:pPr>
      <w:r>
        <w:rPr>
          <w:rFonts w:hint="eastAsia" w:hAnsi="Calibri"/>
          <w:color w:val="000000"/>
        </w:rPr>
        <w:t>创金合信优价成长股票C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3622_FB010010_20190002_2.jpg" type="#_x0000_t75" style="height:286.5pt;width:441pt;" filled="f" stroked="f" coordsize="21600,21600">
            <v:path/>
            <v:fill on="f" focussize="0,0"/>
            <v:stroke on="f"/>
            <v:imagedata r:id="rId7" grayscale="f" bilevel="f" o:title="CN_50990000_003622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3622_FB010010_20190002_3.jpg" type="#_x0000_t75" style="height:286.5pt;width:441pt;" filled="f" stroked="f" coordsize="21600,21600">
            <v:path/>
            <v:fill on="f" focussize="0,0"/>
            <v:stroke on="f"/>
            <v:imagedata r:id="rId8" grayscale="f" bilevel="f" o:title="CN_50990000_00362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3622_FB010010_20190002_6.jpg" type="#_x0000_t75" style="height:286.5pt;width:441pt;" filled="f" stroked="f" coordsize="21600,21600">
            <v:path/>
            <v:fill on="f" focussize="0,0"/>
            <v:stroke on="f"/>
            <v:imagedata r:id="rId9" grayscale="f" bilevel="f" o:title="CN_50990000_003622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3622_FB010010_20190002_7.jpg" type="#_x0000_t75" style="height:286.5pt;width:441pt;" filled="f" stroked="f" coordsize="21600,21600">
            <v:path/>
            <v:fill on="f" focussize="0,0"/>
            <v:stroke on="f"/>
            <v:imagedata r:id="rId10" grayscale="f" bilevel="f" o:title="CN_50990000_003622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882"/>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883"/>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884"/>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885"/>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886"/>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887"/>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hAnsi="Calibri"/>
          <w:color w:val="000000"/>
        </w:rPr>
      </w:pPr>
      <w:r>
        <w:rPr>
          <w:rFonts w:hint="eastAsia" w:hAnsi="Calibri"/>
          <w:color w:val="000000"/>
        </w:rPr>
        <w:t>本基金秉承"理性分析价值，深度挖掘成长"的投资理念，以GARP(Growth at a Reasonable Price)策略为核心，致力于寻找市场上具备成长潜力的上市公司，在其估值合理或被低估的时候，以更具估值优势的价格买入并相对长期持有。</w:t>
      </w:r>
    </w:p>
    <w:p>
      <w:pPr>
        <w:pStyle w:val="20"/>
        <w:spacing w:before="0"/>
        <w:ind w:left="0" w:firstLine="480"/>
        <w:rPr>
          <w:rFonts w:hint="eastAsia"/>
        </w:rPr>
      </w:pPr>
      <w:r>
        <w:rPr>
          <w:rFonts w:hint="eastAsia" w:hAnsi="Calibri"/>
          <w:color w:val="000000"/>
        </w:rPr>
        <w:t>在过去的一年中，股票市场整体呈现震荡下行态势，不同行业板块渐次下跌。由于此前我们认为在未来较长一段时间内经济都将处于调整期，并没有盲目乐观，因此在构建投资组合过程中我们重点配置了具备较高景气度且估值较低的行业，重点选择了估值较低、公司竞争力较强的标的，以及一些公司质地较好且有望逐步渡过发展瓶颈的标的。但在经济下行压力加大及市场整体下跌的压力下产品净值也出现一定程度下跌，从全年看投资业绩基本与业绩基准持平。</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优价成长股票A基金份额净值为0.8501元，本报告期内，该类基金份额净值增长率为-25.22%，同期业绩比较基准收益率为-24.76%；截至报告期末创金合信优价成长股票C基金份额净值为0.8501元，本报告期内，该类基金份额净值增长率为-25.09%，同期业绩比较基准收益率为-24.76%。</w:t>
      </w:r>
    </w:p>
    <w:p>
      <w:pPr>
        <w:widowControl/>
        <w:jc w:val="left"/>
        <w:rPr>
          <w:rFonts w:hint="eastAsia" w:ascii="宋体" w:hAnsi="宋体" w:cs="宋体"/>
          <w:kern w:val="0"/>
          <w:sz w:val="24"/>
          <w:szCs w:val="24"/>
        </w:rPr>
      </w:pPr>
    </w:p>
    <w:p>
      <w:pPr>
        <w:pStyle w:val="14"/>
        <w:rPr>
          <w:rFonts w:hint="eastAsia"/>
        </w:rPr>
      </w:pPr>
      <w:bookmarkStart w:id="18" w:name="_Toc4526888"/>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目前我国经济仍处于"转型升级"的过程中，面临的很多问题都是过去多年经济高速发展过程中积累而成的，绝非一朝一夕所能解决和改变的，同时新动能的培育和成长还面临内部积累尚显不足和外部压制等问题。因此我们认为：未来较长一段时间内，经济大概率处于上有顶、下有底的区间中调整。</w:t>
      </w:r>
    </w:p>
    <w:p>
      <w:pPr>
        <w:pStyle w:val="20"/>
        <w:spacing w:before="0"/>
        <w:ind w:left="0" w:firstLine="480"/>
        <w:rPr>
          <w:rFonts w:hint="eastAsia" w:hAnsi="Calibri"/>
          <w:color w:val="000000"/>
        </w:rPr>
      </w:pPr>
      <w:r>
        <w:rPr>
          <w:rFonts w:hint="eastAsia" w:hAnsi="Calibri"/>
          <w:color w:val="000000"/>
        </w:rPr>
        <w:t>经济的"转型升级"对于企业而言很可能以汰弱留强的形式呈现，如果这种判断成立，则资本市场也将对此做出反应，分化仍将在较长一段时间中得以延续。基于基本面研究我们相信：在未来较长一段时间内很多行业中都将次第出现集中度提升的现象，这是经济发展到一定阶段后不可阻挡的趋势。在集中度提升过程中，少数优质企业将在行业中脱颖而出，获得更大的市场份额和利润回报，从而支撑更大规模的研发投入和技术升级，进而形成更强的竞争优势，最终形成正反馈机制。这一类的企业将是我们未来投资的重点。</w:t>
      </w:r>
    </w:p>
    <w:p>
      <w:pPr>
        <w:pStyle w:val="20"/>
        <w:spacing w:before="0"/>
        <w:ind w:left="0" w:firstLine="480"/>
        <w:rPr>
          <w:rFonts w:hint="eastAsia" w:hAnsi="Calibri"/>
          <w:color w:val="000000"/>
        </w:rPr>
      </w:pPr>
      <w:r>
        <w:rPr>
          <w:rFonts w:hint="eastAsia" w:hAnsi="Calibri"/>
          <w:color w:val="000000"/>
        </w:rPr>
        <w:t>未来较长一段时间中，在经济持续增长的背景下，消费升级仍将继续。虽然短期看消费受到多重因素的压制，但从长期看经济的增长和收入的提升仍将推动消费规模和品质的提升。在消费升级的过程中，一些具备规模效应的行业中，优质公司也将获得巨大的成长空间和增长潜力。</w:t>
      </w:r>
    </w:p>
    <w:p>
      <w:pPr>
        <w:pStyle w:val="20"/>
        <w:spacing w:before="0"/>
        <w:ind w:left="0" w:firstLine="480"/>
        <w:rPr>
          <w:rFonts w:hint="eastAsia" w:hAnsi="Calibri"/>
          <w:color w:val="000000"/>
        </w:rPr>
      </w:pPr>
      <w:r>
        <w:rPr>
          <w:rFonts w:hint="eastAsia" w:hAnsi="Calibri"/>
          <w:color w:val="000000"/>
        </w:rPr>
        <w:t>未来较长一段时间中，国企改革仍大有可为。部分优质国有企业经过多年积累已经形成了自身在管理、研发等方面的优势，在国企改革的推动下，在约束和激励机制逐步市场化之后，这些潜在的优势都将逐步得以释放和发挥，从而推动企业新一轮的腾飞。</w:t>
      </w:r>
    </w:p>
    <w:p>
      <w:pPr>
        <w:pStyle w:val="20"/>
        <w:spacing w:before="0"/>
        <w:ind w:left="0" w:firstLine="480"/>
        <w:rPr>
          <w:rFonts w:hint="eastAsia"/>
        </w:rPr>
      </w:pPr>
      <w:r>
        <w:rPr>
          <w:rFonts w:hint="eastAsia" w:hAnsi="Calibri"/>
          <w:color w:val="000000"/>
        </w:rPr>
        <w:t>未来我们将对投资组合持续进行优化，从而实现投资组合风险和收益的相对均衡，重点关注结构性的投资机会，获取相对合理的收益。</w:t>
      </w:r>
    </w:p>
    <w:p>
      <w:pPr>
        <w:widowControl/>
        <w:jc w:val="left"/>
        <w:rPr>
          <w:rFonts w:hint="eastAsia" w:ascii="宋体" w:hAnsi="宋体" w:cs="宋体"/>
          <w:kern w:val="0"/>
          <w:sz w:val="24"/>
          <w:szCs w:val="24"/>
        </w:rPr>
      </w:pPr>
    </w:p>
    <w:p>
      <w:pPr>
        <w:pStyle w:val="14"/>
        <w:rPr>
          <w:rFonts w:hint="eastAsia"/>
        </w:rPr>
      </w:pPr>
      <w:bookmarkStart w:id="19" w:name="_Toc4526889"/>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890"/>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891"/>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892"/>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26893"/>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894"/>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优价成长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895"/>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优价成长股票型发起式证券投资基金的管理人--创金合信基金管理有限公司在创金合信优价成长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优价成长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26896"/>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优价成长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897"/>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898"/>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普华永道中天审字(2019)第24778号</w:t>
            </w:r>
          </w:p>
        </w:tc>
      </w:tr>
    </w:tbl>
    <w:p>
      <w:pPr>
        <w:widowControl/>
        <w:jc w:val="left"/>
        <w:rPr>
          <w:rFonts w:hint="eastAsia" w:ascii="宋体" w:hAnsi="宋体" w:cs="宋体"/>
          <w:kern w:val="0"/>
          <w:sz w:val="24"/>
          <w:szCs w:val="24"/>
        </w:rPr>
      </w:pPr>
    </w:p>
    <w:p>
      <w:pPr>
        <w:pStyle w:val="14"/>
        <w:rPr>
          <w:rFonts w:hint="eastAsia"/>
        </w:rPr>
      </w:pPr>
      <w:bookmarkStart w:id="29" w:name="_Toc4526899"/>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优价成长股票型发起式证券投资基金(以下简称“创金合信优价成长股票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价成长股票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按照中国注册会计师职业道德守则，我们独立于创金合信优价成长股票基金，并履行了职业道德方面的其他责任。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价成长股票基金的持续经营能力，披露与持续经营相关的事项(如适用)，并运用持续经营假设，除非基金管理人管理层计划清算创金合信优价成长股票基金、终止运营或别无其他现实的选择。 基金管理人治理层负责监督创金合信优价成长股票基金的财务报告过程。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价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价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900"/>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901"/>
      <w:r>
        <w:rPr>
          <w:rFonts w:hint="eastAsia"/>
          <w:b/>
          <w:bCs/>
        </w:rPr>
        <w:t>7.1 资产负债表</w:t>
      </w:r>
      <w:bookmarkEnd w:id="31"/>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26,854.12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366,577.24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25,008,310.82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-3,748,326.03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21,259,984.79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bl>
    <w:p>
      <w:pPr>
        <w:pStyle w:val="20"/>
        <w:rPr>
          <w:rFonts w:hint="eastAsia"/>
        </w:rPr>
      </w:pPr>
      <w:r>
        <w:rPr>
          <w:rFonts w:hint="eastAsia"/>
        </w:rPr>
        <w:t>注：报告截止日2018年12月31日，基金份额总额25,008,310.82份，其中下属A类基金份额17,261,487.23份，C类基金份额7,746,823.59份。下属A类基金份额净值0.8501元，C类基金份额净值0.8501元。</w:t>
      </w:r>
    </w:p>
    <w:p>
      <w:pPr>
        <w:widowControl/>
        <w:jc w:val="left"/>
        <w:rPr>
          <w:rFonts w:hint="eastAsia" w:ascii="宋体" w:hAnsi="宋体" w:cs="宋体"/>
          <w:kern w:val="0"/>
          <w:sz w:val="24"/>
          <w:szCs w:val="24"/>
        </w:rPr>
      </w:pPr>
    </w:p>
    <w:p>
      <w:pPr>
        <w:pStyle w:val="14"/>
        <w:rPr>
          <w:rFonts w:hint="eastAsia"/>
        </w:rPr>
      </w:pPr>
      <w:bookmarkStart w:id="32" w:name="_Toc4526902"/>
      <w:r>
        <w:rPr>
          <w:rFonts w:hint="eastAsia"/>
          <w:b/>
          <w:bCs/>
        </w:rPr>
        <w:t>7.2 利润表</w:t>
      </w:r>
      <w:bookmarkEnd w:id="32"/>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-49,050,707.34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22,093,771.40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85,709.33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21,595.96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-52,128,791.85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28,784,612.30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-55,890,282.10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2,712,591.93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3,184,097.70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1,811,875.62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301,979.33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25,453.44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22,324.86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bl>
    <w:p>
      <w:pPr>
        <w:widowControl/>
        <w:jc w:val="left"/>
        <w:rPr>
          <w:rFonts w:hint="eastAsia" w:ascii="宋体" w:hAnsi="宋体" w:cs="宋体"/>
          <w:kern w:val="0"/>
          <w:sz w:val="24"/>
          <w:szCs w:val="24"/>
        </w:rPr>
      </w:pPr>
    </w:p>
    <w:p>
      <w:pPr>
        <w:pStyle w:val="14"/>
        <w:rPr>
          <w:rFonts w:hint="eastAsia"/>
        </w:rPr>
      </w:pPr>
      <w:bookmarkStart w:id="33" w:name="_Toc4526903"/>
      <w:r>
        <w:rPr>
          <w:rFonts w:hint="eastAsia"/>
          <w:b/>
          <w:bCs/>
        </w:rPr>
        <w:t>7.3 所有者权益（基金净值）变动表</w:t>
      </w:r>
      <w:bookmarkEnd w:id="33"/>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-136,996,685.23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25,859,007.19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-111,137,678.04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46,277,490.57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2,987,843.92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49,265,334.49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-183,274,175.80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22,871,163.27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-160,403,012.53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25,008,310.82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-3,748,326.03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21,259,984.79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149,170,778.26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3,533,767.85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152,704,546.11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159,054,786.21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4,463,555.57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163,518,341.78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-9,884,007.95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-929,787.72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-10,813,795.67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904"/>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优价成长股票型发起式证券投资基金(以下简称"本基金")经中国证券监督管理委员会(以下简称"中国证监会")证监许可[2016]2275号《关于准予创金合信优价成长股票型发起式证券投资基金注册的批复》核准，由创金合信基金管理有限公司依照《中华人民共和国证券投资基金法》和《创金合信优价成长股票型发起式证券投资基金基金合同》负责公开募集。本基金为契约型开放式，存续期限不定，首次设立募集不包括认购资金利息共募集人民币10,186,822.11元，业经普华永道中天会计师事务所(特殊普通合伙)普华永道中天验字(2016)第1362号验资报告予以验证。经向中国证监会备案，《创金合信优价成长股票型发起式证券投资基金基金合同》于2016年11月2日正式生效，基金合同生效日的基金份额总额为10,187,722.65份基金份额，其中认购资金利息折合900.54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本基金为发起式基金，发起资金认购部分为10,001,898.54份基金份额，发起资金认购方承诺使用发起资金认购的基金份额持有期限不少于3年。</w:t>
      </w:r>
    </w:p>
    <w:p>
      <w:pPr>
        <w:pStyle w:val="20"/>
        <w:spacing w:before="0"/>
        <w:ind w:left="0" w:firstLine="480"/>
        <w:rPr>
          <w:rFonts w:hint="eastAsia"/>
        </w:rPr>
      </w:pPr>
      <w:r>
        <w:rPr>
          <w:rFonts w:hint="eastAsia"/>
        </w:rPr>
        <w:t>根据《创金合信优价成长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优价成长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但须符合中国证监会相关规定)。本基金的业绩比较基准为：中证800指数收益率×90%＋一年期人民币定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价成长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人民币21,259,984.79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本基金会计年度为公历1月1日起至12月31日止。比较财务报表的实际编制期间为2017年1月1日至2017年12月31日止期间。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20"/>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盈率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24,382,622.46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-4,282,729.03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24,382,622.46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-4,282,729.03</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创金合信优价成长股票A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31,988,903.73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31,988,903.73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-172,345,342.36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-172,345,342.36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17,261,487.23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17,261,487.23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创金合信优价成长股票C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14,288,586.84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14,288,586.84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-10,928,833.44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-10,928,833.44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7,746,823.59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7,746,823.59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创金合信优价成长股票A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25,801,298.04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-4,236,646.45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-51,929,983.26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1,792,946.63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-50,137,036.63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20,567,594.68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5,418,046.16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25,985,640.84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4,628,825.65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-497,082.39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4,131,743.26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15,938,769.03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5,915,128.55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21,853,897.58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-5,561,090.54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2,974,346.34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-2,586,744.20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创金合信优价成长股票C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709,199.06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-117,884.60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-2,731,470.07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1,105,207.43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-1,626,262.64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-470,601.35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343,967.70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-126,633.65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-1,957,666.73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813,767.39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-1,143,899.34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1,487,065.38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-469,799.69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1,017,265.69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-2,492,872.36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1,331,290.53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-1,161,581.83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212,253,891.94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268,144,174.04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89,914,375.30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-55,890,282.10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117,244.50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bl>
    <w:p>
      <w:pPr>
        <w:pStyle w:val="20"/>
        <w:rPr>
          <w:rFonts w:hint="eastAsia"/>
        </w:rPr>
      </w:pPr>
      <w:r>
        <w:rPr>
          <w:rFonts w:hint="eastAsia"/>
        </w:rPr>
        <w:t>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1,811,875.62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22,344.26</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301,979.33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14,820.35</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r>
    </w:tbl>
    <w:p>
      <w:pPr>
        <w:pStyle w:val="20"/>
        <w:rPr>
          <w:rFonts w:hint="eastAsia"/>
        </w:rPr>
      </w:pPr>
      <w:r>
        <w:rPr>
          <w:rFonts w:hint="eastAsia"/>
        </w:rPr>
        <w:t>注:本基金A类基金份额不收取销售服务费，仅就C类基金份额所代表的基金资产收取销售服务费。C类基金份额的销售服务费按前一日C类基金份额基金资产净值的0.5%的年费率计提。销售服务费的计算方法如下：</w:t>
      </w:r>
      <w:r>
        <w:rPr>
          <w:rFonts w:hint="eastAsia"/>
        </w:rPr>
        <w:br w:type="textWrapping"/>
      </w:r>
      <w:r>
        <w:rPr>
          <w:rFonts w:hint="eastAsia"/>
        </w:rPr>
        <w:t>H＝E×0.5%÷当年天数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创金合信优价成长股票A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r>
    </w:tbl>
    <w:p>
      <w:pPr>
        <w:pStyle w:val="17"/>
        <w:rPr>
          <w:rFonts w:hint="eastAsia"/>
        </w:rPr>
      </w:pPr>
      <w:r>
        <w:rPr>
          <w:rFonts w:hint="eastAsia" w:hAnsi="Calibri"/>
          <w:color w:val="000000"/>
        </w:rPr>
        <w:t>创金合信优价成长股票C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 </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21,558,594.66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875"/>
        <w:gridCol w:w="1514"/>
        <w:gridCol w:w="1514"/>
        <w:gridCol w:w="2139"/>
        <w:gridCol w:w="213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1,417,804.98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1,417,804.98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20,824.99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20,824.99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46,821.14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46,821.14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20,099,893.43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40,896.25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40,896.25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1,485,451.11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20,141,110.92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21,626,562.03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62,450.23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62,450.23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103,298.02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103,298.02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26,854.12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4,475.69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4,475.69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2,682.60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6,803.71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160,012.87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366,577.24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366,577.24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1,485,451.11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19,774,533.68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21,259,984.79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9,809,605.17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9,809,605.17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144,997.63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144,997.63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17,943.97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17,943.97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174,548,089.69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264,291.31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2,277.37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16,383.08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174,831,041.45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184,803,588.22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182,542.18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232,872.53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38,812.05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43,958.96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135,001.36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642,626.12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174,188,415.33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184,160,962.10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20,099,893.43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20,099,893.43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1,169,018.68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-1,169,018.68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20,099,893.43元，无属于第二层次和第三层次的余额(2017年12月31日：第一层次174,412,595.03元，第二层次135,494.66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(3)除公允价值外，截至资产负债表日本基金无需要说明的其他重要事项。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905"/>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906"/>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1,438,629.97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88,038.63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907"/>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11,008,443.47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51.78</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7,843,906.34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748,573.86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498,969.76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94.54</w:t>
            </w:r>
          </w:p>
        </w:tc>
      </w:tr>
    </w:tbl>
    <w:p>
      <w:pPr>
        <w:widowControl/>
        <w:jc w:val="left"/>
        <w:rPr>
          <w:rFonts w:hint="eastAsia" w:ascii="宋体" w:hAnsi="宋体" w:cs="宋体"/>
          <w:kern w:val="0"/>
          <w:sz w:val="24"/>
          <w:szCs w:val="24"/>
        </w:rPr>
      </w:pPr>
    </w:p>
    <w:p>
      <w:pPr>
        <w:pStyle w:val="14"/>
        <w:rPr>
          <w:rFonts w:hint="eastAsia"/>
        </w:rPr>
      </w:pPr>
      <w:bookmarkStart w:id="38" w:name="_Toc4526908"/>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2,046,850.36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1,988,466.60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1,930,956.39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1,880,978.54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1,730,273.14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1,486,589.52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1,370,168.80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1,225,642.50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1,177,232.16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1,121,772.60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328,253.76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320,474.20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bl>
    <w:p>
      <w:pPr>
        <w:widowControl/>
        <w:jc w:val="left"/>
        <w:rPr>
          <w:rFonts w:hint="eastAsia" w:ascii="宋体" w:hAnsi="宋体" w:cs="宋体"/>
          <w:kern w:val="0"/>
          <w:sz w:val="24"/>
          <w:szCs w:val="24"/>
        </w:rPr>
      </w:pPr>
    </w:p>
    <w:p>
      <w:pPr>
        <w:pStyle w:val="14"/>
        <w:rPr>
          <w:rFonts w:hint="eastAsia"/>
        </w:rPr>
      </w:pPr>
      <w:bookmarkStart w:id="39" w:name="_Toc4526909"/>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18,942,882.01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9,887,112.80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9,274,118.00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8,447,099.00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7,829,810.20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7,156,743.20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6,828,489.20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4,223,574.00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4,195,353.07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4,166,727.34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2,528,544.04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2,437,682.07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1,204,885.99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18,507,247.16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17,983,966.00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14,669,184.00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13,106,505.58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11,513,475.88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10,694,559.27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10,417,479.32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9,809,628.17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9,518,647.62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9,447,188.50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8,993,378.96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8,175,299.30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7,913,567.96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7,612,886.01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7,254,396.34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6,233,050.70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4,984,517.71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4,823,236.18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4,727,887.04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4,149,479.63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3,943,576.86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110,797,823.72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212,253,891.94</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910"/>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26911"/>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26912"/>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913"/>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914"/>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915"/>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916"/>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917"/>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46,821.14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88,038.63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918"/>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919"/>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12,261,037.14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4,746,553.59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17,007,590.73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68.01%</w:t>
            </w:r>
          </w:p>
        </w:tc>
      </w:tr>
    </w:tbl>
    <w:p>
      <w:pPr>
        <w:widowControl/>
        <w:jc w:val="left"/>
        <w:rPr>
          <w:rFonts w:hint="eastAsia" w:ascii="宋体" w:hAnsi="宋体" w:cs="宋体"/>
          <w:kern w:val="0"/>
          <w:sz w:val="24"/>
          <w:szCs w:val="24"/>
        </w:rPr>
      </w:pPr>
    </w:p>
    <w:p>
      <w:pPr>
        <w:pStyle w:val="14"/>
        <w:rPr>
          <w:rFonts w:hint="eastAsia"/>
        </w:rPr>
      </w:pPr>
      <w:bookmarkStart w:id="50" w:name="_Toc4526920"/>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4,654,778.74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4,668,887.58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w:t>
            </w:r>
          </w:p>
        </w:tc>
      </w:tr>
    </w:tbl>
    <w:p>
      <w:pPr>
        <w:widowControl/>
        <w:jc w:val="left"/>
        <w:rPr>
          <w:rFonts w:hint="eastAsia" w:ascii="宋体" w:hAnsi="宋体" w:cs="宋体"/>
          <w:kern w:val="0"/>
          <w:sz w:val="24"/>
          <w:szCs w:val="24"/>
        </w:rPr>
      </w:pPr>
    </w:p>
    <w:p>
      <w:pPr>
        <w:pStyle w:val="14"/>
        <w:rPr>
          <w:rFonts w:hint="eastAsia"/>
        </w:rPr>
      </w:pPr>
      <w:bookmarkStart w:id="51" w:name="_Toc4526921"/>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bl>
    <w:p>
      <w:pPr>
        <w:widowControl/>
        <w:jc w:val="left"/>
        <w:rPr>
          <w:rFonts w:hint="eastAsia" w:ascii="宋体" w:hAnsi="宋体" w:cs="宋体"/>
          <w:kern w:val="0"/>
          <w:sz w:val="24"/>
          <w:szCs w:val="24"/>
        </w:rPr>
      </w:pPr>
    </w:p>
    <w:p>
      <w:pPr>
        <w:pStyle w:val="14"/>
        <w:rPr>
          <w:rFonts w:hint="eastAsia"/>
        </w:rPr>
      </w:pPr>
      <w:bookmarkStart w:id="52" w:name="_Toc4526922"/>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4,636,099.50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2,001,178.45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12,636,819.59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10,001,898.54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26923"/>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7,106,920.17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3,080,802.48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157,617,925.86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4,387,070.19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31,988,903.73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14,288,586.84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172,345,342.36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10,928,833.44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17,261,487.23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7,746,823.59</w:t>
            </w:r>
          </w:p>
        </w:tc>
      </w:tr>
    </w:tbl>
    <w:p>
      <w:pPr>
        <w:widowControl/>
        <w:jc w:val="left"/>
        <w:rPr>
          <w:rFonts w:hint="eastAsia" w:ascii="宋体" w:hAnsi="宋体" w:cs="宋体"/>
          <w:kern w:val="0"/>
          <w:sz w:val="24"/>
          <w:szCs w:val="24"/>
        </w:rPr>
      </w:pPr>
    </w:p>
    <w:p>
      <w:pPr>
        <w:pStyle w:val="13"/>
        <w:rPr>
          <w:rFonts w:hint="eastAsia"/>
        </w:rPr>
      </w:pPr>
      <w:bookmarkStart w:id="54" w:name="_Toc4526924"/>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26925"/>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26926"/>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26927"/>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26928"/>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26929"/>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526930"/>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26931"/>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5,901,071.94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2,493.14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2,950,966.42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135,320,699.41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56,942.73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504,508.40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618.20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4,721,949.67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1,564.27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834,007.00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5,286,206.18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3,815.44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1,935,222.28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6,153,206.83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4,459.51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11,879,534.17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43,144,557.12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18,195.64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59,050,897.88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42,521.38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298,052.07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38,653,951.99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27,946.43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2,367,899.00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26932"/>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创金合信基金管理有限公司关于创金合信优价成长股票型发起式证券投资基金修订基金合同、托管协议部分条款及调整赎回费相关规则的公告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bl>
    <w:p>
      <w:pPr>
        <w:widowControl/>
        <w:jc w:val="left"/>
        <w:rPr>
          <w:rFonts w:hint="eastAsia" w:ascii="宋体" w:hAnsi="宋体" w:cs="宋体"/>
          <w:kern w:val="0"/>
          <w:sz w:val="24"/>
          <w:szCs w:val="24"/>
        </w:rPr>
      </w:pPr>
    </w:p>
    <w:p>
      <w:pPr>
        <w:pStyle w:val="13"/>
        <w:rPr>
          <w:rFonts w:hint="eastAsia"/>
        </w:rPr>
      </w:pPr>
      <w:bookmarkStart w:id="63" w:name="_Toc4526933"/>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26934"/>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20180807 - 20181231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31.99%</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20180807 - 20180924,20181015 - 20181106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855,480.00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4,636,099.50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18.54%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20180907 - 20180924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4,307,559.48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4,307,559.48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17.22%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26935"/>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26936"/>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26937"/>
      <w:r>
        <w:rPr>
          <w:rFonts w:hint="eastAsia"/>
          <w:b/>
          <w:bCs/>
        </w:rPr>
        <w:t>13.1 备查文件目录</w:t>
      </w:r>
      <w:bookmarkEnd w:id="67"/>
    </w:p>
    <w:p>
      <w:pPr>
        <w:pStyle w:val="20"/>
        <w:spacing w:before="0"/>
        <w:ind w:left="0" w:firstLine="480"/>
        <w:rPr>
          <w:rFonts w:hint="eastAsia"/>
        </w:rPr>
      </w:pPr>
      <w:r>
        <w:rPr>
          <w:rFonts w:hint="eastAsia"/>
        </w:rPr>
        <w:t>1、《创金合信优价成长股票型发起式证券投资基金基金合同》；</w:t>
      </w:r>
    </w:p>
    <w:p>
      <w:pPr>
        <w:pStyle w:val="20"/>
        <w:spacing w:before="0"/>
        <w:ind w:left="0" w:firstLine="480"/>
        <w:rPr>
          <w:rFonts w:hint="eastAsia"/>
        </w:rPr>
      </w:pPr>
      <w:r>
        <w:rPr>
          <w:rFonts w:hint="eastAsia"/>
        </w:rPr>
        <w:t>2、《创金合信优价成长股票型发起式证券投资基金托管协议》；</w:t>
      </w:r>
    </w:p>
    <w:p>
      <w:pPr>
        <w:pStyle w:val="20"/>
        <w:spacing w:before="0"/>
        <w:ind w:left="0" w:firstLine="480"/>
        <w:rPr>
          <w:rFonts w:hint="eastAsia"/>
        </w:rPr>
      </w:pPr>
      <w:r>
        <w:rPr>
          <w:rFonts w:hint="eastAsia"/>
        </w:rPr>
        <w:t>3、创金合信优价成长股票型发起式证券投资基金2018年年度报告。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26938"/>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26939"/>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69</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创金合信优价成长股票型发起式证券投资基金2018年年度报告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4087"/>
    <w:rsid w:val="00234087"/>
    <w:rsid w:val="00573677"/>
    <w:rsid w:val="00A923A1"/>
    <w:rsid w:val="00AD6383"/>
    <w:rsid w:val="00AF4CE7"/>
    <w:rsid w:val="792B50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7746</Words>
  <Characters>44158</Characters>
  <Lines>367</Lines>
  <Paragraphs>103</Paragraphs>
  <TotalTime>0</TotalTime>
  <ScaleCrop>false</ScaleCrop>
  <LinksUpToDate>false</LinksUpToDate>
  <CharactersWithSpaces>51801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2019-03-26T13:07:00Z</dcterms:created>
  <dc:creator>石怡翔</dc:creator>
  <cp:lastModifiedBy>Administrator</cp:lastModifiedBy>
  <dcterms:modified xsi:type="dcterms:W3CDTF">2019-12-26T14:08:29Z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