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b/>
          <w:color w:val="000000"/>
        </w:rPr>
      </w:pPr>
      <w:bookmarkStart w:id="71" w:name="_GoBack"/>
      <w:bookmarkEnd w:id="71"/>
    </w:p>
    <w:p>
      <w:pPr>
        <w:widowControl/>
        <w:jc w:val="left"/>
        <w:rPr>
          <w:b/>
          <w:color w:val="000000"/>
        </w:rPr>
      </w:pPr>
    </w:p>
    <w:p>
      <w:pPr>
        <w:widowControl/>
        <w:jc w:val="left"/>
        <w:rPr>
          <w:b/>
          <w:color w:val="000000"/>
        </w:rPr>
      </w:pPr>
    </w:p>
    <w:p>
      <w:pPr>
        <w:widowControl/>
        <w:spacing w:before="240" w:after="120"/>
        <w:jc w:val="center"/>
        <w:rPr>
          <w:rFonts w:ascii="黑体" w:hAnsi="黑体" w:eastAsia="黑体"/>
          <w:b/>
          <w:color w:val="000000"/>
          <w:sz w:val="36"/>
        </w:rPr>
      </w:pPr>
      <w:r>
        <w:rPr>
          <w:rFonts w:ascii="黑体" w:hAnsi="黑体" w:eastAsia="黑体"/>
          <w:b/>
          <w:color w:val="000000"/>
          <w:sz w:val="36"/>
        </w:rPr>
        <w:t>创金合信中证1000指数增强型发起式证券投资基金</w:t>
      </w:r>
    </w:p>
    <w:p>
      <w:pPr>
        <w:widowControl/>
        <w:spacing w:before="240" w:after="120"/>
        <w:jc w:val="center"/>
        <w:rPr>
          <w:rFonts w:ascii="黑体" w:hAnsi="黑体" w:eastAsia="黑体"/>
          <w:b/>
          <w:color w:val="000000"/>
          <w:sz w:val="36"/>
        </w:rPr>
      </w:pPr>
      <w:r>
        <w:rPr>
          <w:rFonts w:ascii="黑体" w:hAnsi="黑体" w:eastAsia="黑体"/>
          <w:b/>
          <w:color w:val="000000"/>
          <w:sz w:val="36"/>
        </w:rPr>
        <w:t>2017年年度报告</w:t>
      </w:r>
    </w:p>
    <w:p>
      <w:pPr>
        <w:widowControl/>
        <w:spacing w:before="240" w:after="120"/>
        <w:jc w:val="center"/>
        <w:rPr>
          <w:rFonts w:ascii="宋体" w:hAnsi="宋体"/>
          <w:b/>
          <w:color w:val="000000"/>
          <w:sz w:val="24"/>
        </w:rPr>
      </w:pPr>
      <w:r>
        <w:rPr>
          <w:rFonts w:ascii="宋体" w:hAnsi="宋体"/>
          <w:b/>
          <w:color w:val="000000"/>
          <w:sz w:val="24"/>
        </w:rPr>
        <w:t>2017年12月31日</w:t>
      </w: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rFonts w:hint="eastAsia"/>
          <w:b/>
          <w:color w:val="000000"/>
          <w:sz w:val="24"/>
        </w:rPr>
      </w:pPr>
      <w:r>
        <w:rPr>
          <w:rFonts w:hint="eastAsia"/>
          <w:b/>
          <w:color w:val="000000"/>
          <w:sz w:val="24"/>
        </w:rPr>
        <w:t>基金管理人:创金合信基金管理有限公司</w:t>
      </w:r>
    </w:p>
    <w:p>
      <w:pPr>
        <w:widowControl/>
        <w:spacing w:before="240" w:after="120"/>
        <w:jc w:val="center"/>
        <w:rPr>
          <w:rFonts w:hint="eastAsia"/>
          <w:b/>
          <w:color w:val="000000"/>
          <w:sz w:val="24"/>
        </w:rPr>
      </w:pPr>
      <w:r>
        <w:rPr>
          <w:rFonts w:hint="eastAsia"/>
          <w:b/>
          <w:color w:val="000000"/>
          <w:sz w:val="24"/>
        </w:rPr>
        <w:t>基金托管人:中国农业银行股份有限公司</w:t>
      </w:r>
    </w:p>
    <w:p>
      <w:pPr>
        <w:widowControl/>
        <w:spacing w:before="240" w:after="120"/>
        <w:jc w:val="center"/>
        <w:rPr>
          <w:rFonts w:ascii="宋体" w:cs="宋体"/>
          <w:b/>
          <w:color w:val="000000"/>
          <w:kern w:val="0"/>
          <w:sz w:val="24"/>
          <w:szCs w:val="24"/>
        </w:rPr>
      </w:pPr>
      <w:r>
        <w:rPr>
          <w:rFonts w:hint="eastAsia"/>
          <w:b/>
          <w:color w:val="000000"/>
          <w:sz w:val="24"/>
        </w:rPr>
        <w:t>送出日期:2018年03月31日</w:t>
      </w:r>
      <w:r>
        <w:rPr>
          <w:b/>
          <w:color w:val="000000"/>
        </w:rPr>
        <w:br w:type="page"/>
      </w:r>
    </w:p>
    <w:p>
      <w:pPr>
        <w:pStyle w:val="13"/>
        <w:spacing w:before="240" w:after="120"/>
      </w:pPr>
      <w:bookmarkStart w:id="0" w:name="_Toc510100963"/>
      <w:r>
        <w:rPr>
          <w:rFonts w:hint="eastAsia" w:hAnsi="Calibri"/>
          <w:b/>
          <w:color w:val="000000"/>
        </w:rPr>
        <w:t>§1  重要提示及目录</w:t>
      </w:r>
      <w:bookmarkEnd w:id="0"/>
      <w:r>
        <w:rPr>
          <w:rFonts w:hint="eastAsia"/>
        </w:rPr>
        <w:t xml:space="preserve"> </w:t>
      </w:r>
    </w:p>
    <w:p>
      <w:pPr>
        <w:pStyle w:val="14"/>
        <w:rPr>
          <w:rFonts w:hint="eastAsia"/>
        </w:rPr>
      </w:pPr>
      <w:bookmarkStart w:id="1" w:name="_Toc510100964"/>
      <w:r>
        <w:rPr>
          <w:rFonts w:hint="eastAsia"/>
          <w:b/>
          <w:bCs/>
        </w:rPr>
        <w:t>1.1 重要提示</w:t>
      </w:r>
      <w:bookmarkEnd w:id="1"/>
    </w:p>
    <w:tbl>
      <w:tblPr>
        <w:tblStyle w:val="7"/>
        <w:tblW w:w="0" w:type="auto"/>
        <w:tblInd w:w="108" w:type="dxa"/>
        <w:tblLayout w:type="autofit"/>
        <w:tblCellMar>
          <w:top w:w="0" w:type="dxa"/>
          <w:left w:w="108" w:type="dxa"/>
          <w:bottom w:w="0" w:type="dxa"/>
          <w:right w:w="108" w:type="dxa"/>
        </w:tblCellMar>
      </w:tblPr>
      <w:tblGrid>
        <w:gridCol w:w="9030"/>
      </w:tblGrid>
      <w:tr>
        <w:tblPrEx>
          <w:tblCellMar>
            <w:top w:w="0" w:type="dxa"/>
            <w:left w:w="108" w:type="dxa"/>
            <w:bottom w:w="0" w:type="dxa"/>
            <w:right w:w="108" w:type="dxa"/>
          </w:tblCellMar>
        </w:tblPrEx>
        <w:trPr>
          <w:wBefore w:w="0" w:type="auto"/>
        </w:trPr>
        <w:tc>
          <w:tcPr>
            <w:tcW w:w="9030" w:type="dxa"/>
            <w:tcBorders>
              <w:top w:val="dashed" w:color="000000" w:sz="6" w:space="0"/>
              <w:left w:val="dashed" w:color="000000" w:sz="6" w:space="0"/>
              <w:bottom w:val="dashed" w:color="000000" w:sz="6" w:space="0"/>
              <w:right w:val="dashed" w:color="000000" w:sz="6" w:space="0"/>
            </w:tcBorders>
            <w:noWrap w:val="0"/>
            <w:vAlign w:val="center"/>
          </w:tcPr>
          <w:p>
            <w:pPr>
              <w:widowControl/>
              <w:wordWrap w:val="0"/>
              <w:jc w:val="left"/>
              <w:rPr>
                <w:rFonts w:hint="eastAsia" w:ascii="宋体" w:hAnsi="宋体" w:cs="宋体"/>
                <w:kern w:val="0"/>
                <w:sz w:val="24"/>
                <w:szCs w:val="24"/>
              </w:rPr>
            </w:pPr>
            <w:r>
              <w:rPr>
                <w:rStyle w:val="29"/>
                <w:rFonts w:hint="eastAsia" w:ascii="宋体" w:hAnsi="宋体" w:cs="宋体"/>
                <w:kern w:val="0"/>
                <w:sz w:val="24"/>
                <w:szCs w:val="24"/>
              </w:rPr>
              <w:t>  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r>
              <w:rPr>
                <w:rFonts w:hint="eastAsia" w:ascii="宋体" w:hAnsi="宋体" w:cs="宋体"/>
                <w:kern w:val="0"/>
                <w:sz w:val="24"/>
                <w:szCs w:val="24"/>
              </w:rPr>
              <w:br w:type="textWrapping"/>
            </w:r>
            <w:r>
              <w:rPr>
                <w:rStyle w:val="29"/>
                <w:rFonts w:hint="eastAsia" w:ascii="宋体" w:hAnsi="宋体" w:cs="宋体"/>
                <w:kern w:val="0"/>
                <w:sz w:val="24"/>
                <w:szCs w:val="24"/>
              </w:rPr>
              <w:t>  基金托管人中国农业银行股份有限公司根据本基金合同规定，于2018年3月28日复核了本报告中的财务指标、净值表现、利润分配情况、财务会计报告、投资组合报告等内容，保证复核内容不存在虚假记载、误导性陈述或者重大遗漏。　　</w:t>
            </w:r>
            <w:r>
              <w:rPr>
                <w:rFonts w:hint="eastAsia" w:ascii="宋体" w:hAnsi="宋体" w:cs="宋体"/>
                <w:kern w:val="0"/>
                <w:sz w:val="24"/>
                <w:szCs w:val="24"/>
              </w:rPr>
              <w:br w:type="textWrapping"/>
            </w:r>
            <w:r>
              <w:rPr>
                <w:rStyle w:val="29"/>
                <w:rFonts w:hint="eastAsia" w:ascii="宋体" w:hAnsi="宋体" w:cs="宋体"/>
                <w:kern w:val="0"/>
                <w:sz w:val="24"/>
                <w:szCs w:val="24"/>
              </w:rPr>
              <w:t>  基金管理人承诺以诚实信用、勤勉尽责的原则管理和运用基金资产，但不保证基金一定盈利。</w:t>
            </w:r>
            <w:r>
              <w:rPr>
                <w:rFonts w:hint="eastAsia" w:ascii="宋体" w:hAnsi="宋体" w:cs="宋体"/>
                <w:kern w:val="0"/>
                <w:sz w:val="24"/>
                <w:szCs w:val="24"/>
              </w:rPr>
              <w:br w:type="textWrapping"/>
            </w:r>
            <w:r>
              <w:rPr>
                <w:rStyle w:val="29"/>
                <w:rFonts w:hint="eastAsia" w:ascii="宋体" w:hAnsi="宋体" w:cs="宋体"/>
                <w:kern w:val="0"/>
                <w:sz w:val="24"/>
                <w:szCs w:val="24"/>
              </w:rPr>
              <w:t>  基金的过往业绩并不代表其未来表现。投资有风险，投资者在作出投资决策前应仔细阅读本基金的招募说明书及其更新。</w:t>
            </w:r>
            <w:r>
              <w:rPr>
                <w:rFonts w:hint="eastAsia" w:ascii="宋体" w:hAnsi="宋体" w:cs="宋体"/>
                <w:kern w:val="0"/>
                <w:sz w:val="24"/>
                <w:szCs w:val="24"/>
              </w:rPr>
              <w:br w:type="textWrapping"/>
            </w:r>
            <w:r>
              <w:rPr>
                <w:rStyle w:val="29"/>
                <w:rFonts w:hint="eastAsia" w:ascii="宋体" w:hAnsi="宋体" w:cs="宋体"/>
                <w:kern w:val="0"/>
                <w:sz w:val="24"/>
                <w:szCs w:val="24"/>
              </w:rPr>
              <w:t>  本报告期自2017年01月01日起至2017年12月31日止。</w:t>
            </w:r>
            <w:r>
              <w:rPr>
                <w:rFonts w:hint="eastAsia" w:ascii="宋体" w:hAnsi="宋体" w:cs="宋体"/>
                <w:kern w:val="0"/>
                <w:sz w:val="24"/>
                <w:szCs w:val="24"/>
              </w:rPr>
              <w:t xml:space="preserve"> </w:t>
            </w:r>
          </w:p>
        </w:tc>
      </w:tr>
    </w:tbl>
    <w:p>
      <w:pPr>
        <w:pStyle w:val="14"/>
        <w:rPr>
          <w:rFonts w:hint="eastAsia"/>
        </w:rPr>
      </w:pPr>
      <w:r>
        <w:rPr>
          <w:rFonts w:ascii="Times New Roman" w:hAnsi="Times New Roman"/>
        </w:rPr>
        <w:br w:type="page"/>
      </w:r>
      <w:bookmarkStart w:id="2" w:name="_Toc510100965"/>
      <w:r>
        <w:rPr>
          <w:rFonts w:hint="eastAsia"/>
          <w:b/>
          <w:bCs/>
        </w:rPr>
        <w:t>1.2 目录</w:t>
      </w:r>
      <w:bookmarkEnd w:id="2"/>
    </w:p>
    <w:p>
      <w:pPr>
        <w:pStyle w:val="4"/>
        <w:tabs>
          <w:tab w:val="right" w:leader="dot" w:pos="9080"/>
        </w:tabs>
        <w:rPr>
          <w:lang/>
        </w:rPr>
      </w:pPr>
      <w:r>
        <w:rPr>
          <w:rFonts w:ascii="宋体" w:hAnsi="宋体" w:cs="宋体"/>
          <w:kern w:val="0"/>
          <w:sz w:val="24"/>
          <w:szCs w:val="24"/>
        </w:rPr>
        <w:fldChar w:fldCharType="begin"/>
      </w:r>
      <w:r>
        <w:rPr>
          <w:rFonts w:ascii="宋体" w:hAnsi="宋体" w:cs="宋体"/>
          <w:kern w:val="0"/>
          <w:sz w:val="24"/>
          <w:szCs w:val="24"/>
        </w:rPr>
        <w:instrText xml:space="preserve"> </w:instrText>
      </w:r>
      <w:r>
        <w:rPr>
          <w:rFonts w:hint="eastAsia" w:ascii="宋体" w:hAnsi="宋体" w:cs="宋体"/>
          <w:kern w:val="0"/>
          <w:sz w:val="24"/>
          <w:szCs w:val="24"/>
        </w:rPr>
        <w:instrText xml:space="preserve">TOC \o "1-4" \f 1 \h \z \t "-1"</w:instrText>
      </w:r>
      <w:r>
        <w:rPr>
          <w:rFonts w:ascii="宋体" w:hAnsi="宋体" w:cs="宋体"/>
          <w:kern w:val="0"/>
          <w:sz w:val="24"/>
          <w:szCs w:val="24"/>
        </w:rPr>
        <w:instrText xml:space="preserve"> </w:instrText>
      </w:r>
      <w:r>
        <w:rPr>
          <w:rFonts w:ascii="宋体" w:hAnsi="宋体" w:cs="宋体"/>
          <w:kern w:val="0"/>
          <w:sz w:val="24"/>
          <w:szCs w:val="24"/>
        </w:rPr>
        <w:fldChar w:fldCharType="separate"/>
      </w:r>
      <w:r>
        <w:rPr>
          <w:rStyle w:val="11"/>
          <w:lang/>
        </w:rPr>
        <w:fldChar w:fldCharType="begin"/>
      </w:r>
      <w:r>
        <w:rPr>
          <w:rStyle w:val="11"/>
          <w:lang/>
        </w:rPr>
        <w:instrText xml:space="preserve"> </w:instrText>
      </w:r>
      <w:r>
        <w:rPr>
          <w:lang/>
        </w:rPr>
        <w:instrText xml:space="preserve">HYPERLINK \l "_Toc510100963"</w:instrText>
      </w:r>
      <w:r>
        <w:rPr>
          <w:rStyle w:val="11"/>
          <w:lang/>
        </w:rPr>
        <w:instrText xml:space="preserve"> </w:instrText>
      </w:r>
      <w:r>
        <w:rPr>
          <w:rStyle w:val="11"/>
          <w:lang/>
        </w:rPr>
        <w:fldChar w:fldCharType="separate"/>
      </w:r>
      <w:r>
        <w:rPr>
          <w:rStyle w:val="11"/>
          <w:b/>
          <w:lang/>
        </w:rPr>
        <w:t xml:space="preserve">§1  </w:t>
      </w:r>
      <w:r>
        <w:rPr>
          <w:rStyle w:val="11"/>
          <w:rFonts w:hint="eastAsia"/>
          <w:b/>
          <w:lang/>
        </w:rPr>
        <w:t>重要提示及目录</w:t>
      </w:r>
      <w:r>
        <w:rPr>
          <w:lang/>
        </w:rPr>
        <w:tab/>
      </w:r>
      <w:r>
        <w:rPr>
          <w:lang/>
        </w:rPr>
        <w:fldChar w:fldCharType="begin"/>
      </w:r>
      <w:r>
        <w:rPr>
          <w:lang/>
        </w:rPr>
        <w:instrText xml:space="preserve"> PAGEREF _Toc510100963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"_Toc510100964"</w:instrText>
      </w:r>
      <w:r>
        <w:rPr>
          <w:rStyle w:val="11"/>
          <w:lang/>
        </w:rPr>
        <w:instrText xml:space="preserve"> </w:instrText>
      </w:r>
      <w:r>
        <w:rPr>
          <w:rStyle w:val="11"/>
          <w:lang/>
        </w:rPr>
        <w:fldChar w:fldCharType="separate"/>
      </w:r>
      <w:r>
        <w:rPr>
          <w:rStyle w:val="11"/>
          <w:b/>
          <w:bCs/>
          <w:lang/>
        </w:rPr>
        <w:t xml:space="preserve">1.1 </w:t>
      </w:r>
      <w:r>
        <w:rPr>
          <w:rStyle w:val="11"/>
          <w:rFonts w:hint="eastAsia"/>
          <w:b/>
          <w:bCs/>
          <w:lang/>
        </w:rPr>
        <w:t>重要提示</w:t>
      </w:r>
      <w:r>
        <w:rPr>
          <w:lang/>
        </w:rPr>
        <w:tab/>
      </w:r>
      <w:r>
        <w:rPr>
          <w:lang/>
        </w:rPr>
        <w:fldChar w:fldCharType="begin"/>
      </w:r>
      <w:r>
        <w:rPr>
          <w:lang/>
        </w:rPr>
        <w:instrText xml:space="preserve"> PAGEREF _Toc510100964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"_Toc510100965"</w:instrText>
      </w:r>
      <w:r>
        <w:rPr>
          <w:rStyle w:val="11"/>
          <w:lang/>
        </w:rPr>
        <w:instrText xml:space="preserve"> </w:instrText>
      </w:r>
      <w:r>
        <w:rPr>
          <w:rStyle w:val="11"/>
          <w:lang/>
        </w:rPr>
        <w:fldChar w:fldCharType="separate"/>
      </w:r>
      <w:r>
        <w:rPr>
          <w:rStyle w:val="11"/>
          <w:b/>
          <w:bCs/>
          <w:lang/>
        </w:rPr>
        <w:t xml:space="preserve">1.2 </w:t>
      </w:r>
      <w:r>
        <w:rPr>
          <w:rStyle w:val="11"/>
          <w:rFonts w:hint="eastAsia"/>
          <w:b/>
          <w:bCs/>
          <w:lang/>
        </w:rPr>
        <w:t>目录</w:t>
      </w:r>
      <w:r>
        <w:rPr>
          <w:lang/>
        </w:rPr>
        <w:tab/>
      </w:r>
      <w:r>
        <w:rPr>
          <w:lang/>
        </w:rPr>
        <w:fldChar w:fldCharType="begin"/>
      </w:r>
      <w:r>
        <w:rPr>
          <w:lang/>
        </w:rPr>
        <w:instrText xml:space="preserve"> PAGEREF _Toc510100965 \h </w:instrText>
      </w:r>
      <w:r>
        <w:rPr>
          <w:lang/>
        </w:rPr>
        <w:fldChar w:fldCharType="separate"/>
      </w:r>
      <w:r>
        <w:rPr>
          <w:lang/>
        </w:rPr>
        <w:t>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"_Toc510100966"</w:instrText>
      </w:r>
      <w:r>
        <w:rPr>
          <w:rStyle w:val="11"/>
          <w:lang/>
        </w:rPr>
        <w:instrText xml:space="preserve"> </w:instrText>
      </w:r>
      <w:r>
        <w:rPr>
          <w:rStyle w:val="11"/>
          <w:lang/>
        </w:rPr>
        <w:fldChar w:fldCharType="separate"/>
      </w:r>
      <w:r>
        <w:rPr>
          <w:rStyle w:val="11"/>
          <w:b/>
          <w:lang/>
        </w:rPr>
        <w:t xml:space="preserve">§2  </w:t>
      </w:r>
      <w:r>
        <w:rPr>
          <w:rStyle w:val="11"/>
          <w:rFonts w:hint="eastAsia"/>
          <w:b/>
          <w:lang/>
        </w:rPr>
        <w:t>基金简介</w:t>
      </w:r>
      <w:r>
        <w:rPr>
          <w:lang/>
        </w:rPr>
        <w:tab/>
      </w:r>
      <w:r>
        <w:rPr>
          <w:lang/>
        </w:rPr>
        <w:fldChar w:fldCharType="begin"/>
      </w:r>
      <w:r>
        <w:rPr>
          <w:lang/>
        </w:rPr>
        <w:instrText xml:space="preserve"> PAGEREF _Toc510100966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"_Toc510100967"</w:instrText>
      </w:r>
      <w:r>
        <w:rPr>
          <w:rStyle w:val="11"/>
          <w:lang/>
        </w:rPr>
        <w:instrText xml:space="preserve"> </w:instrText>
      </w:r>
      <w:r>
        <w:rPr>
          <w:rStyle w:val="11"/>
          <w:lang/>
        </w:rPr>
        <w:fldChar w:fldCharType="separate"/>
      </w:r>
      <w:r>
        <w:rPr>
          <w:rStyle w:val="11"/>
          <w:b/>
          <w:bCs/>
          <w:lang/>
        </w:rPr>
        <w:t xml:space="preserve">2.1 </w:t>
      </w:r>
      <w:r>
        <w:rPr>
          <w:rStyle w:val="11"/>
          <w:rFonts w:hint="eastAsia"/>
          <w:b/>
          <w:bCs/>
          <w:lang/>
        </w:rPr>
        <w:t>基金基本情况</w:t>
      </w:r>
      <w:r>
        <w:rPr>
          <w:lang/>
        </w:rPr>
        <w:tab/>
      </w:r>
      <w:r>
        <w:rPr>
          <w:lang/>
        </w:rPr>
        <w:fldChar w:fldCharType="begin"/>
      </w:r>
      <w:r>
        <w:rPr>
          <w:lang/>
        </w:rPr>
        <w:instrText xml:space="preserve"> PAGEREF _Toc510100967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"_Toc510100968"</w:instrText>
      </w:r>
      <w:r>
        <w:rPr>
          <w:rStyle w:val="11"/>
          <w:lang/>
        </w:rPr>
        <w:instrText xml:space="preserve"> </w:instrText>
      </w:r>
      <w:r>
        <w:rPr>
          <w:rStyle w:val="11"/>
          <w:lang/>
        </w:rPr>
        <w:fldChar w:fldCharType="separate"/>
      </w:r>
      <w:r>
        <w:rPr>
          <w:rStyle w:val="11"/>
          <w:b/>
          <w:bCs/>
          <w:lang/>
        </w:rPr>
        <w:t xml:space="preserve">2.2 </w:t>
      </w:r>
      <w:r>
        <w:rPr>
          <w:rStyle w:val="11"/>
          <w:rFonts w:hint="eastAsia"/>
          <w:b/>
          <w:bCs/>
          <w:lang/>
        </w:rPr>
        <w:t>基金产品说明</w:t>
      </w:r>
      <w:r>
        <w:rPr>
          <w:lang/>
        </w:rPr>
        <w:tab/>
      </w:r>
      <w:r>
        <w:rPr>
          <w:lang/>
        </w:rPr>
        <w:fldChar w:fldCharType="begin"/>
      </w:r>
      <w:r>
        <w:rPr>
          <w:lang/>
        </w:rPr>
        <w:instrText xml:space="preserve"> PAGEREF _Toc510100968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"_Toc510100969"</w:instrText>
      </w:r>
      <w:r>
        <w:rPr>
          <w:rStyle w:val="11"/>
          <w:lang/>
        </w:rPr>
        <w:instrText xml:space="preserve"> </w:instrText>
      </w:r>
      <w:r>
        <w:rPr>
          <w:rStyle w:val="11"/>
          <w:lang/>
        </w:rPr>
        <w:fldChar w:fldCharType="separate"/>
      </w:r>
      <w:r>
        <w:rPr>
          <w:rStyle w:val="11"/>
          <w:b/>
          <w:bCs/>
          <w:lang/>
        </w:rPr>
        <w:t xml:space="preserve">2.3 </w:t>
      </w:r>
      <w:r>
        <w:rPr>
          <w:rStyle w:val="11"/>
          <w:rFonts w:hint="eastAsia"/>
          <w:b/>
          <w:bCs/>
          <w:lang/>
        </w:rPr>
        <w:t>基金管理人和基金托管人</w:t>
      </w:r>
      <w:r>
        <w:rPr>
          <w:lang/>
        </w:rPr>
        <w:tab/>
      </w:r>
      <w:r>
        <w:rPr>
          <w:lang/>
        </w:rPr>
        <w:fldChar w:fldCharType="begin"/>
      </w:r>
      <w:r>
        <w:rPr>
          <w:lang/>
        </w:rPr>
        <w:instrText xml:space="preserve"> PAGEREF _Toc510100969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"_Toc510100970"</w:instrText>
      </w:r>
      <w:r>
        <w:rPr>
          <w:rStyle w:val="11"/>
          <w:lang/>
        </w:rPr>
        <w:instrText xml:space="preserve"> </w:instrText>
      </w:r>
      <w:r>
        <w:rPr>
          <w:rStyle w:val="11"/>
          <w:lang/>
        </w:rPr>
        <w:fldChar w:fldCharType="separate"/>
      </w:r>
      <w:r>
        <w:rPr>
          <w:rStyle w:val="11"/>
          <w:b/>
          <w:bCs/>
          <w:lang/>
        </w:rPr>
        <w:t xml:space="preserve">2.4 </w:t>
      </w:r>
      <w:r>
        <w:rPr>
          <w:rStyle w:val="11"/>
          <w:rFonts w:hint="eastAsia"/>
          <w:b/>
          <w:bCs/>
          <w:lang/>
        </w:rPr>
        <w:t>信息披露方式</w:t>
      </w:r>
      <w:r>
        <w:rPr>
          <w:lang/>
        </w:rPr>
        <w:tab/>
      </w:r>
      <w:r>
        <w:rPr>
          <w:lang/>
        </w:rPr>
        <w:fldChar w:fldCharType="begin"/>
      </w:r>
      <w:r>
        <w:rPr>
          <w:lang/>
        </w:rPr>
        <w:instrText xml:space="preserve"> PAGEREF _Toc510100970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"_Toc510100971"</w:instrText>
      </w:r>
      <w:r>
        <w:rPr>
          <w:rStyle w:val="11"/>
          <w:lang/>
        </w:rPr>
        <w:instrText xml:space="preserve"> </w:instrText>
      </w:r>
      <w:r>
        <w:rPr>
          <w:rStyle w:val="11"/>
          <w:lang/>
        </w:rPr>
        <w:fldChar w:fldCharType="separate"/>
      </w:r>
      <w:r>
        <w:rPr>
          <w:rStyle w:val="11"/>
          <w:b/>
          <w:bCs/>
          <w:lang/>
        </w:rPr>
        <w:t xml:space="preserve">2.5 </w:t>
      </w:r>
      <w:r>
        <w:rPr>
          <w:rStyle w:val="11"/>
          <w:rFonts w:hint="eastAsia"/>
          <w:b/>
          <w:bCs/>
          <w:lang/>
        </w:rPr>
        <w:t>其他相关资料</w:t>
      </w:r>
      <w:r>
        <w:rPr>
          <w:lang/>
        </w:rPr>
        <w:tab/>
      </w:r>
      <w:r>
        <w:rPr>
          <w:lang/>
        </w:rPr>
        <w:fldChar w:fldCharType="begin"/>
      </w:r>
      <w:r>
        <w:rPr>
          <w:lang/>
        </w:rPr>
        <w:instrText xml:space="preserve"> PAGEREF _Toc510100971 \h </w:instrText>
      </w:r>
      <w:r>
        <w:rPr>
          <w:lang/>
        </w:rPr>
        <w:fldChar w:fldCharType="separate"/>
      </w:r>
      <w:r>
        <w:rPr>
          <w:lang/>
        </w:rPr>
        <w:t>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"_Toc510100972"</w:instrText>
      </w:r>
      <w:r>
        <w:rPr>
          <w:rStyle w:val="11"/>
          <w:lang/>
        </w:rPr>
        <w:instrText xml:space="preserve"> </w:instrText>
      </w:r>
      <w:r>
        <w:rPr>
          <w:rStyle w:val="11"/>
          <w:lang/>
        </w:rPr>
        <w:fldChar w:fldCharType="separate"/>
      </w:r>
      <w:r>
        <w:rPr>
          <w:rStyle w:val="11"/>
          <w:b/>
          <w:lang/>
        </w:rPr>
        <w:t xml:space="preserve">§3  </w:t>
      </w:r>
      <w:r>
        <w:rPr>
          <w:rStyle w:val="11"/>
          <w:rFonts w:hint="eastAsia"/>
          <w:b/>
          <w:lang/>
        </w:rPr>
        <w:t>主要财务指标、基金净值表现及利润分配情况</w:t>
      </w:r>
      <w:r>
        <w:rPr>
          <w:lang/>
        </w:rPr>
        <w:tab/>
      </w:r>
      <w:r>
        <w:rPr>
          <w:lang/>
        </w:rPr>
        <w:fldChar w:fldCharType="begin"/>
      </w:r>
      <w:r>
        <w:rPr>
          <w:lang/>
        </w:rPr>
        <w:instrText xml:space="preserve"> PAGEREF _Toc510100972 \h </w:instrText>
      </w:r>
      <w:r>
        <w:rPr>
          <w:lang/>
        </w:rPr>
        <w:fldChar w:fldCharType="separate"/>
      </w:r>
      <w:r>
        <w:rPr>
          <w:lang/>
        </w:rPr>
        <w:t>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"_Toc510100973"</w:instrText>
      </w:r>
      <w:r>
        <w:rPr>
          <w:rStyle w:val="11"/>
          <w:lang/>
        </w:rPr>
        <w:instrText xml:space="preserve"> </w:instrText>
      </w:r>
      <w:r>
        <w:rPr>
          <w:rStyle w:val="11"/>
          <w:lang/>
        </w:rPr>
        <w:fldChar w:fldCharType="separate"/>
      </w:r>
      <w:r>
        <w:rPr>
          <w:rStyle w:val="11"/>
          <w:b/>
          <w:bCs/>
          <w:lang/>
        </w:rPr>
        <w:t xml:space="preserve">3.1 </w:t>
      </w:r>
      <w:r>
        <w:rPr>
          <w:rStyle w:val="11"/>
          <w:rFonts w:hint="eastAsia"/>
          <w:b/>
          <w:bCs/>
          <w:lang/>
        </w:rPr>
        <w:t>主要会计数据和财务指标</w:t>
      </w:r>
      <w:r>
        <w:rPr>
          <w:lang/>
        </w:rPr>
        <w:tab/>
      </w:r>
      <w:r>
        <w:rPr>
          <w:lang/>
        </w:rPr>
        <w:fldChar w:fldCharType="begin"/>
      </w:r>
      <w:r>
        <w:rPr>
          <w:lang/>
        </w:rPr>
        <w:instrText xml:space="preserve"> PAGEREF _Toc510100973 \h </w:instrText>
      </w:r>
      <w:r>
        <w:rPr>
          <w:lang/>
        </w:rPr>
        <w:fldChar w:fldCharType="separate"/>
      </w:r>
      <w:r>
        <w:rPr>
          <w:lang/>
        </w:rPr>
        <w:t>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"_Toc510100974"</w:instrText>
      </w:r>
      <w:r>
        <w:rPr>
          <w:rStyle w:val="11"/>
          <w:lang/>
        </w:rPr>
        <w:instrText xml:space="preserve"> </w:instrText>
      </w:r>
      <w:r>
        <w:rPr>
          <w:rStyle w:val="11"/>
          <w:lang/>
        </w:rPr>
        <w:fldChar w:fldCharType="separate"/>
      </w:r>
      <w:r>
        <w:rPr>
          <w:rStyle w:val="11"/>
          <w:b/>
          <w:bCs/>
          <w:lang/>
        </w:rPr>
        <w:t xml:space="preserve">3.2 </w:t>
      </w:r>
      <w:r>
        <w:rPr>
          <w:rStyle w:val="11"/>
          <w:rFonts w:hint="eastAsia"/>
          <w:b/>
          <w:bCs/>
          <w:lang/>
        </w:rPr>
        <w:t>基金净值表现</w:t>
      </w:r>
      <w:r>
        <w:rPr>
          <w:lang/>
        </w:rPr>
        <w:tab/>
      </w:r>
      <w:r>
        <w:rPr>
          <w:lang/>
        </w:rPr>
        <w:fldChar w:fldCharType="begin"/>
      </w:r>
      <w:r>
        <w:rPr>
          <w:lang/>
        </w:rPr>
        <w:instrText xml:space="preserve"> PAGEREF _Toc510100974 \h </w:instrText>
      </w:r>
      <w:r>
        <w:rPr>
          <w:lang/>
        </w:rPr>
        <w:fldChar w:fldCharType="separate"/>
      </w:r>
      <w:r>
        <w:rPr>
          <w:lang/>
        </w:rPr>
        <w:t>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"_Toc510100975"</w:instrText>
      </w:r>
      <w:r>
        <w:rPr>
          <w:rStyle w:val="11"/>
          <w:lang/>
        </w:rPr>
        <w:instrText xml:space="preserve"> </w:instrText>
      </w:r>
      <w:r>
        <w:rPr>
          <w:rStyle w:val="11"/>
          <w:lang/>
        </w:rPr>
        <w:fldChar w:fldCharType="separate"/>
      </w:r>
      <w:r>
        <w:rPr>
          <w:rStyle w:val="11"/>
          <w:b/>
          <w:lang/>
        </w:rPr>
        <w:t xml:space="preserve">3.3 </w:t>
      </w:r>
      <w:r>
        <w:rPr>
          <w:rStyle w:val="11"/>
          <w:rFonts w:hint="eastAsia"/>
          <w:b/>
          <w:lang/>
        </w:rPr>
        <w:t>过去三年基金的利润分配情况</w:t>
      </w:r>
      <w:r>
        <w:rPr>
          <w:lang/>
        </w:rPr>
        <w:tab/>
      </w:r>
      <w:r>
        <w:rPr>
          <w:lang/>
        </w:rPr>
        <w:fldChar w:fldCharType="begin"/>
      </w:r>
      <w:r>
        <w:rPr>
          <w:lang/>
        </w:rPr>
        <w:instrText xml:space="preserve"> PAGEREF _Toc510100975 \h </w:instrText>
      </w:r>
      <w:r>
        <w:rPr>
          <w:lang/>
        </w:rPr>
        <w:fldChar w:fldCharType="separate"/>
      </w:r>
      <w:r>
        <w:rPr>
          <w:lang/>
        </w:rPr>
        <w:t>10</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"_Toc510100976"</w:instrText>
      </w:r>
      <w:r>
        <w:rPr>
          <w:rStyle w:val="11"/>
          <w:lang/>
        </w:rPr>
        <w:instrText xml:space="preserve"> </w:instrText>
      </w:r>
      <w:r>
        <w:rPr>
          <w:rStyle w:val="11"/>
          <w:lang/>
        </w:rPr>
        <w:fldChar w:fldCharType="separate"/>
      </w:r>
      <w:r>
        <w:rPr>
          <w:rStyle w:val="11"/>
          <w:b/>
          <w:lang/>
        </w:rPr>
        <w:t xml:space="preserve">§4  </w:t>
      </w:r>
      <w:r>
        <w:rPr>
          <w:rStyle w:val="11"/>
          <w:rFonts w:hint="eastAsia"/>
          <w:b/>
          <w:lang/>
        </w:rPr>
        <w:t>管理人报告</w:t>
      </w:r>
      <w:r>
        <w:rPr>
          <w:lang/>
        </w:rPr>
        <w:tab/>
      </w:r>
      <w:r>
        <w:rPr>
          <w:lang/>
        </w:rPr>
        <w:fldChar w:fldCharType="begin"/>
      </w:r>
      <w:r>
        <w:rPr>
          <w:lang/>
        </w:rPr>
        <w:instrText xml:space="preserve"> PAGEREF _Toc510100976 \h </w:instrText>
      </w:r>
      <w:r>
        <w:rPr>
          <w:lang/>
        </w:rPr>
        <w:fldChar w:fldCharType="separate"/>
      </w:r>
      <w:r>
        <w:rPr>
          <w:lang/>
        </w:rPr>
        <w:t>10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"_Toc510100977"</w:instrText>
      </w:r>
      <w:r>
        <w:rPr>
          <w:rStyle w:val="11"/>
          <w:lang/>
        </w:rPr>
        <w:instrText xml:space="preserve"> </w:instrText>
      </w:r>
      <w:r>
        <w:rPr>
          <w:rStyle w:val="11"/>
          <w:lang/>
        </w:rPr>
        <w:fldChar w:fldCharType="separate"/>
      </w:r>
      <w:r>
        <w:rPr>
          <w:rStyle w:val="11"/>
          <w:b/>
          <w:bCs/>
          <w:lang/>
        </w:rPr>
        <w:t xml:space="preserve">4.1 </w:t>
      </w:r>
      <w:r>
        <w:rPr>
          <w:rStyle w:val="11"/>
          <w:rFonts w:hint="eastAsia"/>
          <w:b/>
          <w:bCs/>
          <w:lang/>
        </w:rPr>
        <w:t>基金管理人及基金经理情况</w:t>
      </w:r>
      <w:r>
        <w:rPr>
          <w:lang/>
        </w:rPr>
        <w:tab/>
      </w:r>
      <w:r>
        <w:rPr>
          <w:lang/>
        </w:rPr>
        <w:fldChar w:fldCharType="begin"/>
      </w:r>
      <w:r>
        <w:rPr>
          <w:lang/>
        </w:rPr>
        <w:instrText xml:space="preserve"> PAGEREF _Toc510100977 \h </w:instrText>
      </w:r>
      <w:r>
        <w:rPr>
          <w:lang/>
        </w:rPr>
        <w:fldChar w:fldCharType="separate"/>
      </w:r>
      <w:r>
        <w:rPr>
          <w:lang/>
        </w:rPr>
        <w:t>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"_Toc510100978"</w:instrText>
      </w:r>
      <w:r>
        <w:rPr>
          <w:rStyle w:val="11"/>
          <w:lang/>
        </w:rPr>
        <w:instrText xml:space="preserve"> </w:instrText>
      </w:r>
      <w:r>
        <w:rPr>
          <w:rStyle w:val="11"/>
          <w:lang/>
        </w:rPr>
        <w:fldChar w:fldCharType="separate"/>
      </w:r>
      <w:r>
        <w:rPr>
          <w:rStyle w:val="11"/>
          <w:b/>
          <w:bCs/>
          <w:lang/>
        </w:rPr>
        <w:t xml:space="preserve">4.2 </w:t>
      </w:r>
      <w:r>
        <w:rPr>
          <w:rStyle w:val="11"/>
          <w:rFonts w:hint="eastAsia"/>
          <w:b/>
          <w:bCs/>
          <w:lang/>
        </w:rPr>
        <w:t>管理人对报告期内本基金运作遵规守信情况的说明</w:t>
      </w:r>
      <w:r>
        <w:rPr>
          <w:lang/>
        </w:rPr>
        <w:tab/>
      </w:r>
      <w:r>
        <w:rPr>
          <w:lang/>
        </w:rPr>
        <w:fldChar w:fldCharType="begin"/>
      </w:r>
      <w:r>
        <w:rPr>
          <w:lang/>
        </w:rPr>
        <w:instrText xml:space="preserve"> PAGEREF _Toc510100978 \h </w:instrText>
      </w:r>
      <w:r>
        <w:rPr>
          <w:lang/>
        </w:rPr>
        <w:fldChar w:fldCharType="separate"/>
      </w:r>
      <w:r>
        <w:rPr>
          <w:lang/>
        </w:rPr>
        <w:t>12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"_Toc510100979"</w:instrText>
      </w:r>
      <w:r>
        <w:rPr>
          <w:rStyle w:val="11"/>
          <w:lang/>
        </w:rPr>
        <w:instrText xml:space="preserve"> </w:instrText>
      </w:r>
      <w:r>
        <w:rPr>
          <w:rStyle w:val="11"/>
          <w:lang/>
        </w:rPr>
        <w:fldChar w:fldCharType="separate"/>
      </w:r>
      <w:r>
        <w:rPr>
          <w:rStyle w:val="11"/>
          <w:b/>
          <w:bCs/>
          <w:lang/>
        </w:rPr>
        <w:t xml:space="preserve">4.3 </w:t>
      </w:r>
      <w:r>
        <w:rPr>
          <w:rStyle w:val="11"/>
          <w:rFonts w:hint="eastAsia"/>
          <w:b/>
          <w:bCs/>
          <w:lang/>
        </w:rPr>
        <w:t>管理人对报告期内公平交易情况的专项说明</w:t>
      </w:r>
      <w:r>
        <w:rPr>
          <w:lang/>
        </w:rPr>
        <w:tab/>
      </w:r>
      <w:r>
        <w:rPr>
          <w:lang/>
        </w:rPr>
        <w:fldChar w:fldCharType="begin"/>
      </w:r>
      <w:r>
        <w:rPr>
          <w:lang/>
        </w:rPr>
        <w:instrText xml:space="preserve"> PAGEREF _Toc510100979 \h </w:instrText>
      </w:r>
      <w:r>
        <w:rPr>
          <w:lang/>
        </w:rPr>
        <w:fldChar w:fldCharType="separate"/>
      </w:r>
      <w:r>
        <w:rPr>
          <w:lang/>
        </w:rPr>
        <w:t>12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"_Toc510100980"</w:instrText>
      </w:r>
      <w:r>
        <w:rPr>
          <w:rStyle w:val="11"/>
          <w:lang/>
        </w:rPr>
        <w:instrText xml:space="preserve"> </w:instrText>
      </w:r>
      <w:r>
        <w:rPr>
          <w:rStyle w:val="11"/>
          <w:lang/>
        </w:rPr>
        <w:fldChar w:fldCharType="separate"/>
      </w:r>
      <w:r>
        <w:rPr>
          <w:rStyle w:val="11"/>
          <w:b/>
          <w:bCs/>
          <w:lang/>
        </w:rPr>
        <w:t xml:space="preserve">4.4 </w:t>
      </w:r>
      <w:r>
        <w:rPr>
          <w:rStyle w:val="11"/>
          <w:rFonts w:hint="eastAsia"/>
          <w:b/>
          <w:bCs/>
          <w:lang/>
        </w:rPr>
        <w:t>管理人对报告期内基金的投资策略和业绩表现的说明</w:t>
      </w:r>
      <w:r>
        <w:rPr>
          <w:lang/>
        </w:rPr>
        <w:tab/>
      </w:r>
      <w:r>
        <w:rPr>
          <w:lang/>
        </w:rPr>
        <w:fldChar w:fldCharType="begin"/>
      </w:r>
      <w:r>
        <w:rPr>
          <w:lang/>
        </w:rPr>
        <w:instrText xml:space="preserve"> PAGEREF _Toc510100980 \h </w:instrText>
      </w:r>
      <w:r>
        <w:rPr>
          <w:lang/>
        </w:rPr>
        <w:fldChar w:fldCharType="separate"/>
      </w:r>
      <w:r>
        <w:rPr>
          <w:lang/>
        </w:rPr>
        <w:t>13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"_Toc510100981"</w:instrText>
      </w:r>
      <w:r>
        <w:rPr>
          <w:rStyle w:val="11"/>
          <w:lang/>
        </w:rPr>
        <w:instrText xml:space="preserve"> </w:instrText>
      </w:r>
      <w:r>
        <w:rPr>
          <w:rStyle w:val="11"/>
          <w:lang/>
        </w:rPr>
        <w:fldChar w:fldCharType="separate"/>
      </w:r>
      <w:r>
        <w:rPr>
          <w:rStyle w:val="11"/>
          <w:b/>
          <w:bCs/>
          <w:lang/>
        </w:rPr>
        <w:t xml:space="preserve">4.5 </w:t>
      </w:r>
      <w:r>
        <w:rPr>
          <w:rStyle w:val="11"/>
          <w:rFonts w:hint="eastAsia"/>
          <w:b/>
          <w:bCs/>
          <w:lang/>
        </w:rPr>
        <w:t>管理人对宏观经济、证券市场及行业走势的简要展望</w:t>
      </w:r>
      <w:r>
        <w:rPr>
          <w:lang/>
        </w:rPr>
        <w:tab/>
      </w:r>
      <w:r>
        <w:rPr>
          <w:lang/>
        </w:rPr>
        <w:fldChar w:fldCharType="begin"/>
      </w:r>
      <w:r>
        <w:rPr>
          <w:lang/>
        </w:rPr>
        <w:instrText xml:space="preserve"> PAGEREF _Toc510100981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"_Toc510100982"</w:instrText>
      </w:r>
      <w:r>
        <w:rPr>
          <w:rStyle w:val="11"/>
          <w:lang/>
        </w:rPr>
        <w:instrText xml:space="preserve"> </w:instrText>
      </w:r>
      <w:r>
        <w:rPr>
          <w:rStyle w:val="11"/>
          <w:lang/>
        </w:rPr>
        <w:fldChar w:fldCharType="separate"/>
      </w:r>
      <w:r>
        <w:rPr>
          <w:rStyle w:val="11"/>
          <w:b/>
          <w:bCs/>
          <w:lang/>
        </w:rPr>
        <w:t xml:space="preserve">4.6 </w:t>
      </w:r>
      <w:r>
        <w:rPr>
          <w:rStyle w:val="11"/>
          <w:rFonts w:hint="eastAsia"/>
          <w:b/>
          <w:bCs/>
          <w:lang/>
        </w:rPr>
        <w:t>管理人内部有关本基金的监察稽核工作情况</w:t>
      </w:r>
      <w:r>
        <w:rPr>
          <w:lang/>
        </w:rPr>
        <w:tab/>
      </w:r>
      <w:r>
        <w:rPr>
          <w:lang/>
        </w:rPr>
        <w:fldChar w:fldCharType="begin"/>
      </w:r>
      <w:r>
        <w:rPr>
          <w:lang/>
        </w:rPr>
        <w:instrText xml:space="preserve"> PAGEREF _Toc510100982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"_Toc510100983"</w:instrText>
      </w:r>
      <w:r>
        <w:rPr>
          <w:rStyle w:val="11"/>
          <w:lang/>
        </w:rPr>
        <w:instrText xml:space="preserve"> </w:instrText>
      </w:r>
      <w:r>
        <w:rPr>
          <w:rStyle w:val="11"/>
          <w:lang/>
        </w:rPr>
        <w:fldChar w:fldCharType="separate"/>
      </w:r>
      <w:r>
        <w:rPr>
          <w:rStyle w:val="11"/>
          <w:b/>
          <w:bCs/>
          <w:lang/>
        </w:rPr>
        <w:t xml:space="preserve">4.7 </w:t>
      </w:r>
      <w:r>
        <w:rPr>
          <w:rStyle w:val="11"/>
          <w:rFonts w:hint="eastAsia"/>
          <w:b/>
          <w:bCs/>
          <w:lang/>
        </w:rPr>
        <w:t>管理人对报告期内基金估值程序等事项的说明</w:t>
      </w:r>
      <w:r>
        <w:rPr>
          <w:lang/>
        </w:rPr>
        <w:tab/>
      </w:r>
      <w:r>
        <w:rPr>
          <w:lang/>
        </w:rPr>
        <w:fldChar w:fldCharType="begin"/>
      </w:r>
      <w:r>
        <w:rPr>
          <w:lang/>
        </w:rPr>
        <w:instrText xml:space="preserve"> PAGEREF _Toc510100983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"_Toc510100984"</w:instrText>
      </w:r>
      <w:r>
        <w:rPr>
          <w:rStyle w:val="11"/>
          <w:lang/>
        </w:rPr>
        <w:instrText xml:space="preserve"> </w:instrText>
      </w:r>
      <w:r>
        <w:rPr>
          <w:rStyle w:val="11"/>
          <w:lang/>
        </w:rPr>
        <w:fldChar w:fldCharType="separate"/>
      </w:r>
      <w:r>
        <w:rPr>
          <w:rStyle w:val="11"/>
          <w:b/>
          <w:bCs/>
          <w:lang/>
        </w:rPr>
        <w:t xml:space="preserve">4.8 </w:t>
      </w:r>
      <w:r>
        <w:rPr>
          <w:rStyle w:val="11"/>
          <w:rFonts w:hint="eastAsia"/>
          <w:b/>
          <w:bCs/>
          <w:lang/>
        </w:rPr>
        <w:t>管理人对报告期内基金利润分配情况的说明</w:t>
      </w:r>
      <w:r>
        <w:rPr>
          <w:lang/>
        </w:rPr>
        <w:tab/>
      </w:r>
      <w:r>
        <w:rPr>
          <w:lang/>
        </w:rPr>
        <w:fldChar w:fldCharType="begin"/>
      </w:r>
      <w:r>
        <w:rPr>
          <w:lang/>
        </w:rPr>
        <w:instrText xml:space="preserve"> PAGEREF _Toc510100984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"_Toc510100985"</w:instrText>
      </w:r>
      <w:r>
        <w:rPr>
          <w:rStyle w:val="11"/>
          <w:lang/>
        </w:rPr>
        <w:instrText xml:space="preserve"> </w:instrText>
      </w:r>
      <w:r>
        <w:rPr>
          <w:rStyle w:val="11"/>
          <w:lang/>
        </w:rPr>
        <w:fldChar w:fldCharType="separate"/>
      </w:r>
      <w:r>
        <w:rPr>
          <w:rStyle w:val="11"/>
          <w:b/>
          <w:bCs/>
          <w:lang/>
        </w:rPr>
        <w:t xml:space="preserve">4.9 </w:t>
      </w:r>
      <w:r>
        <w:rPr>
          <w:rStyle w:val="11"/>
          <w:rFonts w:hint="eastAsia"/>
          <w:b/>
          <w:bCs/>
          <w:lang/>
        </w:rPr>
        <w:t>报告期内管理人对本基金持有人数或基金资产净值预警情形的说明</w:t>
      </w:r>
      <w:r>
        <w:rPr>
          <w:lang/>
        </w:rPr>
        <w:tab/>
      </w:r>
      <w:r>
        <w:rPr>
          <w:lang/>
        </w:rPr>
        <w:fldChar w:fldCharType="begin"/>
      </w:r>
      <w:r>
        <w:rPr>
          <w:lang/>
        </w:rPr>
        <w:instrText xml:space="preserve"> PAGEREF _Toc510100985 \h </w:instrText>
      </w:r>
      <w:r>
        <w:rPr>
          <w:lang/>
        </w:rPr>
        <w:fldChar w:fldCharType="separate"/>
      </w:r>
      <w:r>
        <w:rPr>
          <w:lang/>
        </w:rPr>
        <w:t>15</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"_Toc510100986"</w:instrText>
      </w:r>
      <w:r>
        <w:rPr>
          <w:rStyle w:val="11"/>
          <w:lang/>
        </w:rPr>
        <w:instrText xml:space="preserve"> </w:instrText>
      </w:r>
      <w:r>
        <w:rPr>
          <w:rStyle w:val="11"/>
          <w:lang/>
        </w:rPr>
        <w:fldChar w:fldCharType="separate"/>
      </w:r>
      <w:r>
        <w:rPr>
          <w:rStyle w:val="11"/>
          <w:b/>
          <w:lang/>
        </w:rPr>
        <w:t xml:space="preserve">§5  </w:t>
      </w:r>
      <w:r>
        <w:rPr>
          <w:rStyle w:val="11"/>
          <w:rFonts w:hint="eastAsia"/>
          <w:b/>
          <w:lang/>
        </w:rPr>
        <w:t>托管人报告</w:t>
      </w:r>
      <w:r>
        <w:rPr>
          <w:lang/>
        </w:rPr>
        <w:tab/>
      </w:r>
      <w:r>
        <w:rPr>
          <w:lang/>
        </w:rPr>
        <w:fldChar w:fldCharType="begin"/>
      </w:r>
      <w:r>
        <w:rPr>
          <w:lang/>
        </w:rPr>
        <w:instrText xml:space="preserve"> PAGEREF _Toc510100986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"_Toc510100987"</w:instrText>
      </w:r>
      <w:r>
        <w:rPr>
          <w:rStyle w:val="11"/>
          <w:lang/>
        </w:rPr>
        <w:instrText xml:space="preserve"> </w:instrText>
      </w:r>
      <w:r>
        <w:rPr>
          <w:rStyle w:val="11"/>
          <w:lang/>
        </w:rPr>
        <w:fldChar w:fldCharType="separate"/>
      </w:r>
      <w:r>
        <w:rPr>
          <w:rStyle w:val="11"/>
          <w:b/>
          <w:bCs/>
          <w:lang/>
        </w:rPr>
        <w:t xml:space="preserve">5.1 </w:t>
      </w:r>
      <w:r>
        <w:rPr>
          <w:rStyle w:val="11"/>
          <w:rFonts w:hint="eastAsia"/>
          <w:b/>
          <w:bCs/>
          <w:lang/>
        </w:rPr>
        <w:t>报告期内本基金托管人遵规守信情况声明</w:t>
      </w:r>
      <w:r>
        <w:rPr>
          <w:lang/>
        </w:rPr>
        <w:tab/>
      </w:r>
      <w:r>
        <w:rPr>
          <w:lang/>
        </w:rPr>
        <w:fldChar w:fldCharType="begin"/>
      </w:r>
      <w:r>
        <w:rPr>
          <w:lang/>
        </w:rPr>
        <w:instrText xml:space="preserve"> PAGEREF _Toc510100987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"_Toc510100988"</w:instrText>
      </w:r>
      <w:r>
        <w:rPr>
          <w:rStyle w:val="11"/>
          <w:lang/>
        </w:rPr>
        <w:instrText xml:space="preserve"> </w:instrText>
      </w:r>
      <w:r>
        <w:rPr>
          <w:rStyle w:val="11"/>
          <w:lang/>
        </w:rPr>
        <w:fldChar w:fldCharType="separate"/>
      </w:r>
      <w:r>
        <w:rPr>
          <w:rStyle w:val="11"/>
          <w:b/>
          <w:bCs/>
          <w:lang/>
        </w:rPr>
        <w:t xml:space="preserve">5.2 </w:t>
      </w:r>
      <w:r>
        <w:rPr>
          <w:rStyle w:val="11"/>
          <w:rFonts w:hint="eastAsia"/>
          <w:b/>
          <w:bCs/>
          <w:lang/>
        </w:rPr>
        <w:t>托管人对报告期内本基金投资运作遵规守信、净值计算、利润分配等情况的说明</w:t>
      </w:r>
      <w:r>
        <w:rPr>
          <w:lang/>
        </w:rPr>
        <w:tab/>
      </w:r>
      <w:r>
        <w:rPr>
          <w:lang/>
        </w:rPr>
        <w:fldChar w:fldCharType="begin"/>
      </w:r>
      <w:r>
        <w:rPr>
          <w:lang/>
        </w:rPr>
        <w:instrText xml:space="preserve"> PAGEREF _Toc510100988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"_Toc510100989"</w:instrText>
      </w:r>
      <w:r>
        <w:rPr>
          <w:rStyle w:val="11"/>
          <w:lang/>
        </w:rPr>
        <w:instrText xml:space="preserve"> </w:instrText>
      </w:r>
      <w:r>
        <w:rPr>
          <w:rStyle w:val="11"/>
          <w:lang/>
        </w:rPr>
        <w:fldChar w:fldCharType="separate"/>
      </w:r>
      <w:r>
        <w:rPr>
          <w:rStyle w:val="11"/>
          <w:b/>
          <w:bCs/>
          <w:lang/>
        </w:rPr>
        <w:t xml:space="preserve">5.3 </w:t>
      </w:r>
      <w:r>
        <w:rPr>
          <w:rStyle w:val="11"/>
          <w:rFonts w:hint="eastAsia"/>
          <w:b/>
          <w:bCs/>
          <w:lang/>
        </w:rPr>
        <w:t>托管人对本年度报告中财务信息等内容的真实、准确和完整发表意见</w:t>
      </w:r>
      <w:r>
        <w:rPr>
          <w:lang/>
        </w:rPr>
        <w:tab/>
      </w:r>
      <w:r>
        <w:rPr>
          <w:lang/>
        </w:rPr>
        <w:fldChar w:fldCharType="begin"/>
      </w:r>
      <w:r>
        <w:rPr>
          <w:lang/>
        </w:rPr>
        <w:instrText xml:space="preserve"> PAGEREF _Toc510100989 \h </w:instrText>
      </w:r>
      <w:r>
        <w:rPr>
          <w:lang/>
        </w:rPr>
        <w:fldChar w:fldCharType="separate"/>
      </w:r>
      <w:r>
        <w:rPr>
          <w:lang/>
        </w:rPr>
        <w:t>16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"_Toc510100990"</w:instrText>
      </w:r>
      <w:r>
        <w:rPr>
          <w:rStyle w:val="11"/>
          <w:lang/>
        </w:rPr>
        <w:instrText xml:space="preserve"> </w:instrText>
      </w:r>
      <w:r>
        <w:rPr>
          <w:rStyle w:val="11"/>
          <w:lang/>
        </w:rPr>
        <w:fldChar w:fldCharType="separate"/>
      </w:r>
      <w:r>
        <w:rPr>
          <w:rStyle w:val="11"/>
          <w:b/>
          <w:lang/>
        </w:rPr>
        <w:t xml:space="preserve">§6  </w:t>
      </w:r>
      <w:r>
        <w:rPr>
          <w:rStyle w:val="11"/>
          <w:rFonts w:hint="eastAsia"/>
          <w:b/>
          <w:lang/>
        </w:rPr>
        <w:t>审计报告</w:t>
      </w:r>
      <w:r>
        <w:rPr>
          <w:lang/>
        </w:rPr>
        <w:tab/>
      </w:r>
      <w:r>
        <w:rPr>
          <w:lang/>
        </w:rPr>
        <w:fldChar w:fldCharType="begin"/>
      </w:r>
      <w:r>
        <w:rPr>
          <w:lang/>
        </w:rPr>
        <w:instrText xml:space="preserve"> PAGEREF _Toc510100990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"_Toc510100991"</w:instrText>
      </w:r>
      <w:r>
        <w:rPr>
          <w:rStyle w:val="11"/>
          <w:lang/>
        </w:rPr>
        <w:instrText xml:space="preserve"> </w:instrText>
      </w:r>
      <w:r>
        <w:rPr>
          <w:rStyle w:val="11"/>
          <w:lang/>
        </w:rPr>
        <w:fldChar w:fldCharType="separate"/>
      </w:r>
      <w:r>
        <w:rPr>
          <w:rStyle w:val="11"/>
          <w:b/>
          <w:bCs/>
          <w:lang/>
        </w:rPr>
        <w:t xml:space="preserve">6.1 </w:t>
      </w:r>
      <w:r>
        <w:rPr>
          <w:rStyle w:val="11"/>
          <w:rFonts w:hint="eastAsia"/>
          <w:b/>
          <w:bCs/>
          <w:lang/>
        </w:rPr>
        <w:t>审计报告基本信息</w:t>
      </w:r>
      <w:r>
        <w:rPr>
          <w:lang/>
        </w:rPr>
        <w:tab/>
      </w:r>
      <w:r>
        <w:rPr>
          <w:lang/>
        </w:rPr>
        <w:fldChar w:fldCharType="begin"/>
      </w:r>
      <w:r>
        <w:rPr>
          <w:lang/>
        </w:rPr>
        <w:instrText xml:space="preserve"> PAGEREF _Toc510100991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"_Toc510100992"</w:instrText>
      </w:r>
      <w:r>
        <w:rPr>
          <w:rStyle w:val="11"/>
          <w:lang/>
        </w:rPr>
        <w:instrText xml:space="preserve"> </w:instrText>
      </w:r>
      <w:r>
        <w:rPr>
          <w:rStyle w:val="11"/>
          <w:lang/>
        </w:rPr>
        <w:fldChar w:fldCharType="separate"/>
      </w:r>
      <w:r>
        <w:rPr>
          <w:rStyle w:val="11"/>
          <w:b/>
          <w:bCs/>
          <w:lang/>
        </w:rPr>
        <w:t xml:space="preserve">6.2 </w:t>
      </w:r>
      <w:r>
        <w:rPr>
          <w:rStyle w:val="11"/>
          <w:rFonts w:hint="eastAsia"/>
          <w:b/>
          <w:bCs/>
          <w:lang/>
        </w:rPr>
        <w:t>审计报告的基本内容</w:t>
      </w:r>
      <w:r>
        <w:rPr>
          <w:lang/>
        </w:rPr>
        <w:tab/>
      </w:r>
      <w:r>
        <w:rPr>
          <w:lang/>
        </w:rPr>
        <w:fldChar w:fldCharType="begin"/>
      </w:r>
      <w:r>
        <w:rPr>
          <w:lang/>
        </w:rPr>
        <w:instrText xml:space="preserve"> PAGEREF _Toc510100992 \h </w:instrText>
      </w:r>
      <w:r>
        <w:rPr>
          <w:lang/>
        </w:rPr>
        <w:fldChar w:fldCharType="separate"/>
      </w:r>
      <w:r>
        <w:rPr>
          <w:lang/>
        </w:rPr>
        <w:t>16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"_Toc510100993"</w:instrText>
      </w:r>
      <w:r>
        <w:rPr>
          <w:rStyle w:val="11"/>
          <w:lang/>
        </w:rPr>
        <w:instrText xml:space="preserve"> </w:instrText>
      </w:r>
      <w:r>
        <w:rPr>
          <w:rStyle w:val="11"/>
          <w:lang/>
        </w:rPr>
        <w:fldChar w:fldCharType="separate"/>
      </w:r>
      <w:r>
        <w:rPr>
          <w:rStyle w:val="11"/>
          <w:b/>
          <w:lang/>
        </w:rPr>
        <w:t xml:space="preserve">§7  </w:t>
      </w:r>
      <w:r>
        <w:rPr>
          <w:rStyle w:val="11"/>
          <w:rFonts w:hint="eastAsia"/>
          <w:b/>
          <w:lang/>
        </w:rPr>
        <w:t>年度财务报表</w:t>
      </w:r>
      <w:r>
        <w:rPr>
          <w:lang/>
        </w:rPr>
        <w:tab/>
      </w:r>
      <w:r>
        <w:rPr>
          <w:lang/>
        </w:rPr>
        <w:fldChar w:fldCharType="begin"/>
      </w:r>
      <w:r>
        <w:rPr>
          <w:lang/>
        </w:rPr>
        <w:instrText xml:space="preserve"> PAGEREF _Toc510100993 \h </w:instrText>
      </w:r>
      <w:r>
        <w:rPr>
          <w:lang/>
        </w:rPr>
        <w:fldChar w:fldCharType="separate"/>
      </w:r>
      <w:r>
        <w:rPr>
          <w:lang/>
        </w:rPr>
        <w:t>19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"_Toc510100994"</w:instrText>
      </w:r>
      <w:r>
        <w:rPr>
          <w:rStyle w:val="11"/>
          <w:lang/>
        </w:rPr>
        <w:instrText xml:space="preserve"> </w:instrText>
      </w:r>
      <w:r>
        <w:rPr>
          <w:rStyle w:val="11"/>
          <w:lang/>
        </w:rPr>
        <w:fldChar w:fldCharType="separate"/>
      </w:r>
      <w:r>
        <w:rPr>
          <w:rStyle w:val="11"/>
          <w:b/>
          <w:bCs/>
          <w:lang/>
        </w:rPr>
        <w:t xml:space="preserve">7.1 </w:t>
      </w:r>
      <w:r>
        <w:rPr>
          <w:rStyle w:val="11"/>
          <w:rFonts w:hint="eastAsia"/>
          <w:b/>
          <w:bCs/>
          <w:lang/>
        </w:rPr>
        <w:t>资产负债表</w:t>
      </w:r>
      <w:r>
        <w:rPr>
          <w:lang/>
        </w:rPr>
        <w:tab/>
      </w:r>
      <w:r>
        <w:rPr>
          <w:lang/>
        </w:rPr>
        <w:fldChar w:fldCharType="begin"/>
      </w:r>
      <w:r>
        <w:rPr>
          <w:lang/>
        </w:rPr>
        <w:instrText xml:space="preserve"> PAGEREF _Toc510100994 \h </w:instrText>
      </w:r>
      <w:r>
        <w:rPr>
          <w:lang/>
        </w:rPr>
        <w:fldChar w:fldCharType="separate"/>
      </w:r>
      <w:r>
        <w:rPr>
          <w:lang/>
        </w:rPr>
        <w:t>19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"_Toc510100995"</w:instrText>
      </w:r>
      <w:r>
        <w:rPr>
          <w:rStyle w:val="11"/>
          <w:lang/>
        </w:rPr>
        <w:instrText xml:space="preserve"> </w:instrText>
      </w:r>
      <w:r>
        <w:rPr>
          <w:rStyle w:val="11"/>
          <w:lang/>
        </w:rPr>
        <w:fldChar w:fldCharType="separate"/>
      </w:r>
      <w:r>
        <w:rPr>
          <w:rStyle w:val="11"/>
          <w:b/>
          <w:bCs/>
          <w:lang/>
        </w:rPr>
        <w:t xml:space="preserve">7.2 </w:t>
      </w:r>
      <w:r>
        <w:rPr>
          <w:rStyle w:val="11"/>
          <w:rFonts w:hint="eastAsia"/>
          <w:b/>
          <w:bCs/>
          <w:lang/>
        </w:rPr>
        <w:t>利润表</w:t>
      </w:r>
      <w:r>
        <w:rPr>
          <w:lang/>
        </w:rPr>
        <w:tab/>
      </w:r>
      <w:r>
        <w:rPr>
          <w:lang/>
        </w:rPr>
        <w:fldChar w:fldCharType="begin"/>
      </w:r>
      <w:r>
        <w:rPr>
          <w:lang/>
        </w:rPr>
        <w:instrText xml:space="preserve"> PAGEREF _Toc510100995 \h </w:instrText>
      </w:r>
      <w:r>
        <w:rPr>
          <w:lang/>
        </w:rPr>
        <w:fldChar w:fldCharType="separate"/>
      </w:r>
      <w:r>
        <w:rPr>
          <w:lang/>
        </w:rPr>
        <w:t>20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"_Toc510100996"</w:instrText>
      </w:r>
      <w:r>
        <w:rPr>
          <w:rStyle w:val="11"/>
          <w:lang/>
        </w:rPr>
        <w:instrText xml:space="preserve"> </w:instrText>
      </w:r>
      <w:r>
        <w:rPr>
          <w:rStyle w:val="11"/>
          <w:lang/>
        </w:rPr>
        <w:fldChar w:fldCharType="separate"/>
      </w:r>
      <w:r>
        <w:rPr>
          <w:rStyle w:val="11"/>
          <w:b/>
          <w:bCs/>
          <w:lang/>
        </w:rPr>
        <w:t xml:space="preserve">7.3 </w:t>
      </w:r>
      <w:r>
        <w:rPr>
          <w:rStyle w:val="11"/>
          <w:rFonts w:hint="eastAsia"/>
          <w:b/>
          <w:bCs/>
          <w:lang/>
        </w:rPr>
        <w:t>所有者权益（基金净值）变动表</w:t>
      </w:r>
      <w:r>
        <w:rPr>
          <w:lang/>
        </w:rPr>
        <w:tab/>
      </w:r>
      <w:r>
        <w:rPr>
          <w:lang/>
        </w:rPr>
        <w:fldChar w:fldCharType="begin"/>
      </w:r>
      <w:r>
        <w:rPr>
          <w:lang/>
        </w:rPr>
        <w:instrText xml:space="preserve"> PAGEREF _Toc510100996 \h </w:instrText>
      </w:r>
      <w:r>
        <w:rPr>
          <w:lang/>
        </w:rPr>
        <w:fldChar w:fldCharType="separate"/>
      </w:r>
      <w:r>
        <w:rPr>
          <w:lang/>
        </w:rPr>
        <w:t>22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"_Toc510100997"</w:instrText>
      </w:r>
      <w:r>
        <w:rPr>
          <w:rStyle w:val="11"/>
          <w:lang/>
        </w:rPr>
        <w:instrText xml:space="preserve"> </w:instrText>
      </w:r>
      <w:r>
        <w:rPr>
          <w:rStyle w:val="11"/>
          <w:lang/>
        </w:rPr>
        <w:fldChar w:fldCharType="separate"/>
      </w:r>
      <w:r>
        <w:rPr>
          <w:rStyle w:val="11"/>
          <w:b/>
          <w:bCs/>
          <w:lang/>
        </w:rPr>
        <w:t xml:space="preserve">7.4 </w:t>
      </w:r>
      <w:r>
        <w:rPr>
          <w:rStyle w:val="11"/>
          <w:rFonts w:hint="eastAsia"/>
          <w:b/>
          <w:bCs/>
          <w:lang/>
        </w:rPr>
        <w:t>报表附注</w:t>
      </w:r>
      <w:r>
        <w:rPr>
          <w:lang/>
        </w:rPr>
        <w:tab/>
      </w:r>
      <w:r>
        <w:rPr>
          <w:lang/>
        </w:rPr>
        <w:fldChar w:fldCharType="begin"/>
      </w:r>
      <w:r>
        <w:rPr>
          <w:lang/>
        </w:rPr>
        <w:instrText xml:space="preserve"> PAGEREF _Toc510100997 \h </w:instrText>
      </w:r>
      <w:r>
        <w:rPr>
          <w:lang/>
        </w:rPr>
        <w:fldChar w:fldCharType="separate"/>
      </w:r>
      <w:r>
        <w:rPr>
          <w:lang/>
        </w:rPr>
        <w:t>24</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"_Toc510100998"</w:instrText>
      </w:r>
      <w:r>
        <w:rPr>
          <w:rStyle w:val="11"/>
          <w:lang/>
        </w:rPr>
        <w:instrText xml:space="preserve"> </w:instrText>
      </w:r>
      <w:r>
        <w:rPr>
          <w:rStyle w:val="11"/>
          <w:lang/>
        </w:rPr>
        <w:fldChar w:fldCharType="separate"/>
      </w:r>
      <w:r>
        <w:rPr>
          <w:rStyle w:val="11"/>
          <w:b/>
          <w:lang/>
        </w:rPr>
        <w:t xml:space="preserve">§8 </w:t>
      </w:r>
      <w:r>
        <w:rPr>
          <w:rStyle w:val="11"/>
          <w:rFonts w:hint="eastAsia"/>
          <w:b/>
          <w:lang/>
        </w:rPr>
        <w:t>投资组合报告</w:t>
      </w:r>
      <w:r>
        <w:rPr>
          <w:lang/>
        </w:rPr>
        <w:tab/>
      </w:r>
      <w:r>
        <w:rPr>
          <w:lang/>
        </w:rPr>
        <w:fldChar w:fldCharType="begin"/>
      </w:r>
      <w:r>
        <w:rPr>
          <w:lang/>
        </w:rPr>
        <w:instrText xml:space="preserve"> PAGEREF _Toc510100998 \h </w:instrText>
      </w:r>
      <w:r>
        <w:rPr>
          <w:lang/>
        </w:rPr>
        <w:fldChar w:fldCharType="separate"/>
      </w:r>
      <w:r>
        <w:rPr>
          <w:lang/>
        </w:rPr>
        <w:t>52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"_Toc510100999"</w:instrText>
      </w:r>
      <w:r>
        <w:rPr>
          <w:rStyle w:val="11"/>
          <w:lang/>
        </w:rPr>
        <w:instrText xml:space="preserve"> </w:instrText>
      </w:r>
      <w:r>
        <w:rPr>
          <w:rStyle w:val="11"/>
          <w:lang/>
        </w:rPr>
        <w:fldChar w:fldCharType="separate"/>
      </w:r>
      <w:r>
        <w:rPr>
          <w:rStyle w:val="11"/>
          <w:b/>
          <w:bCs/>
          <w:lang/>
        </w:rPr>
        <w:t xml:space="preserve">8.1 </w:t>
      </w:r>
      <w:r>
        <w:rPr>
          <w:rStyle w:val="11"/>
          <w:rFonts w:hint="eastAsia"/>
          <w:b/>
          <w:bCs/>
          <w:lang/>
        </w:rPr>
        <w:t>期末基金资产组合情况</w:t>
      </w:r>
      <w:r>
        <w:rPr>
          <w:lang/>
        </w:rPr>
        <w:tab/>
      </w:r>
      <w:r>
        <w:rPr>
          <w:lang/>
        </w:rPr>
        <w:fldChar w:fldCharType="begin"/>
      </w:r>
      <w:r>
        <w:rPr>
          <w:lang/>
        </w:rPr>
        <w:instrText xml:space="preserve"> PAGEREF _Toc510100999 \h </w:instrText>
      </w:r>
      <w:r>
        <w:rPr>
          <w:lang/>
        </w:rPr>
        <w:fldChar w:fldCharType="separate"/>
      </w:r>
      <w:r>
        <w:rPr>
          <w:lang/>
        </w:rPr>
        <w:t>52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"_Toc510101000"</w:instrText>
      </w:r>
      <w:r>
        <w:rPr>
          <w:rStyle w:val="11"/>
          <w:lang/>
        </w:rPr>
        <w:instrText xml:space="preserve"> </w:instrText>
      </w:r>
      <w:r>
        <w:rPr>
          <w:rStyle w:val="11"/>
          <w:lang/>
        </w:rPr>
        <w:fldChar w:fldCharType="separate"/>
      </w:r>
      <w:r>
        <w:rPr>
          <w:rStyle w:val="11"/>
          <w:b/>
          <w:bCs/>
          <w:lang/>
        </w:rPr>
        <w:t xml:space="preserve">8.2 </w:t>
      </w:r>
      <w:r>
        <w:rPr>
          <w:rStyle w:val="11"/>
          <w:rFonts w:hint="eastAsia"/>
          <w:b/>
          <w:bCs/>
          <w:lang/>
        </w:rPr>
        <w:t>报告期末按行业分类的股票投资组合</w:t>
      </w:r>
      <w:r>
        <w:rPr>
          <w:lang/>
        </w:rPr>
        <w:tab/>
      </w:r>
      <w:r>
        <w:rPr>
          <w:lang/>
        </w:rPr>
        <w:fldChar w:fldCharType="begin"/>
      </w:r>
      <w:r>
        <w:rPr>
          <w:lang/>
        </w:rPr>
        <w:instrText xml:space="preserve"> PAGEREF _Toc510101000 \h </w:instrText>
      </w:r>
      <w:r>
        <w:rPr>
          <w:lang/>
        </w:rPr>
        <w:fldChar w:fldCharType="separate"/>
      </w:r>
      <w:r>
        <w:rPr>
          <w:lang/>
        </w:rPr>
        <w:t>53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"_Toc510101001"</w:instrText>
      </w:r>
      <w:r>
        <w:rPr>
          <w:rStyle w:val="11"/>
          <w:lang/>
        </w:rPr>
        <w:instrText xml:space="preserve"> </w:instrText>
      </w:r>
      <w:r>
        <w:rPr>
          <w:rStyle w:val="11"/>
          <w:lang/>
        </w:rPr>
        <w:fldChar w:fldCharType="separate"/>
      </w:r>
      <w:r>
        <w:rPr>
          <w:rStyle w:val="11"/>
          <w:b/>
          <w:bCs/>
          <w:lang/>
        </w:rPr>
        <w:t xml:space="preserve">8.3 </w:t>
      </w:r>
      <w:r>
        <w:rPr>
          <w:rStyle w:val="11"/>
          <w:rFonts w:hint="eastAsia"/>
          <w:b/>
          <w:bCs/>
          <w:lang/>
        </w:rPr>
        <w:t>期末按公允价值占基金资产净值比例大小排序的所有股票投资明细</w:t>
      </w:r>
      <w:r>
        <w:rPr>
          <w:lang/>
        </w:rPr>
        <w:tab/>
      </w:r>
      <w:r>
        <w:rPr>
          <w:lang/>
        </w:rPr>
        <w:fldChar w:fldCharType="begin"/>
      </w:r>
      <w:r>
        <w:rPr>
          <w:lang/>
        </w:rPr>
        <w:instrText xml:space="preserve"> PAGEREF _Toc510101001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"_Toc510101002"</w:instrText>
      </w:r>
      <w:r>
        <w:rPr>
          <w:rStyle w:val="11"/>
          <w:lang/>
        </w:rPr>
        <w:instrText xml:space="preserve"> </w:instrText>
      </w:r>
      <w:r>
        <w:rPr>
          <w:rStyle w:val="11"/>
          <w:lang/>
        </w:rPr>
        <w:fldChar w:fldCharType="separate"/>
      </w:r>
      <w:r>
        <w:rPr>
          <w:rStyle w:val="11"/>
          <w:b/>
          <w:bCs/>
          <w:lang/>
        </w:rPr>
        <w:t xml:space="preserve">8.4 </w:t>
      </w:r>
      <w:r>
        <w:rPr>
          <w:rStyle w:val="11"/>
          <w:rFonts w:hint="eastAsia"/>
          <w:b/>
          <w:bCs/>
          <w:lang/>
        </w:rPr>
        <w:t>报告期内股票投资组合的重大变动</w:t>
      </w:r>
      <w:r>
        <w:rPr>
          <w:lang/>
        </w:rPr>
        <w:tab/>
      </w:r>
      <w:r>
        <w:rPr>
          <w:lang/>
        </w:rPr>
        <w:fldChar w:fldCharType="begin"/>
      </w:r>
      <w:r>
        <w:rPr>
          <w:lang/>
        </w:rPr>
        <w:instrText xml:space="preserve"> PAGEREF _Toc510101002 \h </w:instrText>
      </w:r>
      <w:r>
        <w:rPr>
          <w:lang/>
        </w:rPr>
        <w:fldChar w:fldCharType="separate"/>
      </w:r>
      <w:r>
        <w:rPr>
          <w:lang/>
        </w:rPr>
        <w:t>63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"_Toc510101003"</w:instrText>
      </w:r>
      <w:r>
        <w:rPr>
          <w:rStyle w:val="11"/>
          <w:lang/>
        </w:rPr>
        <w:instrText xml:space="preserve"> </w:instrText>
      </w:r>
      <w:r>
        <w:rPr>
          <w:rStyle w:val="11"/>
          <w:lang/>
        </w:rPr>
        <w:fldChar w:fldCharType="separate"/>
      </w:r>
      <w:r>
        <w:rPr>
          <w:rStyle w:val="11"/>
          <w:b/>
          <w:bCs/>
          <w:lang/>
        </w:rPr>
        <w:t xml:space="preserve">8.5 </w:t>
      </w:r>
      <w:r>
        <w:rPr>
          <w:rStyle w:val="11"/>
          <w:rFonts w:hint="eastAsia"/>
          <w:b/>
          <w:bCs/>
          <w:lang/>
        </w:rPr>
        <w:t>期末按债券品种分类的债券投资组合</w:t>
      </w:r>
      <w:r>
        <w:rPr>
          <w:lang/>
        </w:rPr>
        <w:tab/>
      </w:r>
      <w:r>
        <w:rPr>
          <w:lang/>
        </w:rPr>
        <w:fldChar w:fldCharType="begin"/>
      </w:r>
      <w:r>
        <w:rPr>
          <w:lang/>
        </w:rPr>
        <w:instrText xml:space="preserve"> PAGEREF _Toc510101003 \h </w:instrText>
      </w:r>
      <w:r>
        <w:rPr>
          <w:lang/>
        </w:rPr>
        <w:fldChar w:fldCharType="separate"/>
      </w:r>
      <w:r>
        <w:rPr>
          <w:lang/>
        </w:rPr>
        <w:t>124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"_Toc510101004"</w:instrText>
      </w:r>
      <w:r>
        <w:rPr>
          <w:rStyle w:val="11"/>
          <w:lang/>
        </w:rPr>
        <w:instrText xml:space="preserve"> </w:instrText>
      </w:r>
      <w:r>
        <w:rPr>
          <w:rStyle w:val="11"/>
          <w:lang/>
        </w:rPr>
        <w:fldChar w:fldCharType="separate"/>
      </w:r>
      <w:r>
        <w:rPr>
          <w:rStyle w:val="11"/>
          <w:b/>
          <w:bCs/>
          <w:lang/>
        </w:rPr>
        <w:t xml:space="preserve">8.6 </w:t>
      </w:r>
      <w:r>
        <w:rPr>
          <w:rStyle w:val="11"/>
          <w:rFonts w:hint="eastAsia"/>
          <w:b/>
          <w:bCs/>
          <w:lang/>
        </w:rPr>
        <w:t>期末按公允价值占基金资产净值比例大小排序的前五名债券投资明细</w:t>
      </w:r>
      <w:r>
        <w:rPr>
          <w:lang/>
        </w:rPr>
        <w:tab/>
      </w:r>
      <w:r>
        <w:rPr>
          <w:lang/>
        </w:rPr>
        <w:fldChar w:fldCharType="begin"/>
      </w:r>
      <w:r>
        <w:rPr>
          <w:lang/>
        </w:rPr>
        <w:instrText xml:space="preserve"> PAGEREF _Toc510101004 \h </w:instrText>
      </w:r>
      <w:r>
        <w:rPr>
          <w:lang/>
        </w:rPr>
        <w:fldChar w:fldCharType="separate"/>
      </w:r>
      <w:r>
        <w:rPr>
          <w:lang/>
        </w:rPr>
        <w:t>125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"_Toc510101005"</w:instrText>
      </w:r>
      <w:r>
        <w:rPr>
          <w:rStyle w:val="11"/>
          <w:lang/>
        </w:rPr>
        <w:instrText xml:space="preserve"> </w:instrText>
      </w:r>
      <w:r>
        <w:rPr>
          <w:rStyle w:val="11"/>
          <w:lang/>
        </w:rPr>
        <w:fldChar w:fldCharType="separate"/>
      </w:r>
      <w:r>
        <w:rPr>
          <w:rStyle w:val="11"/>
          <w:b/>
          <w:bCs/>
          <w:lang/>
        </w:rPr>
        <w:t xml:space="preserve">8.7 </w:t>
      </w:r>
      <w:r>
        <w:rPr>
          <w:rStyle w:val="11"/>
          <w:rFonts w:hint="eastAsia"/>
          <w:b/>
          <w:bCs/>
          <w:lang/>
        </w:rPr>
        <w:t>期末按公允价值占基金资产净值比例大小排序的所有资产支持证券投资明细</w:t>
      </w:r>
      <w:r>
        <w:rPr>
          <w:lang/>
        </w:rPr>
        <w:tab/>
      </w:r>
      <w:r>
        <w:rPr>
          <w:lang/>
        </w:rPr>
        <w:fldChar w:fldCharType="begin"/>
      </w:r>
      <w:r>
        <w:rPr>
          <w:lang/>
        </w:rPr>
        <w:instrText xml:space="preserve"> PAGEREF _Toc510101005 \h </w:instrText>
      </w:r>
      <w:r>
        <w:rPr>
          <w:lang/>
        </w:rPr>
        <w:fldChar w:fldCharType="separate"/>
      </w:r>
      <w:r>
        <w:rPr>
          <w:lang/>
        </w:rPr>
        <w:t>125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"_Toc510101006"</w:instrText>
      </w:r>
      <w:r>
        <w:rPr>
          <w:rStyle w:val="11"/>
          <w:lang/>
        </w:rPr>
        <w:instrText xml:space="preserve"> </w:instrText>
      </w:r>
      <w:r>
        <w:rPr>
          <w:rStyle w:val="11"/>
          <w:lang/>
        </w:rPr>
        <w:fldChar w:fldCharType="separate"/>
      </w:r>
      <w:r>
        <w:rPr>
          <w:rStyle w:val="11"/>
          <w:b/>
          <w:bCs/>
          <w:lang/>
        </w:rPr>
        <w:t xml:space="preserve">8.8 </w:t>
      </w:r>
      <w:r>
        <w:rPr>
          <w:rStyle w:val="11"/>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_Toc510101006 \h </w:instrText>
      </w:r>
      <w:r>
        <w:rPr>
          <w:lang/>
        </w:rPr>
        <w:fldChar w:fldCharType="separate"/>
      </w:r>
      <w:r>
        <w:rPr>
          <w:lang/>
        </w:rPr>
        <w:t>125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"_Toc510101007"</w:instrText>
      </w:r>
      <w:r>
        <w:rPr>
          <w:rStyle w:val="11"/>
          <w:lang/>
        </w:rPr>
        <w:instrText xml:space="preserve"> </w:instrText>
      </w:r>
      <w:r>
        <w:rPr>
          <w:rStyle w:val="11"/>
          <w:lang/>
        </w:rPr>
        <w:fldChar w:fldCharType="separate"/>
      </w:r>
      <w:r>
        <w:rPr>
          <w:rStyle w:val="11"/>
          <w:b/>
          <w:bCs/>
          <w:lang/>
        </w:rPr>
        <w:t xml:space="preserve">8.9 </w:t>
      </w:r>
      <w:r>
        <w:rPr>
          <w:rStyle w:val="11"/>
          <w:rFonts w:hint="eastAsia"/>
          <w:b/>
          <w:bCs/>
          <w:lang/>
        </w:rPr>
        <w:t>期末按公允价值占基金资产净值比例大小排序的前五名权证投资明细</w:t>
      </w:r>
      <w:r>
        <w:rPr>
          <w:lang/>
        </w:rPr>
        <w:tab/>
      </w:r>
      <w:r>
        <w:rPr>
          <w:lang/>
        </w:rPr>
        <w:fldChar w:fldCharType="begin"/>
      </w:r>
      <w:r>
        <w:rPr>
          <w:lang/>
        </w:rPr>
        <w:instrText xml:space="preserve"> PAGEREF _Toc510101007 \h </w:instrText>
      </w:r>
      <w:r>
        <w:rPr>
          <w:lang/>
        </w:rPr>
        <w:fldChar w:fldCharType="separate"/>
      </w:r>
      <w:r>
        <w:rPr>
          <w:lang/>
        </w:rPr>
        <w:t>125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"_Toc510101008"</w:instrText>
      </w:r>
      <w:r>
        <w:rPr>
          <w:rStyle w:val="11"/>
          <w:lang/>
        </w:rPr>
        <w:instrText xml:space="preserve"> </w:instrText>
      </w:r>
      <w:r>
        <w:rPr>
          <w:rStyle w:val="11"/>
          <w:lang/>
        </w:rPr>
        <w:fldChar w:fldCharType="separate"/>
      </w:r>
      <w:r>
        <w:rPr>
          <w:rStyle w:val="11"/>
          <w:b/>
          <w:bCs/>
          <w:lang/>
        </w:rPr>
        <w:t xml:space="preserve">8.10 </w:t>
      </w:r>
      <w:r>
        <w:rPr>
          <w:rStyle w:val="11"/>
          <w:rFonts w:hint="eastAsia"/>
          <w:b/>
          <w:bCs/>
          <w:lang/>
        </w:rPr>
        <w:t>报告期末本基金投资的股指期货交易情况说明</w:t>
      </w:r>
      <w:r>
        <w:rPr>
          <w:lang/>
        </w:rPr>
        <w:tab/>
      </w:r>
      <w:r>
        <w:rPr>
          <w:lang/>
        </w:rPr>
        <w:fldChar w:fldCharType="begin"/>
      </w:r>
      <w:r>
        <w:rPr>
          <w:lang/>
        </w:rPr>
        <w:instrText xml:space="preserve"> PAGEREF _Toc510101008 \h </w:instrText>
      </w:r>
      <w:r>
        <w:rPr>
          <w:lang/>
        </w:rPr>
        <w:fldChar w:fldCharType="separate"/>
      </w:r>
      <w:r>
        <w:rPr>
          <w:lang/>
        </w:rPr>
        <w:t>125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"_Toc510101009"</w:instrText>
      </w:r>
      <w:r>
        <w:rPr>
          <w:rStyle w:val="11"/>
          <w:lang/>
        </w:rPr>
        <w:instrText xml:space="preserve"> </w:instrText>
      </w:r>
      <w:r>
        <w:rPr>
          <w:rStyle w:val="11"/>
          <w:lang/>
        </w:rPr>
        <w:fldChar w:fldCharType="separate"/>
      </w:r>
      <w:r>
        <w:rPr>
          <w:rStyle w:val="11"/>
          <w:b/>
          <w:bCs/>
          <w:lang/>
        </w:rPr>
        <w:t xml:space="preserve">8.11 </w:t>
      </w:r>
      <w:r>
        <w:rPr>
          <w:rStyle w:val="11"/>
          <w:rFonts w:hint="eastAsia"/>
          <w:b/>
          <w:bCs/>
          <w:lang/>
        </w:rPr>
        <w:t>报告期末本基金投资的国债期货交易情况说明</w:t>
      </w:r>
      <w:r>
        <w:rPr>
          <w:lang/>
        </w:rPr>
        <w:tab/>
      </w:r>
      <w:r>
        <w:rPr>
          <w:lang/>
        </w:rPr>
        <w:fldChar w:fldCharType="begin"/>
      </w:r>
      <w:r>
        <w:rPr>
          <w:lang/>
        </w:rPr>
        <w:instrText xml:space="preserve"> PAGEREF _Toc510101009 \h </w:instrText>
      </w:r>
      <w:r>
        <w:rPr>
          <w:lang/>
        </w:rPr>
        <w:fldChar w:fldCharType="separate"/>
      </w:r>
      <w:r>
        <w:rPr>
          <w:lang/>
        </w:rPr>
        <w:t>125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"_Toc510101010"</w:instrText>
      </w:r>
      <w:r>
        <w:rPr>
          <w:rStyle w:val="11"/>
          <w:lang/>
        </w:rPr>
        <w:instrText xml:space="preserve"> </w:instrText>
      </w:r>
      <w:r>
        <w:rPr>
          <w:rStyle w:val="11"/>
          <w:lang/>
        </w:rPr>
        <w:fldChar w:fldCharType="separate"/>
      </w:r>
      <w:r>
        <w:rPr>
          <w:rStyle w:val="11"/>
          <w:b/>
          <w:bCs/>
          <w:lang/>
        </w:rPr>
        <w:t xml:space="preserve">8.12 </w:t>
      </w:r>
      <w:r>
        <w:rPr>
          <w:rStyle w:val="11"/>
          <w:rFonts w:hint="eastAsia"/>
          <w:b/>
          <w:bCs/>
          <w:lang/>
        </w:rPr>
        <w:t>投资组合报告附注</w:t>
      </w:r>
      <w:r>
        <w:rPr>
          <w:lang/>
        </w:rPr>
        <w:tab/>
      </w:r>
      <w:r>
        <w:rPr>
          <w:lang/>
        </w:rPr>
        <w:fldChar w:fldCharType="begin"/>
      </w:r>
      <w:r>
        <w:rPr>
          <w:lang/>
        </w:rPr>
        <w:instrText xml:space="preserve"> PAGEREF _Toc510101010 \h </w:instrText>
      </w:r>
      <w:r>
        <w:rPr>
          <w:lang/>
        </w:rPr>
        <w:fldChar w:fldCharType="separate"/>
      </w:r>
      <w:r>
        <w:rPr>
          <w:lang/>
        </w:rPr>
        <w:t>126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"_Toc510101011"</w:instrText>
      </w:r>
      <w:r>
        <w:rPr>
          <w:rStyle w:val="11"/>
          <w:lang/>
        </w:rPr>
        <w:instrText xml:space="preserve"> </w:instrText>
      </w:r>
      <w:r>
        <w:rPr>
          <w:rStyle w:val="11"/>
          <w:lang/>
        </w:rPr>
        <w:fldChar w:fldCharType="separate"/>
      </w:r>
      <w:r>
        <w:rPr>
          <w:rStyle w:val="11"/>
          <w:b/>
          <w:bCs/>
          <w:lang/>
        </w:rPr>
        <w:t xml:space="preserve">8.12.5 </w:t>
      </w:r>
      <w:r>
        <w:rPr>
          <w:rStyle w:val="11"/>
          <w:rFonts w:hint="eastAsia"/>
          <w:b/>
          <w:bCs/>
          <w:lang/>
        </w:rPr>
        <w:t>期末前十名股票中存在流通受限情况的说明</w:t>
      </w:r>
      <w:r>
        <w:rPr>
          <w:lang/>
        </w:rPr>
        <w:tab/>
      </w:r>
      <w:r>
        <w:rPr>
          <w:lang/>
        </w:rPr>
        <w:fldChar w:fldCharType="begin"/>
      </w:r>
      <w:r>
        <w:rPr>
          <w:lang/>
        </w:rPr>
        <w:instrText xml:space="preserve"> PAGEREF _Toc510101011 \h </w:instrText>
      </w:r>
      <w:r>
        <w:rPr>
          <w:lang/>
        </w:rPr>
        <w:fldChar w:fldCharType="separate"/>
      </w:r>
      <w:r>
        <w:rPr>
          <w:lang/>
        </w:rPr>
        <w:t>126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"_Toc510101012"</w:instrText>
      </w:r>
      <w:r>
        <w:rPr>
          <w:rStyle w:val="11"/>
          <w:lang/>
        </w:rPr>
        <w:instrText xml:space="preserve"> </w:instrText>
      </w:r>
      <w:r>
        <w:rPr>
          <w:rStyle w:val="11"/>
          <w:lang/>
        </w:rPr>
        <w:fldChar w:fldCharType="separate"/>
      </w:r>
      <w:r>
        <w:rPr>
          <w:rStyle w:val="11"/>
          <w:b/>
          <w:lang/>
        </w:rPr>
        <w:t xml:space="preserve">§9  </w:t>
      </w:r>
      <w:r>
        <w:rPr>
          <w:rStyle w:val="11"/>
          <w:rFonts w:hint="eastAsia"/>
          <w:b/>
          <w:lang/>
        </w:rPr>
        <w:t>基金份额持有人信息</w:t>
      </w:r>
      <w:r>
        <w:rPr>
          <w:lang/>
        </w:rPr>
        <w:tab/>
      </w:r>
      <w:r>
        <w:rPr>
          <w:lang/>
        </w:rPr>
        <w:fldChar w:fldCharType="begin"/>
      </w:r>
      <w:r>
        <w:rPr>
          <w:lang/>
        </w:rPr>
        <w:instrText xml:space="preserve"> PAGEREF _Toc510101012 \h </w:instrText>
      </w:r>
      <w:r>
        <w:rPr>
          <w:lang/>
        </w:rPr>
        <w:fldChar w:fldCharType="separate"/>
      </w:r>
      <w:r>
        <w:rPr>
          <w:lang/>
        </w:rPr>
        <w:t>127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"_Toc510101013"</w:instrText>
      </w:r>
      <w:r>
        <w:rPr>
          <w:rStyle w:val="11"/>
          <w:lang/>
        </w:rPr>
        <w:instrText xml:space="preserve"> </w:instrText>
      </w:r>
      <w:r>
        <w:rPr>
          <w:rStyle w:val="11"/>
          <w:lang/>
        </w:rPr>
        <w:fldChar w:fldCharType="separate"/>
      </w:r>
      <w:r>
        <w:rPr>
          <w:rStyle w:val="11"/>
          <w:b/>
          <w:bCs/>
          <w:lang/>
        </w:rPr>
        <w:t xml:space="preserve">9.1 </w:t>
      </w:r>
      <w:r>
        <w:rPr>
          <w:rStyle w:val="11"/>
          <w:rFonts w:hint="eastAsia"/>
          <w:b/>
          <w:bCs/>
          <w:lang/>
        </w:rPr>
        <w:t>期末基金份额持有人户数及持有人结构</w:t>
      </w:r>
      <w:r>
        <w:rPr>
          <w:lang/>
        </w:rPr>
        <w:tab/>
      </w:r>
      <w:r>
        <w:rPr>
          <w:lang/>
        </w:rPr>
        <w:fldChar w:fldCharType="begin"/>
      </w:r>
      <w:r>
        <w:rPr>
          <w:lang/>
        </w:rPr>
        <w:instrText xml:space="preserve"> PAGEREF _Toc510101013 \h </w:instrText>
      </w:r>
      <w:r>
        <w:rPr>
          <w:lang/>
        </w:rPr>
        <w:fldChar w:fldCharType="separate"/>
      </w:r>
      <w:r>
        <w:rPr>
          <w:lang/>
        </w:rPr>
        <w:t>127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"_Toc510101014"</w:instrText>
      </w:r>
      <w:r>
        <w:rPr>
          <w:rStyle w:val="11"/>
          <w:lang/>
        </w:rPr>
        <w:instrText xml:space="preserve"> </w:instrText>
      </w:r>
      <w:r>
        <w:rPr>
          <w:rStyle w:val="11"/>
          <w:lang/>
        </w:rPr>
        <w:fldChar w:fldCharType="separate"/>
      </w:r>
      <w:r>
        <w:rPr>
          <w:rStyle w:val="11"/>
          <w:b/>
          <w:lang/>
        </w:rPr>
        <w:t>9.2</w:t>
      </w:r>
      <w:r>
        <w:rPr>
          <w:rStyle w:val="11"/>
          <w:rFonts w:hint="eastAsia"/>
          <w:b/>
          <w:lang/>
        </w:rPr>
        <w:t>期末基金管理人的从业人员持有本基金的情况</w:t>
      </w:r>
      <w:r>
        <w:rPr>
          <w:lang/>
        </w:rPr>
        <w:tab/>
      </w:r>
      <w:r>
        <w:rPr>
          <w:lang/>
        </w:rPr>
        <w:fldChar w:fldCharType="begin"/>
      </w:r>
      <w:r>
        <w:rPr>
          <w:lang/>
        </w:rPr>
        <w:instrText xml:space="preserve"> PAGEREF _Toc510101014 \h </w:instrText>
      </w:r>
      <w:r>
        <w:rPr>
          <w:lang/>
        </w:rPr>
        <w:fldChar w:fldCharType="separate"/>
      </w:r>
      <w:r>
        <w:rPr>
          <w:lang/>
        </w:rPr>
        <w:t>127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"_Toc510101015"</w:instrText>
      </w:r>
      <w:r>
        <w:rPr>
          <w:rStyle w:val="11"/>
          <w:lang/>
        </w:rPr>
        <w:instrText xml:space="preserve"> </w:instrText>
      </w:r>
      <w:r>
        <w:rPr>
          <w:rStyle w:val="11"/>
          <w:lang/>
        </w:rPr>
        <w:fldChar w:fldCharType="separate"/>
      </w:r>
      <w:r>
        <w:rPr>
          <w:rStyle w:val="11"/>
          <w:b/>
          <w:bCs/>
          <w:lang/>
        </w:rPr>
        <w:t>9.3</w:t>
      </w:r>
      <w:r>
        <w:rPr>
          <w:rStyle w:val="11"/>
          <w:rFonts w:hint="eastAsia"/>
          <w:b/>
          <w:bCs/>
          <w:lang/>
        </w:rPr>
        <w:t>期末基金管理人的从业人员持有本开放式基金份额总量区间情况</w:t>
      </w:r>
      <w:r>
        <w:rPr>
          <w:lang/>
        </w:rPr>
        <w:tab/>
      </w:r>
      <w:r>
        <w:rPr>
          <w:lang/>
        </w:rPr>
        <w:fldChar w:fldCharType="begin"/>
      </w:r>
      <w:r>
        <w:rPr>
          <w:lang/>
        </w:rPr>
        <w:instrText xml:space="preserve"> PAGEREF _Toc510101015 \h </w:instrText>
      </w:r>
      <w:r>
        <w:rPr>
          <w:lang/>
        </w:rPr>
        <w:fldChar w:fldCharType="separate"/>
      </w:r>
      <w:r>
        <w:rPr>
          <w:lang/>
        </w:rPr>
        <w:t>128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"_Toc510101016"</w:instrText>
      </w:r>
      <w:r>
        <w:rPr>
          <w:rStyle w:val="11"/>
          <w:lang/>
        </w:rPr>
        <w:instrText xml:space="preserve"> </w:instrText>
      </w:r>
      <w:r>
        <w:rPr>
          <w:rStyle w:val="11"/>
          <w:lang/>
        </w:rPr>
        <w:fldChar w:fldCharType="separate"/>
      </w:r>
      <w:r>
        <w:rPr>
          <w:rStyle w:val="11"/>
          <w:b/>
          <w:bCs/>
          <w:lang/>
        </w:rPr>
        <w:t>9.4</w:t>
      </w:r>
      <w:r>
        <w:rPr>
          <w:rStyle w:val="11"/>
          <w:rFonts w:hint="eastAsia"/>
          <w:b/>
          <w:bCs/>
          <w:lang/>
        </w:rPr>
        <w:t>发起式基金发起资金持有份额情况</w:t>
      </w:r>
      <w:r>
        <w:rPr>
          <w:lang/>
        </w:rPr>
        <w:tab/>
      </w:r>
      <w:r>
        <w:rPr>
          <w:lang/>
        </w:rPr>
        <w:fldChar w:fldCharType="begin"/>
      </w:r>
      <w:r>
        <w:rPr>
          <w:lang/>
        </w:rPr>
        <w:instrText xml:space="preserve"> PAGEREF _Toc510101016 \h </w:instrText>
      </w:r>
      <w:r>
        <w:rPr>
          <w:lang/>
        </w:rPr>
        <w:fldChar w:fldCharType="separate"/>
      </w:r>
      <w:r>
        <w:rPr>
          <w:lang/>
        </w:rPr>
        <w:t>128</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"_Toc510101017"</w:instrText>
      </w:r>
      <w:r>
        <w:rPr>
          <w:rStyle w:val="11"/>
          <w:lang/>
        </w:rPr>
        <w:instrText xml:space="preserve"> </w:instrText>
      </w:r>
      <w:r>
        <w:rPr>
          <w:rStyle w:val="11"/>
          <w:lang/>
        </w:rPr>
        <w:fldChar w:fldCharType="separate"/>
      </w:r>
      <w:r>
        <w:rPr>
          <w:rStyle w:val="11"/>
          <w:b/>
          <w:lang/>
        </w:rPr>
        <w:t xml:space="preserve">§10  </w:t>
      </w:r>
      <w:r>
        <w:rPr>
          <w:rStyle w:val="11"/>
          <w:rFonts w:hint="eastAsia"/>
          <w:b/>
          <w:lang/>
        </w:rPr>
        <w:t>开放式基金份额变动</w:t>
      </w:r>
      <w:r>
        <w:rPr>
          <w:lang/>
        </w:rPr>
        <w:tab/>
      </w:r>
      <w:r>
        <w:rPr>
          <w:lang/>
        </w:rPr>
        <w:fldChar w:fldCharType="begin"/>
      </w:r>
      <w:r>
        <w:rPr>
          <w:lang/>
        </w:rPr>
        <w:instrText xml:space="preserve"> PAGEREF _Toc510101017 \h </w:instrText>
      </w:r>
      <w:r>
        <w:rPr>
          <w:lang/>
        </w:rPr>
        <w:fldChar w:fldCharType="separate"/>
      </w:r>
      <w:r>
        <w:rPr>
          <w:lang/>
        </w:rPr>
        <w:t>129</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"_Toc510101018"</w:instrText>
      </w:r>
      <w:r>
        <w:rPr>
          <w:rStyle w:val="11"/>
          <w:lang/>
        </w:rPr>
        <w:instrText xml:space="preserve"> </w:instrText>
      </w:r>
      <w:r>
        <w:rPr>
          <w:rStyle w:val="11"/>
          <w:lang/>
        </w:rPr>
        <w:fldChar w:fldCharType="separate"/>
      </w:r>
      <w:r>
        <w:rPr>
          <w:rStyle w:val="11"/>
          <w:b/>
          <w:lang/>
        </w:rPr>
        <w:t xml:space="preserve">§11  </w:t>
      </w:r>
      <w:r>
        <w:rPr>
          <w:rStyle w:val="11"/>
          <w:rFonts w:hint="eastAsia"/>
          <w:b/>
          <w:lang/>
        </w:rPr>
        <w:t>重大事件揭示</w:t>
      </w:r>
      <w:r>
        <w:rPr>
          <w:lang/>
        </w:rPr>
        <w:tab/>
      </w:r>
      <w:r>
        <w:rPr>
          <w:lang/>
        </w:rPr>
        <w:fldChar w:fldCharType="begin"/>
      </w:r>
      <w:r>
        <w:rPr>
          <w:lang/>
        </w:rPr>
        <w:instrText xml:space="preserve"> PAGEREF _Toc510101018 \h </w:instrText>
      </w:r>
      <w:r>
        <w:rPr>
          <w:lang/>
        </w:rPr>
        <w:fldChar w:fldCharType="separate"/>
      </w:r>
      <w:r>
        <w:rPr>
          <w:lang/>
        </w:rPr>
        <w:t>129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"_Toc510101019"</w:instrText>
      </w:r>
      <w:r>
        <w:rPr>
          <w:rStyle w:val="11"/>
          <w:lang/>
        </w:rPr>
        <w:instrText xml:space="preserve"> </w:instrText>
      </w:r>
      <w:r>
        <w:rPr>
          <w:rStyle w:val="11"/>
          <w:lang/>
        </w:rPr>
        <w:fldChar w:fldCharType="separate"/>
      </w:r>
      <w:r>
        <w:rPr>
          <w:rStyle w:val="11"/>
          <w:b/>
          <w:bCs/>
          <w:lang/>
        </w:rPr>
        <w:t xml:space="preserve">11.1 </w:t>
      </w:r>
      <w:r>
        <w:rPr>
          <w:rStyle w:val="11"/>
          <w:rFonts w:hint="eastAsia"/>
          <w:b/>
          <w:bCs/>
          <w:lang/>
        </w:rPr>
        <w:t>基金份额持有人大会决议</w:t>
      </w:r>
      <w:r>
        <w:rPr>
          <w:lang/>
        </w:rPr>
        <w:tab/>
      </w:r>
      <w:r>
        <w:rPr>
          <w:lang/>
        </w:rPr>
        <w:fldChar w:fldCharType="begin"/>
      </w:r>
      <w:r>
        <w:rPr>
          <w:lang/>
        </w:rPr>
        <w:instrText xml:space="preserve"> PAGEREF _Toc510101019 \h </w:instrText>
      </w:r>
      <w:r>
        <w:rPr>
          <w:lang/>
        </w:rPr>
        <w:fldChar w:fldCharType="separate"/>
      </w:r>
      <w:r>
        <w:rPr>
          <w:lang/>
        </w:rPr>
        <w:t>129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"_Toc510101020"</w:instrText>
      </w:r>
      <w:r>
        <w:rPr>
          <w:rStyle w:val="11"/>
          <w:lang/>
        </w:rPr>
        <w:instrText xml:space="preserve"> </w:instrText>
      </w:r>
      <w:r>
        <w:rPr>
          <w:rStyle w:val="11"/>
          <w:lang/>
        </w:rPr>
        <w:fldChar w:fldCharType="separate"/>
      </w:r>
      <w:r>
        <w:rPr>
          <w:rStyle w:val="11"/>
          <w:b/>
          <w:bCs/>
          <w:lang/>
        </w:rPr>
        <w:t xml:space="preserve">11.2 </w:t>
      </w:r>
      <w:r>
        <w:rPr>
          <w:rStyle w:val="11"/>
          <w:rFonts w:hint="eastAsia"/>
          <w:b/>
          <w:bCs/>
          <w:lang/>
        </w:rPr>
        <w:t>基金管理人、基金托管人的专门基金托管部门的重大人事变动</w:t>
      </w:r>
      <w:r>
        <w:rPr>
          <w:lang/>
        </w:rPr>
        <w:tab/>
      </w:r>
      <w:r>
        <w:rPr>
          <w:lang/>
        </w:rPr>
        <w:fldChar w:fldCharType="begin"/>
      </w:r>
      <w:r>
        <w:rPr>
          <w:lang/>
        </w:rPr>
        <w:instrText xml:space="preserve"> PAGEREF _Toc510101020 \h </w:instrText>
      </w:r>
      <w:r>
        <w:rPr>
          <w:lang/>
        </w:rPr>
        <w:fldChar w:fldCharType="separate"/>
      </w:r>
      <w:r>
        <w:rPr>
          <w:lang/>
        </w:rPr>
        <w:t>129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"_Toc510101021"</w:instrText>
      </w:r>
      <w:r>
        <w:rPr>
          <w:rStyle w:val="11"/>
          <w:lang/>
        </w:rPr>
        <w:instrText xml:space="preserve"> </w:instrText>
      </w:r>
      <w:r>
        <w:rPr>
          <w:rStyle w:val="11"/>
          <w:lang/>
        </w:rPr>
        <w:fldChar w:fldCharType="separate"/>
      </w:r>
      <w:r>
        <w:rPr>
          <w:rStyle w:val="11"/>
          <w:b/>
          <w:bCs/>
          <w:lang/>
        </w:rPr>
        <w:t xml:space="preserve">11.3 </w:t>
      </w:r>
      <w:r>
        <w:rPr>
          <w:rStyle w:val="11"/>
          <w:rFonts w:hint="eastAsia"/>
          <w:b/>
          <w:bCs/>
          <w:lang/>
        </w:rPr>
        <w:t>涉及基金管理人、基金财产、基金托管业务的诉讼</w:t>
      </w:r>
      <w:r>
        <w:rPr>
          <w:lang/>
        </w:rPr>
        <w:tab/>
      </w:r>
      <w:r>
        <w:rPr>
          <w:lang/>
        </w:rPr>
        <w:fldChar w:fldCharType="begin"/>
      </w:r>
      <w:r>
        <w:rPr>
          <w:lang/>
        </w:rPr>
        <w:instrText xml:space="preserve"> PAGEREF _Toc510101021 \h </w:instrText>
      </w:r>
      <w:r>
        <w:rPr>
          <w:lang/>
        </w:rPr>
        <w:fldChar w:fldCharType="separate"/>
      </w:r>
      <w:r>
        <w:rPr>
          <w:lang/>
        </w:rPr>
        <w:t>129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"_Toc510101022"</w:instrText>
      </w:r>
      <w:r>
        <w:rPr>
          <w:rStyle w:val="11"/>
          <w:lang/>
        </w:rPr>
        <w:instrText xml:space="preserve"> </w:instrText>
      </w:r>
      <w:r>
        <w:rPr>
          <w:rStyle w:val="11"/>
          <w:lang/>
        </w:rPr>
        <w:fldChar w:fldCharType="separate"/>
      </w:r>
      <w:r>
        <w:rPr>
          <w:rStyle w:val="11"/>
          <w:b/>
          <w:bCs/>
          <w:lang/>
        </w:rPr>
        <w:t xml:space="preserve">11.4 </w:t>
      </w:r>
      <w:r>
        <w:rPr>
          <w:rStyle w:val="11"/>
          <w:rFonts w:hint="eastAsia"/>
          <w:b/>
          <w:bCs/>
          <w:lang/>
        </w:rPr>
        <w:t>基金投资策略的改变</w:t>
      </w:r>
      <w:r>
        <w:rPr>
          <w:lang/>
        </w:rPr>
        <w:tab/>
      </w:r>
      <w:r>
        <w:rPr>
          <w:lang/>
        </w:rPr>
        <w:fldChar w:fldCharType="begin"/>
      </w:r>
      <w:r>
        <w:rPr>
          <w:lang/>
        </w:rPr>
        <w:instrText xml:space="preserve"> PAGEREF _Toc510101022 \h </w:instrText>
      </w:r>
      <w:r>
        <w:rPr>
          <w:lang/>
        </w:rPr>
        <w:fldChar w:fldCharType="separate"/>
      </w:r>
      <w:r>
        <w:rPr>
          <w:lang/>
        </w:rPr>
        <w:t>129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"_Toc510101023"</w:instrText>
      </w:r>
      <w:r>
        <w:rPr>
          <w:rStyle w:val="11"/>
          <w:lang/>
        </w:rPr>
        <w:instrText xml:space="preserve"> </w:instrText>
      </w:r>
      <w:r>
        <w:rPr>
          <w:rStyle w:val="11"/>
          <w:lang/>
        </w:rPr>
        <w:fldChar w:fldCharType="separate"/>
      </w:r>
      <w:r>
        <w:rPr>
          <w:rStyle w:val="11"/>
          <w:b/>
          <w:bCs/>
          <w:lang/>
        </w:rPr>
        <w:t xml:space="preserve">11.5 </w:t>
      </w:r>
      <w:r>
        <w:rPr>
          <w:rStyle w:val="11"/>
          <w:rFonts w:hint="eastAsia"/>
          <w:b/>
          <w:bCs/>
          <w:lang/>
        </w:rPr>
        <w:t>为基金进行审计的会计师事务所情况</w:t>
      </w:r>
      <w:r>
        <w:rPr>
          <w:lang/>
        </w:rPr>
        <w:tab/>
      </w:r>
      <w:r>
        <w:rPr>
          <w:lang/>
        </w:rPr>
        <w:fldChar w:fldCharType="begin"/>
      </w:r>
      <w:r>
        <w:rPr>
          <w:lang/>
        </w:rPr>
        <w:instrText xml:space="preserve"> PAGEREF _Toc510101023 \h </w:instrText>
      </w:r>
      <w:r>
        <w:rPr>
          <w:lang/>
        </w:rPr>
        <w:fldChar w:fldCharType="separate"/>
      </w:r>
      <w:r>
        <w:rPr>
          <w:lang/>
        </w:rPr>
        <w:t>129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"_Toc510101024"</w:instrText>
      </w:r>
      <w:r>
        <w:rPr>
          <w:rStyle w:val="11"/>
          <w:lang/>
        </w:rPr>
        <w:instrText xml:space="preserve"> </w:instrText>
      </w:r>
      <w:r>
        <w:rPr>
          <w:rStyle w:val="11"/>
          <w:lang/>
        </w:rPr>
        <w:fldChar w:fldCharType="separate"/>
      </w:r>
      <w:r>
        <w:rPr>
          <w:rStyle w:val="11"/>
          <w:b/>
          <w:bCs/>
          <w:lang/>
        </w:rPr>
        <w:t xml:space="preserve">11.6 </w:t>
      </w:r>
      <w:r>
        <w:rPr>
          <w:rStyle w:val="11"/>
          <w:rFonts w:hint="eastAsia"/>
          <w:b/>
          <w:bCs/>
          <w:lang/>
        </w:rPr>
        <w:t>管理人、托管人及其高级管理人员受稽查或处罚等情况</w:t>
      </w:r>
      <w:r>
        <w:rPr>
          <w:lang/>
        </w:rPr>
        <w:tab/>
      </w:r>
      <w:r>
        <w:rPr>
          <w:lang/>
        </w:rPr>
        <w:fldChar w:fldCharType="begin"/>
      </w:r>
      <w:r>
        <w:rPr>
          <w:lang/>
        </w:rPr>
        <w:instrText xml:space="preserve"> PAGEREF _Toc510101024 \h </w:instrText>
      </w:r>
      <w:r>
        <w:rPr>
          <w:lang/>
        </w:rPr>
        <w:fldChar w:fldCharType="separate"/>
      </w:r>
      <w:r>
        <w:rPr>
          <w:lang/>
        </w:rPr>
        <w:t>129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"_Toc510101025"</w:instrText>
      </w:r>
      <w:r>
        <w:rPr>
          <w:rStyle w:val="11"/>
          <w:lang/>
        </w:rPr>
        <w:instrText xml:space="preserve"> </w:instrText>
      </w:r>
      <w:r>
        <w:rPr>
          <w:rStyle w:val="11"/>
          <w:lang/>
        </w:rPr>
        <w:fldChar w:fldCharType="separate"/>
      </w:r>
      <w:r>
        <w:rPr>
          <w:rStyle w:val="11"/>
          <w:b/>
          <w:bCs/>
          <w:lang/>
        </w:rPr>
        <w:t xml:space="preserve">11.7 </w:t>
      </w:r>
      <w:r>
        <w:rPr>
          <w:rStyle w:val="11"/>
          <w:rFonts w:hint="eastAsia"/>
          <w:b/>
          <w:bCs/>
          <w:lang/>
        </w:rPr>
        <w:t>基金租用证券公司交易单元的有关情况</w:t>
      </w:r>
      <w:r>
        <w:rPr>
          <w:lang/>
        </w:rPr>
        <w:tab/>
      </w:r>
      <w:r>
        <w:rPr>
          <w:lang/>
        </w:rPr>
        <w:fldChar w:fldCharType="begin"/>
      </w:r>
      <w:r>
        <w:rPr>
          <w:lang/>
        </w:rPr>
        <w:instrText xml:space="preserve"> PAGEREF _Toc510101025 \h </w:instrText>
      </w:r>
      <w:r>
        <w:rPr>
          <w:lang/>
        </w:rPr>
        <w:fldChar w:fldCharType="separate"/>
      </w:r>
      <w:r>
        <w:rPr>
          <w:lang/>
        </w:rPr>
        <w:t>130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"_Toc510101026"</w:instrText>
      </w:r>
      <w:r>
        <w:rPr>
          <w:rStyle w:val="11"/>
          <w:lang/>
        </w:rPr>
        <w:instrText xml:space="preserve"> </w:instrText>
      </w:r>
      <w:r>
        <w:rPr>
          <w:rStyle w:val="11"/>
          <w:lang/>
        </w:rPr>
        <w:fldChar w:fldCharType="separate"/>
      </w:r>
      <w:r>
        <w:rPr>
          <w:rStyle w:val="11"/>
          <w:b/>
          <w:bCs/>
          <w:lang/>
        </w:rPr>
        <w:t xml:space="preserve">11.8 </w:t>
      </w:r>
      <w:r>
        <w:rPr>
          <w:rStyle w:val="11"/>
          <w:rFonts w:hint="eastAsia"/>
          <w:b/>
          <w:bCs/>
          <w:lang/>
        </w:rPr>
        <w:t>其他重大事件</w:t>
      </w:r>
      <w:r>
        <w:rPr>
          <w:lang/>
        </w:rPr>
        <w:tab/>
      </w:r>
      <w:r>
        <w:rPr>
          <w:lang/>
        </w:rPr>
        <w:fldChar w:fldCharType="begin"/>
      </w:r>
      <w:r>
        <w:rPr>
          <w:lang/>
        </w:rPr>
        <w:instrText xml:space="preserve"> PAGEREF _Toc510101026 \h </w:instrText>
      </w:r>
      <w:r>
        <w:rPr>
          <w:lang/>
        </w:rPr>
        <w:fldChar w:fldCharType="separate"/>
      </w:r>
      <w:r>
        <w:rPr>
          <w:lang/>
        </w:rPr>
        <w:t>131</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"_Toc510101027"</w:instrText>
      </w:r>
      <w:r>
        <w:rPr>
          <w:rStyle w:val="11"/>
          <w:lang/>
        </w:rPr>
        <w:instrText xml:space="preserve"> </w:instrText>
      </w:r>
      <w:r>
        <w:rPr>
          <w:rStyle w:val="11"/>
          <w:lang/>
        </w:rPr>
        <w:fldChar w:fldCharType="separate"/>
      </w:r>
      <w:r>
        <w:rPr>
          <w:rStyle w:val="11"/>
          <w:b/>
          <w:lang/>
        </w:rPr>
        <w:t xml:space="preserve">§12  </w:t>
      </w:r>
      <w:r>
        <w:rPr>
          <w:rStyle w:val="11"/>
          <w:rFonts w:hint="eastAsia"/>
          <w:b/>
          <w:lang/>
        </w:rPr>
        <w:t>影响投资者决策的其他重要信息</w:t>
      </w:r>
      <w:r>
        <w:rPr>
          <w:lang/>
        </w:rPr>
        <w:tab/>
      </w:r>
      <w:r>
        <w:rPr>
          <w:lang/>
        </w:rPr>
        <w:fldChar w:fldCharType="begin"/>
      </w:r>
      <w:r>
        <w:rPr>
          <w:lang/>
        </w:rPr>
        <w:instrText xml:space="preserve"> PAGEREF _Toc510101027 \h </w:instrText>
      </w:r>
      <w:r>
        <w:rPr>
          <w:lang/>
        </w:rPr>
        <w:fldChar w:fldCharType="separate"/>
      </w:r>
      <w:r>
        <w:rPr>
          <w:lang/>
        </w:rPr>
        <w:t>135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"_Toc510101028"</w:instrText>
      </w:r>
      <w:r>
        <w:rPr>
          <w:rStyle w:val="11"/>
          <w:lang/>
        </w:rPr>
        <w:instrText xml:space="preserve"> </w:instrText>
      </w:r>
      <w:r>
        <w:rPr>
          <w:rStyle w:val="11"/>
          <w:lang/>
        </w:rPr>
        <w:fldChar w:fldCharType="separate"/>
      </w:r>
      <w:r>
        <w:rPr>
          <w:rStyle w:val="11"/>
          <w:b/>
          <w:bCs/>
          <w:lang/>
        </w:rPr>
        <w:t xml:space="preserve">12.1 </w:t>
      </w:r>
      <w:r>
        <w:rPr>
          <w:rStyle w:val="11"/>
          <w:rFonts w:hint="eastAsia"/>
          <w:b/>
          <w:bCs/>
          <w:lang/>
        </w:rPr>
        <w:t>报告期内单一投资者持有基金份额比例达到或超过</w:t>
      </w:r>
      <w:r>
        <w:rPr>
          <w:rStyle w:val="11"/>
          <w:b/>
          <w:bCs/>
          <w:lang/>
        </w:rPr>
        <w:t>20%</w:t>
      </w:r>
      <w:r>
        <w:rPr>
          <w:rStyle w:val="11"/>
          <w:rFonts w:hint="eastAsia"/>
          <w:b/>
          <w:bCs/>
          <w:lang/>
        </w:rPr>
        <w:t>的情况</w:t>
      </w:r>
      <w:r>
        <w:rPr>
          <w:lang/>
        </w:rPr>
        <w:tab/>
      </w:r>
      <w:r>
        <w:rPr>
          <w:lang/>
        </w:rPr>
        <w:fldChar w:fldCharType="begin"/>
      </w:r>
      <w:r>
        <w:rPr>
          <w:lang/>
        </w:rPr>
        <w:instrText xml:space="preserve"> PAGEREF _Toc510101028 \h </w:instrText>
      </w:r>
      <w:r>
        <w:rPr>
          <w:lang/>
        </w:rPr>
        <w:fldChar w:fldCharType="separate"/>
      </w:r>
      <w:r>
        <w:rPr>
          <w:lang/>
        </w:rPr>
        <w:t>135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"_Toc510101029"</w:instrText>
      </w:r>
      <w:r>
        <w:rPr>
          <w:rStyle w:val="11"/>
          <w:lang/>
        </w:rPr>
        <w:instrText xml:space="preserve"> </w:instrText>
      </w:r>
      <w:r>
        <w:rPr>
          <w:rStyle w:val="11"/>
          <w:lang/>
        </w:rPr>
        <w:fldChar w:fldCharType="separate"/>
      </w:r>
      <w:r>
        <w:rPr>
          <w:rStyle w:val="11"/>
          <w:b/>
          <w:bCs/>
          <w:lang/>
        </w:rPr>
        <w:t xml:space="preserve">12.2 </w:t>
      </w:r>
      <w:r>
        <w:rPr>
          <w:rStyle w:val="11"/>
          <w:rFonts w:hint="eastAsia"/>
          <w:b/>
          <w:bCs/>
          <w:lang/>
        </w:rPr>
        <w:t>影响投资者决策的其他重要信息</w:t>
      </w:r>
      <w:r>
        <w:rPr>
          <w:lang/>
        </w:rPr>
        <w:tab/>
      </w:r>
      <w:r>
        <w:rPr>
          <w:lang/>
        </w:rPr>
        <w:fldChar w:fldCharType="begin"/>
      </w:r>
      <w:r>
        <w:rPr>
          <w:lang/>
        </w:rPr>
        <w:instrText xml:space="preserve"> PAGEREF _Toc510101029 \h </w:instrText>
      </w:r>
      <w:r>
        <w:rPr>
          <w:lang/>
        </w:rPr>
        <w:fldChar w:fldCharType="separate"/>
      </w:r>
      <w:r>
        <w:rPr>
          <w:lang/>
        </w:rPr>
        <w:t>136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"_Toc510101030"</w:instrText>
      </w:r>
      <w:r>
        <w:rPr>
          <w:rStyle w:val="11"/>
          <w:lang/>
        </w:rPr>
        <w:instrText xml:space="preserve"> </w:instrText>
      </w:r>
      <w:r>
        <w:rPr>
          <w:rStyle w:val="11"/>
          <w:lang/>
        </w:rPr>
        <w:fldChar w:fldCharType="separate"/>
      </w:r>
      <w:r>
        <w:rPr>
          <w:rStyle w:val="11"/>
          <w:b/>
          <w:lang/>
        </w:rPr>
        <w:t xml:space="preserve">§13  </w:t>
      </w:r>
      <w:r>
        <w:rPr>
          <w:rStyle w:val="11"/>
          <w:rFonts w:hint="eastAsia"/>
          <w:b/>
          <w:lang/>
        </w:rPr>
        <w:t>备查文件目录</w:t>
      </w:r>
      <w:r>
        <w:rPr>
          <w:lang/>
        </w:rPr>
        <w:tab/>
      </w:r>
      <w:r>
        <w:rPr>
          <w:lang/>
        </w:rPr>
        <w:fldChar w:fldCharType="begin"/>
      </w:r>
      <w:r>
        <w:rPr>
          <w:lang/>
        </w:rPr>
        <w:instrText xml:space="preserve"> PAGEREF _Toc510101030 \h </w:instrText>
      </w:r>
      <w:r>
        <w:rPr>
          <w:lang/>
        </w:rPr>
        <w:fldChar w:fldCharType="separate"/>
      </w:r>
      <w:r>
        <w:rPr>
          <w:lang/>
        </w:rPr>
        <w:t>136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"_Toc510101031"</w:instrText>
      </w:r>
      <w:r>
        <w:rPr>
          <w:rStyle w:val="11"/>
          <w:lang/>
        </w:rPr>
        <w:instrText xml:space="preserve"> </w:instrText>
      </w:r>
      <w:r>
        <w:rPr>
          <w:rStyle w:val="11"/>
          <w:lang/>
        </w:rPr>
        <w:fldChar w:fldCharType="separate"/>
      </w:r>
      <w:r>
        <w:rPr>
          <w:rStyle w:val="11"/>
          <w:b/>
          <w:bCs/>
          <w:lang/>
        </w:rPr>
        <w:t xml:space="preserve">13.1 </w:t>
      </w:r>
      <w:r>
        <w:rPr>
          <w:rStyle w:val="11"/>
          <w:rFonts w:hint="eastAsia"/>
          <w:b/>
          <w:bCs/>
          <w:lang/>
        </w:rPr>
        <w:t>备查文件目录</w:t>
      </w:r>
      <w:r>
        <w:rPr>
          <w:rStyle w:val="11"/>
          <w:lang/>
        </w:rPr>
        <w:t>.</w:t>
      </w:r>
      <w:r>
        <w:rPr>
          <w:lang/>
        </w:rPr>
        <w:tab/>
      </w:r>
      <w:r>
        <w:rPr>
          <w:lang/>
        </w:rPr>
        <w:fldChar w:fldCharType="begin"/>
      </w:r>
      <w:r>
        <w:rPr>
          <w:lang/>
        </w:rPr>
        <w:instrText xml:space="preserve"> PAGEREF _Toc510101031 \h </w:instrText>
      </w:r>
      <w:r>
        <w:rPr>
          <w:lang/>
        </w:rPr>
        <w:fldChar w:fldCharType="separate"/>
      </w:r>
      <w:r>
        <w:rPr>
          <w:lang/>
        </w:rPr>
        <w:t>136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"_Toc510101032"</w:instrText>
      </w:r>
      <w:r>
        <w:rPr>
          <w:rStyle w:val="11"/>
          <w:lang/>
        </w:rPr>
        <w:instrText xml:space="preserve"> </w:instrText>
      </w:r>
      <w:r>
        <w:rPr>
          <w:rStyle w:val="11"/>
          <w:lang/>
        </w:rPr>
        <w:fldChar w:fldCharType="separate"/>
      </w:r>
      <w:r>
        <w:rPr>
          <w:rStyle w:val="11"/>
          <w:b/>
          <w:bCs/>
          <w:lang/>
        </w:rPr>
        <w:t xml:space="preserve">13.2 </w:t>
      </w:r>
      <w:r>
        <w:rPr>
          <w:rStyle w:val="11"/>
          <w:rFonts w:hint="eastAsia"/>
          <w:b/>
          <w:bCs/>
          <w:lang/>
        </w:rPr>
        <w:t>存放地点</w:t>
      </w:r>
      <w:r>
        <w:rPr>
          <w:lang/>
        </w:rPr>
        <w:tab/>
      </w:r>
      <w:r>
        <w:rPr>
          <w:lang/>
        </w:rPr>
        <w:fldChar w:fldCharType="begin"/>
      </w:r>
      <w:r>
        <w:rPr>
          <w:lang/>
        </w:rPr>
        <w:instrText xml:space="preserve"> PAGEREF _Toc510101032 \h </w:instrText>
      </w:r>
      <w:r>
        <w:rPr>
          <w:lang/>
        </w:rPr>
        <w:fldChar w:fldCharType="separate"/>
      </w:r>
      <w:r>
        <w:rPr>
          <w:lang/>
        </w:rPr>
        <w:t>137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"_Toc510101033"</w:instrText>
      </w:r>
      <w:r>
        <w:rPr>
          <w:rStyle w:val="11"/>
          <w:lang/>
        </w:rPr>
        <w:instrText xml:space="preserve"> </w:instrText>
      </w:r>
      <w:r>
        <w:rPr>
          <w:rStyle w:val="11"/>
          <w:lang/>
        </w:rPr>
        <w:fldChar w:fldCharType="separate"/>
      </w:r>
      <w:r>
        <w:rPr>
          <w:rStyle w:val="11"/>
          <w:b/>
          <w:bCs/>
          <w:lang/>
        </w:rPr>
        <w:t xml:space="preserve">13.3 </w:t>
      </w:r>
      <w:r>
        <w:rPr>
          <w:rStyle w:val="11"/>
          <w:rFonts w:hint="eastAsia"/>
          <w:b/>
          <w:bCs/>
          <w:lang/>
        </w:rPr>
        <w:t>查阅方式</w:t>
      </w:r>
      <w:r>
        <w:rPr>
          <w:lang/>
        </w:rPr>
        <w:tab/>
      </w:r>
      <w:r>
        <w:rPr>
          <w:lang/>
        </w:rPr>
        <w:fldChar w:fldCharType="begin"/>
      </w:r>
      <w:r>
        <w:rPr>
          <w:lang/>
        </w:rPr>
        <w:instrText xml:space="preserve"> PAGEREF _Toc510101033 \h </w:instrText>
      </w:r>
      <w:r>
        <w:rPr>
          <w:lang/>
        </w:rPr>
        <w:fldChar w:fldCharType="separate"/>
      </w:r>
      <w:r>
        <w:rPr>
          <w:lang/>
        </w:rPr>
        <w:t>137</w:t>
      </w:r>
      <w:r>
        <w:rPr>
          <w:lang/>
        </w:rPr>
        <w:fldChar w:fldCharType="end"/>
      </w:r>
      <w:r>
        <w:rPr>
          <w:rStyle w:val="11"/>
          <w:lang/>
        </w:rPr>
        <w:fldChar w:fldCharType="end"/>
      </w:r>
    </w:p>
    <w:p>
      <w:pPr>
        <w:widowControl/>
        <w:jc w:val="left"/>
        <w:rPr>
          <w:rFonts w:hint="eastAsia" w:ascii="宋体" w:hAnsi="宋体" w:cs="宋体"/>
          <w:kern w:val="0"/>
          <w:sz w:val="24"/>
          <w:szCs w:val="24"/>
        </w:rPr>
      </w:pPr>
      <w:r>
        <w:rPr>
          <w:rFonts w:ascii="宋体" w:hAnsi="宋体" w:cs="宋体"/>
          <w:kern w:val="0"/>
          <w:sz w:val="24"/>
          <w:szCs w:val="24"/>
        </w:rPr>
        <w:fldChar w:fldCharType="end"/>
      </w:r>
      <w:r>
        <w:rPr>
          <w:rFonts w:hint="eastAsia" w:ascii="宋体" w:hAnsi="宋体" w:cs="宋体"/>
          <w:kern w:val="0"/>
          <w:sz w:val="24"/>
          <w:szCs w:val="24"/>
        </w:rPr>
        <w:t xml:space="preserve"> </w:t>
      </w:r>
      <w:r>
        <w:rPr>
          <w:rFonts w:ascii="Times New Roman" w:hAnsi="Times New Roman"/>
          <w:sz w:val="24"/>
          <w:szCs w:val="24"/>
        </w:rPr>
        <w:br w:type="page"/>
      </w:r>
    </w:p>
    <w:p>
      <w:pPr>
        <w:pStyle w:val="13"/>
        <w:rPr>
          <w:rFonts w:hint="eastAsia"/>
        </w:rPr>
      </w:pPr>
      <w:bookmarkStart w:id="3" w:name="_Toc510100966"/>
      <w:r>
        <w:rPr>
          <w:rFonts w:hint="eastAsia" w:hAnsi="Calibri"/>
          <w:b/>
          <w:color w:val="000000"/>
        </w:rPr>
        <w:t>§2  基金简介</w:t>
      </w:r>
      <w:bookmarkEnd w:id="3"/>
    </w:p>
    <w:p>
      <w:pPr>
        <w:widowControl/>
        <w:jc w:val="left"/>
        <w:rPr>
          <w:rFonts w:hint="eastAsia" w:ascii="宋体" w:hAnsi="宋体" w:cs="宋体"/>
          <w:kern w:val="0"/>
          <w:sz w:val="24"/>
          <w:szCs w:val="24"/>
        </w:rPr>
      </w:pPr>
    </w:p>
    <w:p>
      <w:pPr>
        <w:pStyle w:val="14"/>
        <w:rPr>
          <w:rFonts w:hint="eastAsia"/>
        </w:rPr>
      </w:pPr>
      <w:bookmarkStart w:id="4" w:name="_Toc510100967"/>
      <w:r>
        <w:rPr>
          <w:rFonts w:hint="eastAsia"/>
          <w:b/>
          <w:bCs/>
        </w:rPr>
        <w:t>2.1 基金基本情况</w:t>
      </w:r>
      <w:bookmarkEnd w:id="4"/>
    </w:p>
    <w:tbl>
      <w:tblPr>
        <w:tblStyle w:val="7"/>
        <w:tblW w:w="9120" w:type="dxa"/>
        <w:tblInd w:w="108" w:type="dxa"/>
        <w:tblLayout w:type="autofit"/>
        <w:tblCellMar>
          <w:top w:w="0" w:type="dxa"/>
          <w:left w:w="108" w:type="dxa"/>
          <w:bottom w:w="0" w:type="dxa"/>
          <w:right w:w="108" w:type="dxa"/>
        </w:tblCellMar>
      </w:tblPr>
      <w:tblGrid>
        <w:gridCol w:w="4009"/>
        <w:gridCol w:w="2556"/>
        <w:gridCol w:w="2555"/>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创金合信中证1000指数增强型发起式证券投资基金</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基金简称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创金合信中证1000增强</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基金主代码</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003646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基金运作方式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契约型开放式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2016年12月22日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基金托管人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中国农业银行股份有限公司</w:t>
            </w:r>
          </w:p>
        </w:tc>
      </w:tr>
      <w:tr>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报告期末基金份额总额</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220,669,622.69份</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基金合同存续期</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不定期</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创金合信中证1000增强A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创金合信中证1000增强C</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下属分级基金的交易代码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003646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003647</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报告期末下属分级基金的份额总额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210,415,694.76份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10,253,927.93份</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pStyle w:val="14"/>
      </w:pPr>
      <w:bookmarkStart w:id="5" w:name="_Toc510100968"/>
      <w:r>
        <w:rPr>
          <w:rFonts w:hint="eastAsia"/>
          <w:b/>
          <w:bCs/>
        </w:rPr>
        <w:t>2.2 基金产品说明</w:t>
      </w:r>
      <w:bookmarkEnd w:id="5"/>
    </w:p>
    <w:tbl>
      <w:tblPr>
        <w:tblStyle w:val="7"/>
        <w:tblW w:w="9120" w:type="dxa"/>
        <w:tblInd w:w="108" w:type="dxa"/>
        <w:tblLayout w:type="autofit"/>
        <w:tblCellMar>
          <w:top w:w="0" w:type="dxa"/>
          <w:left w:w="108" w:type="dxa"/>
          <w:bottom w:w="0" w:type="dxa"/>
          <w:right w:w="108" w:type="dxa"/>
        </w:tblCellMar>
      </w:tblPr>
      <w:tblGrid>
        <w:gridCol w:w="3282"/>
        <w:gridCol w:w="583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本基金为指数增强型股票基金，采取定量方法进行组合管理，力争在控制本基金净值增长率与业绩比较基准之间的日均跟踪偏离度的绝对值不超过0.5%、年跟踪误差不超过7.5%的基础上，追求获得超越标的指数的回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本基金为指数增强型股票基金，采取定量方法进行组合管理，力争在控制本基金净值增长率与业绩比较基准之间的日均跟踪偏离度的绝对值不超过0.5%、年跟踪误差不超过7.5%的基础上，追求获得超越标的指数的回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中证1000指数收益率×95%＋一年期人民币定期存款利率（税后）×5%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本基金为股票型基金，理论上其预期风险收益水平高于混合型基金、债券型基金和货币市场基金。本基金主要投资于标的指数成份股及其备选成份股，具有与标的指数类似的风险收益特征。</w:t>
            </w:r>
            <w:r>
              <w:rPr>
                <w:rFonts w:hint="eastAsia"/>
              </w:rPr>
              <w:br w:type="textWrapping"/>
            </w:r>
            <w:r>
              <w:rPr>
                <w:rFonts w:hint="eastAsia"/>
              </w:rPr>
              <w:t>  </w:t>
            </w:r>
          </w:p>
        </w:tc>
      </w:tr>
      <w:tr>
        <w:tblPrEx>
          <w:tblCellMar>
            <w:top w:w="0" w:type="dxa"/>
            <w:left w:w="108" w:type="dxa"/>
            <w:bottom w:w="0" w:type="dxa"/>
            <w:right w:w="108" w:type="dxa"/>
          </w:tblCellMar>
        </w:tblPrEx>
        <w:trPr>
          <w:wBefore w:w="0" w:type="auto"/>
        </w:trPr>
        <w:tc>
          <w:tcPr>
            <w:tcW w:w="0" w:type="auto"/>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c>
          <w:tcPr>
            <w:tcW w:w="0" w:type="auto"/>
            <w:tcBorders>
              <w:top w:val="single" w:color="000000" w:sz="2" w:space="0"/>
              <w:left w:val="single" w:color="000000" w:sz="2" w:space="0"/>
              <w:bottom w:val="single" w:color="000000" w:sz="2" w:space="0"/>
              <w:right w:val="single" w:color="000000" w:sz="2" w:space="0"/>
            </w:tcBorders>
            <w:noWrap w:val="0"/>
            <w:vAlign w:val="center"/>
          </w:tcPr>
          <w:p>
            <w:pPr>
              <w:widowControl/>
              <w:wordWrap w:val="0"/>
              <w:jc w:val="left"/>
              <w:rPr>
                <w:kern w:val="0"/>
                <w:sz w:val="20"/>
                <w:szCs w:val="20"/>
              </w:rPr>
            </w:pPr>
          </w:p>
        </w:tc>
      </w:tr>
    </w:tbl>
    <w:p>
      <w:pPr>
        <w:pStyle w:val="14"/>
      </w:pPr>
      <w:bookmarkStart w:id="6" w:name="_Toc510100969"/>
      <w:r>
        <w:rPr>
          <w:rFonts w:hint="eastAsia"/>
          <w:b/>
          <w:bCs/>
        </w:rPr>
        <w:t>2.3 基金管理人和基金托管人</w:t>
      </w:r>
      <w:bookmarkEnd w:id="6"/>
    </w:p>
    <w:tbl>
      <w:tblPr>
        <w:tblStyle w:val="7"/>
        <w:tblW w:w="9120" w:type="dxa"/>
        <w:tblInd w:w="108" w:type="dxa"/>
        <w:tblLayout w:type="autofit"/>
        <w:tblCellMar>
          <w:top w:w="0" w:type="dxa"/>
          <w:left w:w="108" w:type="dxa"/>
          <w:bottom w:w="0" w:type="dxa"/>
          <w:right w:w="108" w:type="dxa"/>
        </w:tblCellMar>
      </w:tblPr>
      <w:tblGrid>
        <w:gridCol w:w="1093"/>
        <w:gridCol w:w="1459"/>
        <w:gridCol w:w="3284"/>
        <w:gridCol w:w="3284"/>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中国农业银行股份有限公司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林葛</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010-66060069</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tgxxpl@abchina.com</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95599</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010-68121816</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深圳市前海深港合作区前湾一路 1号A栋201 室</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北京市东城区建国门内大街69号</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深圳市福田中心区福华一路115号投行大厦15层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北京市西城区复兴门内大街28号凯晨世贸中心东座F9</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100031</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周慕冰</w:t>
            </w:r>
          </w:p>
        </w:tc>
      </w:tr>
    </w:tbl>
    <w:p>
      <w:pPr>
        <w:widowControl/>
        <w:jc w:val="left"/>
        <w:rPr>
          <w:rFonts w:hint="eastAsia" w:ascii="宋体" w:hAnsi="宋体" w:cs="宋体"/>
          <w:kern w:val="0"/>
          <w:sz w:val="24"/>
          <w:szCs w:val="24"/>
        </w:rPr>
      </w:pPr>
    </w:p>
    <w:p>
      <w:pPr>
        <w:pStyle w:val="14"/>
        <w:rPr>
          <w:rFonts w:hint="eastAsia"/>
        </w:rPr>
      </w:pPr>
      <w:bookmarkStart w:id="7" w:name="_Toc510100970"/>
      <w:r>
        <w:rPr>
          <w:rFonts w:hint="eastAsia"/>
          <w:b/>
          <w:bCs/>
        </w:rPr>
        <w:t>2.4 信息披露方式</w:t>
      </w:r>
      <w:bookmarkEnd w:id="7"/>
    </w:p>
    <w:tbl>
      <w:tblPr>
        <w:tblStyle w:val="7"/>
        <w:tblW w:w="9120" w:type="dxa"/>
        <w:tblInd w:w="108" w:type="dxa"/>
        <w:tblLayout w:type="autofit"/>
        <w:tblCellMar>
          <w:top w:w="0" w:type="dxa"/>
          <w:left w:w="108" w:type="dxa"/>
          <w:bottom w:w="0" w:type="dxa"/>
          <w:right w:w="108" w:type="dxa"/>
        </w:tblCellMar>
      </w:tblPr>
      <w:tblGrid>
        <w:gridCol w:w="2552"/>
        <w:gridCol w:w="6568"/>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证券时报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pStyle w:val="14"/>
        <w:rPr>
          <w:rFonts w:hint="eastAsia"/>
        </w:rPr>
      </w:pPr>
      <w:bookmarkStart w:id="8" w:name="_Toc510100971"/>
      <w:r>
        <w:rPr>
          <w:rFonts w:hint="eastAsia"/>
          <w:b/>
          <w:bCs/>
        </w:rPr>
        <w:t>2.5 其他相关资料</w:t>
      </w:r>
      <w:bookmarkEnd w:id="8"/>
    </w:p>
    <w:tbl>
      <w:tblPr>
        <w:tblStyle w:val="7"/>
        <w:tblW w:w="9120" w:type="dxa"/>
        <w:tblInd w:w="108" w:type="dxa"/>
        <w:tblLayout w:type="autofit"/>
        <w:tblCellMar>
          <w:top w:w="0" w:type="dxa"/>
          <w:left w:w="108" w:type="dxa"/>
          <w:bottom w:w="0" w:type="dxa"/>
          <w:right w:w="108" w:type="dxa"/>
        </w:tblCellMar>
      </w:tblPr>
      <w:tblGrid>
        <w:gridCol w:w="1823"/>
        <w:gridCol w:w="3284"/>
        <w:gridCol w:w="4013"/>
      </w:tblGrid>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办公地址</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r>
        <w:tblPrEx>
          <w:tblCellMar>
            <w:top w:w="0" w:type="dxa"/>
            <w:left w:w="108" w:type="dxa"/>
            <w:bottom w:w="0" w:type="dxa"/>
            <w:right w:w="108" w:type="dxa"/>
          </w:tblCellMar>
        </w:tblPrEx>
        <w:trPr>
          <w:wBefore w:w="0" w:type="auto"/>
        </w:trPr>
        <w:tc>
          <w:tcPr>
            <w:tcW w:w="0" w:type="auto"/>
            <w:gridSpan w:val="3"/>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r>
    </w:tbl>
    <w:p>
      <w:pPr>
        <w:pStyle w:val="13"/>
      </w:pPr>
      <w:bookmarkStart w:id="9" w:name="_Toc510100972"/>
      <w:r>
        <w:rPr>
          <w:rFonts w:hint="eastAsia" w:hAnsi="Calibri"/>
          <w:b/>
          <w:color w:val="000000"/>
        </w:rPr>
        <w:t>§3  主要财务指标、基金净值表现及利润分配情况</w:t>
      </w:r>
      <w:bookmarkEnd w:id="9"/>
    </w:p>
    <w:p>
      <w:pPr>
        <w:widowControl/>
        <w:jc w:val="left"/>
        <w:rPr>
          <w:rFonts w:hint="eastAsia" w:ascii="宋体" w:hAnsi="宋体" w:cs="宋体"/>
          <w:kern w:val="0"/>
          <w:sz w:val="24"/>
          <w:szCs w:val="24"/>
        </w:rPr>
      </w:pPr>
    </w:p>
    <w:p>
      <w:pPr>
        <w:pStyle w:val="14"/>
        <w:rPr>
          <w:rFonts w:hint="eastAsia"/>
        </w:rPr>
      </w:pPr>
      <w:bookmarkStart w:id="10" w:name="_Toc510100973"/>
      <w:r>
        <w:rPr>
          <w:rFonts w:hint="eastAsia"/>
          <w:b/>
          <w:bCs/>
        </w:rPr>
        <w:t>3.1 主要会计数据和财务指标</w:t>
      </w:r>
      <w:bookmarkEnd w:id="10"/>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1831"/>
        <w:gridCol w:w="1645"/>
        <w:gridCol w:w="1645"/>
        <w:gridCol w:w="1740"/>
        <w:gridCol w:w="1740"/>
        <w:gridCol w:w="222"/>
        <w:gridCol w:w="222"/>
      </w:tblGrid>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Style w:val="9"/>
                <w:rFonts w:hint="eastAsia" w:hAnsi="Calibri"/>
                <w:color w:val="000000"/>
              </w:rPr>
              <w:t>3.1.1 期间数据和指标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2017年 </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2016年12月22日（基金合同生效日）-2016年12月31日</w:t>
            </w:r>
          </w:p>
        </w:tc>
        <w:tc>
          <w:tcPr>
            <w:tcW w:w="6" w:type="dxa"/>
            <w:gridSpan w:val="2"/>
            <w:tcBorders>
              <w:top w:val="nil"/>
              <w:left w:val="nil"/>
              <w:bottom w:val="nil"/>
              <w:right w:val="nil"/>
            </w:tcBorders>
            <w:noWrap w:val="0"/>
            <w:tcMar>
              <w:top w:w="0" w:type="dxa"/>
              <w:left w:w="0" w:type="dxa"/>
              <w:bottom w:w="0" w:type="dxa"/>
              <w:right w:w="0" w:type="dxa"/>
            </w:tcMar>
            <w:vAlign w:val="center"/>
          </w:tcPr>
          <w:p>
            <w:pPr>
              <w:pStyle w:val="18"/>
              <w:wordWrap w:val="0"/>
              <w:rPr>
                <w:rFonts w:hint="eastAsia"/>
                <w:vanish/>
              </w:rPr>
            </w:pPr>
            <w:r>
              <w:rPr>
                <w:rFonts w:hint="eastAsia"/>
                <w:vanish/>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创金合信中证1000增强A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创金合信中证1000增强C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创金合信中证1000增强A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创金合信中证1000增强C</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-4,982,142.06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-213,418.70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-2,327.16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-2,613.13</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-6,204,641.10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-188,997.31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-56,916.20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-58,007.51</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-0.0114</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-1.15%</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-1.14%</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3.1.2 期末数据和指标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2016年末</w:t>
            </w:r>
          </w:p>
        </w:tc>
        <w:tc>
          <w:tcPr>
            <w:tcW w:w="6" w:type="dxa"/>
            <w:gridSpan w:val="2"/>
            <w:tcBorders>
              <w:top w:val="nil"/>
              <w:left w:val="nil"/>
              <w:bottom w:val="nil"/>
              <w:right w:val="nil"/>
            </w:tcBorders>
            <w:noWrap w:val="0"/>
            <w:tcMar>
              <w:top w:w="0" w:type="dxa"/>
              <w:left w:w="0" w:type="dxa"/>
              <w:bottom w:w="0" w:type="dxa"/>
              <w:right w:w="0" w:type="dxa"/>
            </w:tcMar>
            <w:vAlign w:val="center"/>
          </w:tcPr>
          <w:p>
            <w:pPr>
              <w:pStyle w:val="18"/>
              <w:wordWrap w:val="0"/>
              <w:rPr>
                <w:rFonts w:hint="eastAsia"/>
                <w:vanish/>
              </w:rPr>
            </w:pPr>
            <w:r>
              <w:rPr>
                <w:rFonts w:hint="eastAsia"/>
                <w:vanish/>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-5,662,246.40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-279,083.96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-56,903.46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-58,104.09</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-0.0114</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205,305,541.73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10,001,754.96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4,965,656.23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5,048,168.18</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0.9757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0.9754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0.9887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0.9886</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3.1.3 累计期末指标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2016年末</w:t>
            </w:r>
          </w:p>
        </w:tc>
        <w:tc>
          <w:tcPr>
            <w:tcW w:w="6" w:type="dxa"/>
            <w:gridSpan w:val="2"/>
            <w:tcBorders>
              <w:top w:val="nil"/>
              <w:left w:val="nil"/>
              <w:bottom w:val="nil"/>
              <w:right w:val="nil"/>
            </w:tcBorders>
            <w:noWrap w:val="0"/>
            <w:tcMar>
              <w:top w:w="0" w:type="dxa"/>
              <w:left w:w="0" w:type="dxa"/>
              <w:bottom w:w="0" w:type="dxa"/>
              <w:right w:w="0" w:type="dxa"/>
            </w:tcMar>
            <w:vAlign w:val="center"/>
          </w:tcPr>
          <w:p>
            <w:pPr>
              <w:pStyle w:val="18"/>
              <w:wordWrap w:val="0"/>
              <w:rPr>
                <w:rFonts w:hint="eastAsia"/>
                <w:vanish/>
              </w:rPr>
            </w:pPr>
            <w:r>
              <w:rPr>
                <w:rFonts w:hint="eastAsia"/>
                <w:vanish/>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-1.14%</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pStyle w:val="20"/>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r>
        <w:rPr>
          <w:rFonts w:hint="eastAsia"/>
        </w:rPr>
        <w:br w:type="textWrapping"/>
      </w:r>
      <w:r>
        <w:rPr>
          <w:rFonts w:hint="eastAsia"/>
        </w:rPr>
        <w:t>4.本基金合同生效日为2016年12月22日，上年度可比期间的相关数据和指标按实际存续期计算。</w:t>
      </w:r>
    </w:p>
    <w:p>
      <w:pPr>
        <w:pStyle w:val="14"/>
        <w:rPr>
          <w:rFonts w:hint="eastAsia"/>
        </w:rPr>
      </w:pPr>
      <w:bookmarkStart w:id="11" w:name="_Toc510100974"/>
      <w:r>
        <w:rPr>
          <w:rFonts w:hint="eastAsia"/>
          <w:b/>
          <w:bCs/>
        </w:rPr>
        <w:t>3.2 基金净值表现</w:t>
      </w:r>
      <w:bookmarkEnd w:id="11"/>
    </w:p>
    <w:p>
      <w:pPr>
        <w:pStyle w:val="15"/>
        <w:rPr>
          <w:rFonts w:hint="eastAsia"/>
        </w:rPr>
      </w:pPr>
      <w:r>
        <w:rPr>
          <w:rFonts w:hint="eastAsia"/>
          <w:b/>
          <w:bCs/>
        </w:rPr>
        <w:t>3.2.1 基金份额净值增长率及其与同期业绩比较基准收益率的比较</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7"/>
      </w:pPr>
      <w:r>
        <w:rPr>
          <w:rFonts w:hint="eastAsia" w:hAnsi="Calibri"/>
          <w:color w:val="000000"/>
        </w:rPr>
        <w:t>创金合信中证1000增强A</w:t>
      </w:r>
    </w:p>
    <w:tbl>
      <w:tblPr>
        <w:tblStyle w:val="7"/>
        <w:tblW w:w="0" w:type="auto"/>
        <w:jc w:val="center"/>
        <w:tblLayout w:type="autofit"/>
        <w:tblCellMar>
          <w:top w:w="0" w:type="dxa"/>
          <w:left w:w="108" w:type="dxa"/>
          <w:bottom w:w="0" w:type="dxa"/>
          <w:right w:w="108" w:type="dxa"/>
        </w:tblCellMar>
      </w:tblPr>
      <w:tblGrid>
        <w:gridCol w:w="1477"/>
        <w:gridCol w:w="951"/>
        <w:gridCol w:w="950"/>
        <w:gridCol w:w="1299"/>
        <w:gridCol w:w="1543"/>
        <w:gridCol w:w="1543"/>
        <w:gridCol w:w="1543"/>
      </w:tblGrid>
      <w:tr>
        <w:tblPrEx>
          <w:tblCellMar>
            <w:top w:w="0" w:type="dxa"/>
            <w:left w:w="108" w:type="dxa"/>
            <w:bottom w:w="0" w:type="dxa"/>
            <w:right w:w="108" w:type="dxa"/>
          </w:tblCellMar>
        </w:tblPrEx>
        <w:trPr>
          <w:wBefore w:w="0" w:type="auto"/>
          <w:jc w:val="center"/>
        </w:trPr>
        <w:tc>
          <w:tcPr>
            <w:tcW w:w="200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-0.11%</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-0.06%</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-0.06%</w:t>
            </w:r>
          </w:p>
        </w:tc>
      </w:tr>
    </w:tbl>
    <w:p>
      <w:pPr>
        <w:pStyle w:val="17"/>
        <w:rPr>
          <w:rFonts w:hint="eastAsia"/>
        </w:rPr>
      </w:pPr>
      <w:r>
        <w:rPr>
          <w:rFonts w:hint="eastAsia" w:hAnsi="Calibri"/>
          <w:color w:val="000000"/>
        </w:rPr>
        <w:t>创金合信中证1000增强C</w:t>
      </w:r>
    </w:p>
    <w:tbl>
      <w:tblPr>
        <w:tblStyle w:val="7"/>
        <w:tblW w:w="0" w:type="auto"/>
        <w:jc w:val="center"/>
        <w:tblLayout w:type="autofit"/>
        <w:tblCellMar>
          <w:top w:w="0" w:type="dxa"/>
          <w:left w:w="108" w:type="dxa"/>
          <w:bottom w:w="0" w:type="dxa"/>
          <w:right w:w="108" w:type="dxa"/>
        </w:tblCellMar>
      </w:tblPr>
      <w:tblGrid>
        <w:gridCol w:w="1477"/>
        <w:gridCol w:w="951"/>
        <w:gridCol w:w="950"/>
        <w:gridCol w:w="1299"/>
        <w:gridCol w:w="1543"/>
        <w:gridCol w:w="1543"/>
        <w:gridCol w:w="1543"/>
      </w:tblGrid>
      <w:tr>
        <w:tblPrEx>
          <w:tblCellMar>
            <w:top w:w="0" w:type="dxa"/>
            <w:left w:w="108" w:type="dxa"/>
            <w:bottom w:w="0" w:type="dxa"/>
            <w:right w:w="108" w:type="dxa"/>
          </w:tblCellMar>
        </w:tblPrEx>
        <w:trPr>
          <w:wBefore w:w="0" w:type="auto"/>
          <w:jc w:val="center"/>
        </w:trPr>
        <w:tc>
          <w:tcPr>
            <w:tcW w:w="200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-0.11%</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-0.06%</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-0.06%</w:t>
            </w:r>
          </w:p>
        </w:tc>
      </w:tr>
    </w:tbl>
    <w:p>
      <w:pPr>
        <w:pStyle w:val="15"/>
        <w:rPr>
          <w:rFonts w:hint="eastAsia"/>
        </w:rPr>
      </w:pPr>
      <w:r>
        <w:rPr>
          <w:rFonts w:hint="eastAsia"/>
          <w:b/>
          <w:bCs/>
        </w:rPr>
        <w:t>3.2.2 自基金合同生效以来基金份额累计净值增长率变动及其与同期业绩比较基准收益率变动的比较</w:t>
      </w:r>
    </w:p>
    <w:p>
      <w:pPr>
        <w:pStyle w:val="17"/>
        <w:rPr>
          <w:rFonts w:hint="eastAsia"/>
        </w:rPr>
      </w:pPr>
      <w:r>
        <w:rPr>
          <w:rFonts w:hAnsi="Calibri"/>
          <w:color w:val="000000"/>
          <w:lang/>
        </w:rPr>
        <w:pict>
          <v:shape id="_x0000_i1025" o:spt="75" alt="D:\恒生系统安装\B13\Bin\MOD\TMP\CN_50990000_003646_FB010010_20180002_2.jpg" type="#_x0000_t75" style="height:286.2pt;width:441pt;" filled="f" stroked="f" coordsize="21600,21600">
            <v:path/>
            <v:fill on="f" focussize="0,0"/>
            <v:stroke on="f"/>
            <v:imagedata r:id="rId10" grayscale="f" bilevel="f" o:title="CN_50990000_003646_FB010010_20180002_2"/>
            <o:lock v:ext="edit" grouping="f" rotation="f" aspectratio="t"/>
            <w10:wrap type="none"/>
            <w10:anchorlock/>
          </v:shape>
        </w:pict>
      </w:r>
    </w:p>
    <w:p>
      <w:pPr>
        <w:pStyle w:val="17"/>
        <w:rPr>
          <w:rFonts w:hint="eastAsia"/>
        </w:rPr>
      </w:pPr>
      <w:r>
        <w:rPr>
          <w:rFonts w:hAnsi="Calibri"/>
          <w:color w:val="000000"/>
          <w:lang/>
        </w:rPr>
        <w:pict>
          <v:shape id="_x0000_i1026" o:spt="75" alt="D:\恒生系统安装\B13\Bin\MOD\TMP\CN_50990000_003646_FB010010_20180002_3.jpg" type="#_x0000_t75" style="height:286.2pt;width:441pt;" filled="f" stroked="f" coordsize="21600,21600">
            <v:path/>
            <v:fill on="f" focussize="0,0"/>
            <v:stroke on="f"/>
            <v:imagedata r:id="rId11" grayscale="f" bilevel="f" o:title="CN_50990000_003646_FB010010_20180002_3"/>
            <o:lock v:ext="edit" grouping="f" rotation="f" aspectratio="t"/>
            <w10:wrap type="none"/>
            <w10:anchorlock/>
          </v:shape>
        </w:pict>
      </w:r>
    </w:p>
    <w:p>
      <w:pPr>
        <w:pStyle w:val="15"/>
        <w:rPr>
          <w:rFonts w:hint="eastAsia"/>
        </w:rPr>
      </w:pPr>
      <w:r>
        <w:rPr>
          <w:rFonts w:hint="eastAsia"/>
          <w:b/>
          <w:bCs/>
        </w:rPr>
        <w:t>3.2.3 自基金合同生效以来基金每年净值增长率及其与同期业绩比较基准收益率的比较</w:t>
      </w:r>
    </w:p>
    <w:p>
      <w:pPr>
        <w:pStyle w:val="17"/>
        <w:rPr>
          <w:rFonts w:hint="eastAsia"/>
        </w:rPr>
      </w:pPr>
      <w:r>
        <w:rPr>
          <w:rFonts w:hAnsi="Calibri"/>
          <w:color w:val="000000"/>
          <w:lang/>
        </w:rPr>
        <w:pict>
          <v:shape id="_x0000_i1027" o:spt="75" alt="D:\恒生系统安装\B13\Bin\MOD\TMP\CN_50990000_003646_FB010010_20180002_4.jpg" type="#_x0000_t75" style="height:285.95pt;width:440.6pt;" filled="f" stroked="f" coordsize="21600,21600">
            <v:path/>
            <v:fill on="f" focussize="0,0"/>
            <v:stroke on="f"/>
            <v:imagedata r:id="rId12" grayscale="f" bilevel="f" o:title="CN_50990000_003646_FB010010_20180002_4"/>
            <o:lock v:ext="edit" grouping="f" rotation="f" aspectratio="t"/>
            <w10:wrap type="none"/>
            <w10:anchorlock/>
          </v:shape>
        </w:pict>
      </w:r>
    </w:p>
    <w:p>
      <w:pPr>
        <w:pStyle w:val="17"/>
        <w:rPr>
          <w:rFonts w:hint="eastAsia"/>
        </w:rPr>
      </w:pPr>
      <w:r>
        <w:rPr>
          <w:rFonts w:hAnsi="Calibri"/>
          <w:color w:val="000000"/>
          <w:lang/>
        </w:rPr>
        <w:pict>
          <v:shape id="_x0000_i1028" o:spt="75" alt="D:\恒生系统安装\B13\Bin\MOD\TMP\CN_50990000_003646_FB010010_20180002_5.jpg" type="#_x0000_t75" style="height:285.95pt;width:440.6pt;" filled="f" stroked="f" coordsize="21600,21600">
            <v:path/>
            <v:fill on="f" focussize="0,0"/>
            <v:stroke on="f"/>
            <v:imagedata r:id="rId13" grayscale="f" bilevel="f" o:title="CN_50990000_003646_FB010010_20180002_5"/>
            <o:lock v:ext="edit" grouping="f" rotation="f" aspectratio="t"/>
            <w10:wrap type="none"/>
            <w10:anchorlock/>
          </v:shape>
        </w:pict>
      </w:r>
    </w:p>
    <w:p>
      <w:pPr>
        <w:pStyle w:val="14"/>
        <w:rPr>
          <w:rFonts w:hint="eastAsia"/>
        </w:rPr>
      </w:pPr>
      <w:bookmarkStart w:id="12" w:name="_Toc510100975"/>
      <w:r>
        <w:rPr>
          <w:rFonts w:hint="eastAsia" w:hAnsi="Calibri"/>
          <w:b/>
          <w:color w:val="000000"/>
        </w:rPr>
        <w:t>3.3 过去三年基金的利润分配情况</w:t>
      </w:r>
      <w:bookmarkEnd w:id="12"/>
    </w:p>
    <w:p>
      <w:pPr>
        <w:pStyle w:val="20"/>
        <w:rPr>
          <w:rFonts w:hint="eastAsia"/>
        </w:rPr>
      </w:pPr>
      <w:r>
        <w:rPr>
          <w:rFonts w:hint="eastAsia"/>
        </w:rPr>
        <w:t>本基金自基金合同生效日（2016年12月22日）至本报告期末未发生利润分配。</w:t>
      </w:r>
    </w:p>
    <w:p>
      <w:pPr>
        <w:pStyle w:val="13"/>
        <w:rPr>
          <w:rFonts w:hint="eastAsia"/>
        </w:rPr>
      </w:pPr>
      <w:bookmarkStart w:id="13" w:name="_Toc510100976"/>
      <w:r>
        <w:rPr>
          <w:rFonts w:hint="eastAsia" w:hAnsi="Calibri"/>
          <w:b/>
          <w:color w:val="000000"/>
        </w:rPr>
        <w:t>§4  管理人报告</w:t>
      </w:r>
      <w:bookmarkEnd w:id="13"/>
    </w:p>
    <w:p>
      <w:pPr>
        <w:widowControl/>
        <w:jc w:val="left"/>
        <w:rPr>
          <w:rFonts w:hint="eastAsia" w:ascii="宋体" w:hAnsi="宋体" w:cs="宋体"/>
          <w:kern w:val="0"/>
          <w:sz w:val="24"/>
          <w:szCs w:val="24"/>
        </w:rPr>
      </w:pPr>
    </w:p>
    <w:p>
      <w:pPr>
        <w:pStyle w:val="14"/>
        <w:rPr>
          <w:rFonts w:hint="eastAsia"/>
        </w:rPr>
      </w:pPr>
      <w:bookmarkStart w:id="14" w:name="_Toc510100977"/>
      <w:r>
        <w:rPr>
          <w:rFonts w:hint="eastAsia"/>
          <w:b/>
          <w:bCs/>
        </w:rPr>
        <w:t>4.1 基金管理人及基金经理情况</w:t>
      </w:r>
      <w:bookmarkEnd w:id="14"/>
    </w:p>
    <w:p>
      <w:pPr>
        <w:pStyle w:val="15"/>
        <w:rPr>
          <w:rFonts w:hint="eastAsia"/>
        </w:rPr>
      </w:pPr>
      <w:r>
        <w:rPr>
          <w:rFonts w:hint="eastAsia"/>
          <w:b/>
          <w:bCs/>
        </w:rPr>
        <w:t>4.1.1 基金管理人及其管理基金的经验</w:t>
      </w:r>
    </w:p>
    <w:p>
      <w:pPr>
        <w:pStyle w:val="20"/>
        <w:rPr>
          <w:rFonts w:hint="eastAsia"/>
        </w:rPr>
      </w:pPr>
      <w:r>
        <w:rPr>
          <w:rFonts w:hint="eastAsia"/>
        </w:rPr>
        <w:t>  创金合信基金管理有限公司于2014年7月3日获得中国证监会批复，2014年7月9日正式注册设立，注册地为深圳市。公司由第一创业证券股份有限公司、深圳市金合信投资合伙企业（有限合伙）共同出资设立。公司注册资本1.7亿元人民币，股东出资情况为：第一创业证券股份有限公司出资11,900万元，占公司注册资本的70%；深圳市金合信投资合伙企业（有限合伙）出资5,100万元，占公司注册资本的30%。</w:t>
      </w:r>
      <w:r>
        <w:rPr>
          <w:rFonts w:hint="eastAsia"/>
        </w:rPr>
        <w:br w:type="textWrapping"/>
      </w:r>
      <w:r>
        <w:rPr>
          <w:rFonts w:hint="eastAsia"/>
        </w:rPr>
        <w:t>  公司始终坚持"客户利益至上"，致力于为客户实现长期稳定的投资回报，做客户投资理财的亲密伙伴。</w:t>
      </w:r>
      <w:r>
        <w:rPr>
          <w:rFonts w:hint="eastAsia"/>
        </w:rPr>
        <w:br w:type="textWrapping"/>
      </w:r>
      <w:r>
        <w:rPr>
          <w:rFonts w:hint="eastAsia"/>
        </w:rPr>
        <w:t>  报告期内，本公司共发行8只公募基金。截至2017年12月31日，本公司共管理29只公募基金，其中混合型产品11只、指数型产品4只、债券型产品8只、股票型产品4只、货币型产品1只、保本型产品1只；管理的公募基金规模约149.41亿元。</w:t>
      </w:r>
    </w:p>
    <w:p>
      <w:pPr>
        <w:pStyle w:val="15"/>
        <w:rPr>
          <w:rFonts w:hint="eastAsia"/>
        </w:rPr>
      </w:pPr>
      <w:r>
        <w:rPr>
          <w:rFonts w:hint="eastAsia"/>
          <w:b/>
          <w:bCs/>
        </w:rPr>
        <w:t>4.1.2 基金经理（或基金经理小组）及基金经理助理简介</w:t>
      </w:r>
    </w:p>
    <w:tbl>
      <w:tblPr>
        <w:tblStyle w:val="7"/>
        <w:tblW w:w="0" w:type="auto"/>
        <w:tblInd w:w="108" w:type="dxa"/>
        <w:tblLayout w:type="autofit"/>
        <w:tblCellMar>
          <w:top w:w="0" w:type="dxa"/>
          <w:left w:w="108" w:type="dxa"/>
          <w:bottom w:w="0" w:type="dxa"/>
          <w:right w:w="108" w:type="dxa"/>
        </w:tblCellMar>
      </w:tblPr>
      <w:tblGrid>
        <w:gridCol w:w="1103"/>
        <w:gridCol w:w="1196"/>
        <w:gridCol w:w="1196"/>
        <w:gridCol w:w="1196"/>
        <w:gridCol w:w="1104"/>
        <w:gridCol w:w="3403"/>
      </w:tblGrid>
      <w:tr>
        <w:tblPrEx>
          <w:tblCellMar>
            <w:top w:w="0" w:type="dxa"/>
            <w:left w:w="108" w:type="dxa"/>
            <w:bottom w:w="0" w:type="dxa"/>
            <w:right w:w="108" w:type="dxa"/>
          </w:tblCellMar>
        </w:tblPrEx>
        <w:trPr>
          <w:wBefore w:w="0" w:type="auto"/>
        </w:trPr>
        <w:tc>
          <w:tcPr>
            <w:tcW w:w="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姓名</w:t>
            </w:r>
          </w:p>
        </w:tc>
        <w:tc>
          <w:tcPr>
            <w:tcW w:w="6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职务</w:t>
            </w:r>
          </w:p>
        </w:tc>
        <w:tc>
          <w:tcPr>
            <w:tcW w:w="13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任本基金的基金经理（助理）期限</w:t>
            </w:r>
          </w:p>
        </w:tc>
        <w:tc>
          <w:tcPr>
            <w:tcW w:w="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证券从业年限</w:t>
            </w:r>
          </w:p>
        </w:tc>
        <w:tc>
          <w:tcPr>
            <w:tcW w:w="241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说明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6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任职日期</w:t>
            </w:r>
          </w:p>
        </w:tc>
        <w:tc>
          <w:tcPr>
            <w:tcW w:w="6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离任日期</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庞世恩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2016-12-22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庞世恩先生，中国国籍，中国人民大学理学硕士。2011年7月加入泰康资产管理有限责任公司，历任金融工程助理研究员、金融工程研究经理、金融工程研究高级经理、金融工程研究总监、执行投资经理。2015年9月加入创金合信基金管理有限公司，现任基金经理。</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程志田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本基金经理、量化投资部总监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2016-12-22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程志田先生，中国国籍，金融学硕士，2006年7月加入长江证券股份有限公司任高级研究经理。2009年7月加入国海证券股份有限公司任金融工程总监。2011年7月加入摩根士丹利华鑫基金管理有限公司，于2011年11月15日至2013年4月15日担任大摩深证300基金的基金经理。2013年9月加入泰康资产管理有限责任公司任量化投资总监。2015年5月加入创金合信基金管理有限公司，现任量化投资部总监、基金经理。</w:t>
            </w:r>
          </w:p>
        </w:tc>
      </w:tr>
    </w:tbl>
    <w:p>
      <w:pPr>
        <w:pStyle w:val="20"/>
        <w:rPr>
          <w:rFonts w:hint="eastAsia"/>
        </w:rPr>
      </w:pPr>
      <w:r>
        <w:rPr>
          <w:rFonts w:hint="eastAsia"/>
        </w:rPr>
        <w:t>注：1、本基金首任基金经理的任职日期为本基金合同生效日，离任日期、后任基金经理的任职日期指公司作出决定的日期；</w:t>
      </w:r>
      <w:r>
        <w:rPr>
          <w:rFonts w:hint="eastAsia"/>
        </w:rPr>
        <w:br w:type="textWrapping"/>
      </w:r>
      <w:r>
        <w:rPr>
          <w:rFonts w:hint="eastAsia"/>
        </w:rPr>
        <w:t>2、证券从业年限的含义遵从行业协会《证券业从业人员资格管理办法》的相关规定。</w:t>
      </w:r>
    </w:p>
    <w:p>
      <w:pPr>
        <w:pStyle w:val="14"/>
        <w:rPr>
          <w:rFonts w:hint="eastAsia"/>
        </w:rPr>
      </w:pPr>
      <w:bookmarkStart w:id="15" w:name="_Toc510100978"/>
      <w:r>
        <w:rPr>
          <w:rFonts w:hint="eastAsia"/>
          <w:b/>
          <w:bCs/>
        </w:rPr>
        <w:t>4.2 管理人对报告期内本基金运作遵规守信情况的说明</w:t>
      </w:r>
      <w:bookmarkEnd w:id="15"/>
    </w:p>
    <w:p>
      <w:pPr>
        <w:pStyle w:val="20"/>
        <w:rPr>
          <w:rFonts w:hint="eastAsia"/>
        </w:rPr>
      </w:pPr>
      <w:r>
        <w:rPr>
          <w:rFonts w:hint="eastAsia"/>
        </w:rPr>
        <w:t>  本报告期内，本基金管理人严格遵守《中华人民共和国证券投资基金法》《公开募集证券投资基金运作管理办法》《证券投资基金销售管理办法》和《证券投资基金信息披露管理办法》等有关法律法规及各项实施准则、本基金基金合同和其他有关法律法规的规定，本着诚实信用、勤勉尽责的原则管理和运用基金资产，在严格控制风险的基础上，为基金持有人谋求最大利益。本报告期内，基金运作整体合法合规，未发现损害基金持有人利益的行为。本基金的投资范围、投资比例及投资组合符合有关法律法规及基金合同的规定。</w:t>
      </w:r>
      <w:r>
        <w:rPr>
          <w:rFonts w:hint="eastAsia"/>
        </w:rPr>
        <w:br w:type="textWrapping"/>
      </w:r>
      <w:r>
        <w:rPr>
          <w:rFonts w:hint="eastAsia"/>
        </w:rPr>
        <w:t>  </w:t>
      </w:r>
    </w:p>
    <w:p>
      <w:pPr>
        <w:widowControl/>
        <w:jc w:val="left"/>
        <w:rPr>
          <w:rFonts w:hint="eastAsia" w:ascii="宋体" w:hAnsi="宋体" w:cs="宋体"/>
          <w:kern w:val="0"/>
          <w:sz w:val="24"/>
          <w:szCs w:val="24"/>
        </w:rPr>
      </w:pPr>
    </w:p>
    <w:p>
      <w:pPr>
        <w:pStyle w:val="14"/>
        <w:rPr>
          <w:rFonts w:hint="eastAsia"/>
        </w:rPr>
      </w:pPr>
      <w:bookmarkStart w:id="16" w:name="_Toc510100979"/>
      <w:r>
        <w:rPr>
          <w:rFonts w:hint="eastAsia"/>
          <w:b/>
          <w:bCs/>
        </w:rPr>
        <w:t>4.3 管理人对报告期内公平交易情况的专项说明</w:t>
      </w:r>
      <w:bookmarkEnd w:id="16"/>
    </w:p>
    <w:p>
      <w:pPr>
        <w:pStyle w:val="15"/>
        <w:rPr>
          <w:rFonts w:hint="eastAsia"/>
        </w:rPr>
      </w:pPr>
      <w:r>
        <w:rPr>
          <w:rFonts w:hint="eastAsia"/>
          <w:b/>
          <w:bCs/>
        </w:rPr>
        <w:t>4.3.1 公平交易制度和控制方法</w:t>
      </w:r>
    </w:p>
    <w:p>
      <w:pPr>
        <w:pStyle w:val="20"/>
        <w:rPr>
          <w:rFonts w:hint="eastAsia"/>
        </w:rPr>
      </w:pPr>
      <w:r>
        <w:rPr>
          <w:rFonts w:hint="eastAsia"/>
        </w:rPr>
        <w:t>  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2011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r>
        <w:rPr>
          <w:rFonts w:hint="eastAsia"/>
        </w:rPr>
        <w:br w:type="textWrapping"/>
      </w:r>
      <w:r>
        <w:rPr>
          <w:rFonts w:hint="eastAsia"/>
        </w:rPr>
        <w:t>  1、授权、研究分析与投资决策的内部控制</w:t>
      </w:r>
      <w:r>
        <w:rPr>
          <w:rFonts w:hint="eastAsia"/>
        </w:rPr>
        <w:br w:type="textWrapping"/>
      </w:r>
      <w:r>
        <w:rPr>
          <w:rFonts w:hint="eastAsia"/>
        </w:rPr>
        <w:t>  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r>
        <w:rPr>
          <w:rFonts w:hint="eastAsia"/>
        </w:rPr>
        <w:br w:type="textWrapping"/>
      </w:r>
      <w:r>
        <w:rPr>
          <w:rFonts w:hint="eastAsia"/>
        </w:rPr>
        <w:t>  2、交易执行的内部控制</w:t>
      </w:r>
      <w:r>
        <w:rPr>
          <w:rFonts w:hint="eastAsia"/>
        </w:rPr>
        <w:br w:type="textWrapping"/>
      </w:r>
      <w:r>
        <w:rPr>
          <w:rFonts w:hint="eastAsia"/>
        </w:rPr>
        <w:t>  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r>
        <w:rPr>
          <w:rFonts w:hint="eastAsia"/>
        </w:rPr>
        <w:br w:type="textWrapping"/>
      </w:r>
      <w:r>
        <w:rPr>
          <w:rFonts w:hint="eastAsia"/>
        </w:rPr>
        <w:t>  3、交易指令分配的控制</w:t>
      </w:r>
      <w:r>
        <w:rPr>
          <w:rFonts w:hint="eastAsia"/>
        </w:rPr>
        <w:br w:type="textWrapping"/>
      </w:r>
      <w:r>
        <w:rPr>
          <w:rFonts w:hint="eastAsia"/>
        </w:rPr>
        <w:t>  所有投资对象的投资指令必须经由交易室总监或其授权人审核后分配至交易员执行。</w:t>
      </w:r>
      <w:r>
        <w:rPr>
          <w:rFonts w:hint="eastAsia"/>
        </w:rPr>
        <w:br w:type="textWrapping"/>
      </w:r>
      <w:r>
        <w:rPr>
          <w:rFonts w:hint="eastAsia"/>
        </w:rPr>
        <w:t>  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r>
        <w:rPr>
          <w:rFonts w:hint="eastAsia"/>
        </w:rPr>
        <w:br w:type="textWrapping"/>
      </w:r>
      <w:r>
        <w:rPr>
          <w:rFonts w:hint="eastAsia"/>
        </w:rPr>
        <w:t>  4、公平交易监控</w:t>
      </w:r>
      <w:r>
        <w:rPr>
          <w:rFonts w:hint="eastAsia"/>
        </w:rPr>
        <w:br w:type="textWrapping"/>
      </w:r>
      <w:r>
        <w:rPr>
          <w:rFonts w:hint="eastAsia"/>
        </w:rPr>
        <w:t>  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1日内、3日、5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widowControl/>
        <w:jc w:val="left"/>
        <w:rPr>
          <w:rFonts w:hint="eastAsia" w:ascii="宋体" w:hAnsi="宋体" w:cs="宋体"/>
          <w:kern w:val="0"/>
          <w:sz w:val="24"/>
          <w:szCs w:val="24"/>
        </w:rPr>
      </w:pPr>
    </w:p>
    <w:p>
      <w:pPr>
        <w:pStyle w:val="15"/>
        <w:rPr>
          <w:rFonts w:hint="eastAsia"/>
        </w:rPr>
      </w:pPr>
      <w:r>
        <w:rPr>
          <w:rFonts w:hint="eastAsia"/>
          <w:b/>
          <w:bCs/>
        </w:rPr>
        <w:t>4.3.2 公平交易制度的执行情况</w:t>
      </w:r>
    </w:p>
    <w:p>
      <w:pPr>
        <w:pStyle w:val="20"/>
        <w:rPr>
          <w:rFonts w:hint="eastAsia"/>
        </w:rPr>
      </w:pPr>
      <w:r>
        <w:rPr>
          <w:rFonts w:hint="eastAsia"/>
        </w:rPr>
        <w:t>  本基金管理人严格执行《证券投资基金管理公司公平交易制度指导意见（2011年修订）》，通过建立有纪律、规范化的投资研究和决策流程、交易流程、强化事后监控及分析手段等各种方式在各业务环节严格控制交易公平执行，公平对待旗下管理的所有投资组合，切实防范利益输送。本报告期，公平交易制度总体执行情况良好。</w:t>
      </w:r>
    </w:p>
    <w:p>
      <w:pPr>
        <w:widowControl/>
        <w:jc w:val="left"/>
        <w:rPr>
          <w:rFonts w:hint="eastAsia" w:ascii="宋体" w:hAnsi="宋体" w:cs="宋体"/>
          <w:kern w:val="0"/>
          <w:sz w:val="24"/>
          <w:szCs w:val="24"/>
        </w:rPr>
      </w:pPr>
    </w:p>
    <w:p>
      <w:pPr>
        <w:pStyle w:val="15"/>
        <w:rPr>
          <w:rFonts w:hint="eastAsia"/>
        </w:rPr>
      </w:pPr>
      <w:r>
        <w:rPr>
          <w:rFonts w:hint="eastAsia"/>
          <w:b/>
          <w:bCs/>
        </w:rPr>
        <w:t>4.3.3 异常交易行为的专项说明</w:t>
      </w:r>
    </w:p>
    <w:p>
      <w:pPr>
        <w:pStyle w:val="20"/>
        <w:rPr>
          <w:rFonts w:hint="eastAsia"/>
        </w:rPr>
      </w:pPr>
      <w:r>
        <w:rPr>
          <w:rFonts w:hint="eastAsia"/>
        </w:rPr>
        <w:t>  本报告期内，公司旗下所有投资组合参与的交易所公开竞价交易中，同日反向交易成交较少的单边交易量超过该证券当日成交量的5%的交易共50次，该基金为量化选股策略基金，发生反向交易行为的原因为：基金在调仓时点，多个选股模型在少数股票上产生分歧，产生了反向交易信号而发生反向交易。交易时采用算法交易，全天匀速缓慢成交，未对当天的股票价格产生冲击。</w:t>
      </w:r>
      <w:r>
        <w:rPr>
          <w:rFonts w:hint="eastAsia"/>
        </w:rPr>
        <w:br w:type="textWrapping"/>
      </w:r>
      <w:r>
        <w:rPr>
          <w:rFonts w:hint="eastAsia"/>
        </w:rPr>
        <w:t>  本报告期内，未发现本基金有可能导致不公平交易和利益输送的异常交易。</w:t>
      </w:r>
    </w:p>
    <w:p>
      <w:pPr>
        <w:widowControl/>
        <w:jc w:val="left"/>
        <w:rPr>
          <w:rFonts w:hint="eastAsia" w:ascii="宋体" w:hAnsi="宋体" w:cs="宋体"/>
          <w:kern w:val="0"/>
          <w:sz w:val="24"/>
          <w:szCs w:val="24"/>
        </w:rPr>
      </w:pPr>
    </w:p>
    <w:p>
      <w:pPr>
        <w:pStyle w:val="14"/>
        <w:rPr>
          <w:rFonts w:hint="eastAsia"/>
        </w:rPr>
      </w:pPr>
      <w:bookmarkStart w:id="17" w:name="_Toc510100980"/>
      <w:r>
        <w:rPr>
          <w:rFonts w:hint="eastAsia"/>
          <w:b/>
          <w:bCs/>
        </w:rPr>
        <w:t>4.4 管理人对报告期内基金的投资策略和业绩表现的说明</w:t>
      </w:r>
      <w:bookmarkEnd w:id="17"/>
    </w:p>
    <w:p>
      <w:pPr>
        <w:widowControl/>
        <w:jc w:val="left"/>
        <w:rPr>
          <w:rFonts w:hint="eastAsia" w:ascii="宋体" w:hAnsi="宋体" w:cs="宋体"/>
          <w:kern w:val="0"/>
          <w:sz w:val="24"/>
          <w:szCs w:val="24"/>
        </w:rPr>
      </w:pPr>
    </w:p>
    <w:p>
      <w:pPr>
        <w:pStyle w:val="15"/>
        <w:rPr>
          <w:rFonts w:hint="eastAsia"/>
        </w:rPr>
      </w:pPr>
      <w:r>
        <w:rPr>
          <w:rFonts w:hint="eastAsia"/>
          <w:b/>
          <w:bCs/>
        </w:rPr>
        <w:t>4.4.1 报告期内基金投资策略和运作分析</w:t>
      </w:r>
    </w:p>
    <w:p>
      <w:pPr>
        <w:pStyle w:val="20"/>
        <w:rPr>
          <w:rFonts w:hint="eastAsia"/>
        </w:rPr>
      </w:pPr>
      <w:r>
        <w:rPr>
          <w:rFonts w:hint="eastAsia"/>
        </w:rPr>
        <w:t>  回顾2017年，我们严格依据量化模型进行投资，并严格进行风险管理。一方面，我们按照量化选股模型进行股票组合构建；另一方面，仓位管理上，我们按照量化择时模型进行操作。</w:t>
      </w:r>
    </w:p>
    <w:p>
      <w:pPr>
        <w:widowControl/>
        <w:jc w:val="left"/>
        <w:rPr>
          <w:rFonts w:hint="eastAsia" w:ascii="宋体" w:hAnsi="宋体" w:cs="宋体"/>
          <w:kern w:val="0"/>
          <w:sz w:val="24"/>
          <w:szCs w:val="24"/>
        </w:rPr>
      </w:pPr>
    </w:p>
    <w:p>
      <w:pPr>
        <w:pStyle w:val="15"/>
        <w:rPr>
          <w:rFonts w:hint="eastAsia"/>
        </w:rPr>
      </w:pPr>
      <w:r>
        <w:rPr>
          <w:rFonts w:hint="eastAsia"/>
          <w:b/>
          <w:bCs/>
        </w:rPr>
        <w:t>4.4.2 报告期内基金的业绩表现</w:t>
      </w:r>
    </w:p>
    <w:p>
      <w:pPr>
        <w:pStyle w:val="20"/>
        <w:rPr>
          <w:rFonts w:hint="eastAsia"/>
        </w:rPr>
      </w:pPr>
      <w:r>
        <w:rPr>
          <w:rFonts w:hint="eastAsia"/>
        </w:rPr>
        <w:t>  截至报告期末创金合信中证1000增强A基金份额净值为0.9757元;本报告期内，基金份额净值增长率为-1.31%，同期业绩比较基准收益率为-16.45%;截至报告期末创金合信中证1000增强C基金份额净值为0.9754元;本报告期内，基金份额净值增长率为-1.34%，同期业绩比较基准收益率为-16.45%。</w:t>
      </w:r>
    </w:p>
    <w:p>
      <w:pPr>
        <w:widowControl/>
        <w:jc w:val="left"/>
        <w:rPr>
          <w:rFonts w:hint="eastAsia" w:ascii="宋体" w:hAnsi="宋体" w:cs="宋体"/>
          <w:kern w:val="0"/>
          <w:sz w:val="24"/>
          <w:szCs w:val="24"/>
        </w:rPr>
      </w:pPr>
    </w:p>
    <w:p>
      <w:pPr>
        <w:pStyle w:val="14"/>
        <w:rPr>
          <w:rFonts w:hint="eastAsia"/>
        </w:rPr>
      </w:pPr>
      <w:bookmarkStart w:id="18" w:name="_Toc510100981"/>
      <w:r>
        <w:rPr>
          <w:rFonts w:hint="eastAsia"/>
          <w:b/>
          <w:bCs/>
        </w:rPr>
        <w:t>4.5 管理人对宏观经济、证券市场及行业走势的简要展望</w:t>
      </w:r>
      <w:bookmarkEnd w:id="18"/>
    </w:p>
    <w:p>
      <w:pPr>
        <w:pStyle w:val="20"/>
        <w:rPr>
          <w:rFonts w:hint="eastAsia"/>
        </w:rPr>
      </w:pPr>
      <w:r>
        <w:rPr>
          <w:rFonts w:hint="eastAsia"/>
        </w:rPr>
        <w:t>  从宏观上看，经济基本面韧性较强，全年增长率超预期。考虑到在房地产政策趋紧的情况下，房地产成交量萎缩，投资房市的资金需要重新配置，在海外投资受限的情况下，权益类资产有望在投资者投资配置中提升权重。从投资情绪来看，市场已在一定程度地回暖，投资者风险偏好提升，爆款基金密集发行，增量资金入市情况明显。</w:t>
      </w:r>
    </w:p>
    <w:p>
      <w:pPr>
        <w:widowControl/>
        <w:jc w:val="left"/>
        <w:rPr>
          <w:rFonts w:hint="eastAsia" w:ascii="宋体" w:hAnsi="宋体" w:cs="宋体"/>
          <w:kern w:val="0"/>
          <w:sz w:val="24"/>
          <w:szCs w:val="24"/>
        </w:rPr>
      </w:pPr>
    </w:p>
    <w:p>
      <w:pPr>
        <w:pStyle w:val="14"/>
        <w:rPr>
          <w:rFonts w:hint="eastAsia"/>
        </w:rPr>
      </w:pPr>
      <w:bookmarkStart w:id="19" w:name="_Toc510100982"/>
      <w:r>
        <w:rPr>
          <w:rFonts w:hint="eastAsia"/>
          <w:b/>
          <w:bCs/>
        </w:rPr>
        <w:t>4.6 管理人内部有关本基金的监察稽核工作情况</w:t>
      </w:r>
      <w:bookmarkEnd w:id="19"/>
    </w:p>
    <w:p>
      <w:pPr>
        <w:pStyle w:val="20"/>
        <w:rPr>
          <w:rFonts w:hint="eastAsia"/>
        </w:rPr>
      </w:pPr>
      <w:r>
        <w:rPr>
          <w:rFonts w:hint="eastAsia"/>
        </w:rPr>
        <w:t>  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r>
        <w:rPr>
          <w:rFonts w:hint="eastAsia"/>
        </w:rPr>
        <w:br w:type="textWrapping"/>
      </w:r>
      <w:r>
        <w:rPr>
          <w:rFonts w:hint="eastAsia"/>
        </w:rPr>
        <w:t>  本报告期内，本基金管理人的主要内部监察稽核工作如下：</w:t>
      </w:r>
      <w:r>
        <w:rPr>
          <w:rFonts w:hint="eastAsia"/>
        </w:rPr>
        <w:br w:type="textWrapping"/>
      </w:r>
      <w:r>
        <w:rPr>
          <w:rFonts w:hint="eastAsia"/>
        </w:rPr>
        <w:t>  （1）开展全面自查工作，排查各项业务活动中存在的问题或潜在的风险隐患，制定整改计划，并督促按计划完成整改；</w:t>
      </w:r>
      <w:r>
        <w:rPr>
          <w:rFonts w:hint="eastAsia"/>
        </w:rPr>
        <w:br w:type="textWrapping"/>
      </w:r>
      <w:r>
        <w:rPr>
          <w:rFonts w:hint="eastAsia"/>
        </w:rPr>
        <w:t>  （2）开展公司专项稽核工作，了解合规风险现状、发现薄弱环节，并持续督导改进；</w:t>
      </w:r>
      <w:r>
        <w:rPr>
          <w:rFonts w:hint="eastAsia"/>
        </w:rPr>
        <w:br w:type="textWrapping"/>
      </w:r>
      <w:r>
        <w:rPr>
          <w:rFonts w:hint="eastAsia"/>
        </w:rPr>
        <w:t>  （3）强化合规法务工作。严格审核公司业务、产品及其合同等法律文件，解读最新的法律法规，发布合规提示或警示，举办合规培训；</w:t>
      </w:r>
      <w:r>
        <w:rPr>
          <w:rFonts w:hint="eastAsia"/>
        </w:rPr>
        <w:br w:type="textWrapping"/>
      </w:r>
      <w:r>
        <w:rPr>
          <w:rFonts w:hint="eastAsia"/>
        </w:rPr>
        <w:t>  （4）建立健全全面风险管理体系。全面梳理各业务部门的职责与权限，理顺工作流程；同时加强权限管理，健全事前、事中和事后的风险管理体系；</w:t>
      </w:r>
      <w:r>
        <w:rPr>
          <w:rFonts w:hint="eastAsia"/>
        </w:rPr>
        <w:br w:type="textWrapping"/>
      </w:r>
      <w:r>
        <w:rPr>
          <w:rFonts w:hint="eastAsia"/>
        </w:rPr>
        <w:t>  （5）完善信息披露工作。修订完善《信息披露制度》等制度，建立统一规范信息披露流程，明确各部门信息披露的职责分工，及时履行信息披露工作；</w:t>
      </w:r>
      <w:r>
        <w:rPr>
          <w:rFonts w:hint="eastAsia"/>
        </w:rPr>
        <w:br w:type="textWrapping"/>
      </w:r>
      <w:r>
        <w:rPr>
          <w:rFonts w:hint="eastAsia"/>
        </w:rPr>
        <w:t>  （6）加强关联交易管理。修订《关联交易管理制度》，履行关联交易决策审批程序；</w:t>
      </w:r>
      <w:r>
        <w:rPr>
          <w:rFonts w:hint="eastAsia"/>
        </w:rPr>
        <w:br w:type="textWrapping"/>
      </w:r>
      <w:r>
        <w:rPr>
          <w:rFonts w:hint="eastAsia"/>
        </w:rPr>
        <w:t>  （7）建立内幕交易防控机制。公司建立了《内幕交易防控管理办法》，定期开展关于防止内幕交易的合规培训，严防内幕信息传递和内幕交易发生；</w:t>
      </w:r>
      <w:r>
        <w:rPr>
          <w:rFonts w:hint="eastAsia"/>
        </w:rPr>
        <w:br w:type="textWrapping"/>
      </w:r>
      <w:r>
        <w:rPr>
          <w:rFonts w:hint="eastAsia"/>
        </w:rPr>
        <w:t>  （8）建立健全公平交易与异常交易管理机制。严格按照法律法规以及公司《公平交易制度》、《异常交易监控与报告制度》的要求，对所管理的不同投资组合之间发生的同向交易和反向交易进行监控，严格禁止同一投资组合在同一交易日内进行反向交易及其他可能导致不公平交易和利益输送的交易行为；</w:t>
      </w:r>
      <w:r>
        <w:rPr>
          <w:rFonts w:hint="eastAsia"/>
        </w:rPr>
        <w:br w:type="textWrapping"/>
      </w:r>
      <w:r>
        <w:rPr>
          <w:rFonts w:hint="eastAsia"/>
        </w:rPr>
        <w:t>  （9）建立员工投资行为管理机制，规范员工的证券投资行为。</w:t>
      </w:r>
      <w:r>
        <w:rPr>
          <w:rFonts w:hint="eastAsia"/>
        </w:rPr>
        <w:br w:type="textWrapping"/>
      </w:r>
      <w:r>
        <w:rPr>
          <w:rFonts w:hint="eastAsia"/>
        </w:rPr>
        <w:t>  本基金管理人将坚持诚实信用、勤勉尽责的原则管理和运用基金资产，积极健全内部管理制度，不断提高内部监察稽核工作的科学性和有效性，努力防范各种风险，切实保护基金资产的安全与利益。</w:t>
      </w:r>
    </w:p>
    <w:p>
      <w:pPr>
        <w:widowControl/>
        <w:jc w:val="left"/>
        <w:rPr>
          <w:rFonts w:hint="eastAsia" w:ascii="宋体" w:hAnsi="宋体" w:cs="宋体"/>
          <w:kern w:val="0"/>
          <w:sz w:val="24"/>
          <w:szCs w:val="24"/>
        </w:rPr>
      </w:pPr>
    </w:p>
    <w:p>
      <w:pPr>
        <w:pStyle w:val="14"/>
        <w:rPr>
          <w:rFonts w:hint="eastAsia"/>
        </w:rPr>
      </w:pPr>
      <w:bookmarkStart w:id="20" w:name="_Toc510100983"/>
      <w:r>
        <w:rPr>
          <w:rFonts w:hint="eastAsia"/>
          <w:b/>
          <w:bCs/>
        </w:rPr>
        <w:t>4.7 管理人对报告期内基金估值程序等事项的说明</w:t>
      </w:r>
      <w:bookmarkEnd w:id="20"/>
    </w:p>
    <w:p>
      <w:pPr>
        <w:pStyle w:val="20"/>
        <w:rPr>
          <w:rFonts w:hint="eastAsia"/>
        </w:rPr>
      </w:pPr>
      <w:r>
        <w:rPr>
          <w:rFonts w:hint="eastAsia"/>
        </w:rPr>
        <w:t>  本基金管理人严格按照企业会计准则、《中国证监会关于证券投资基金估值业务的指导意见》等中国证监会相关规定和基金合同关于估值的约定，对基金所持有的投资品种进行估值。本基金托管人根据法律法规要求履行估值及净值计算的复核责任。</w:t>
      </w:r>
      <w:r>
        <w:rPr>
          <w:rFonts w:hint="eastAsia"/>
        </w:rPr>
        <w:br w:type="textWrapping"/>
      </w:r>
      <w:r>
        <w:rPr>
          <w:rFonts w:hint="eastAsia"/>
        </w:rPr>
        <w:t>  本基金管理人已与中央国债登记结算有限责任公司及中证指数有限公司签署服务协议，由中央国债登记结算有限责任公司按约定提供银行间同业市场的估值数据，由中证指数有限公司按约定提供交易所交易的债券品种的估值数据和流通受限股票的折扣率数据。</w:t>
      </w:r>
    </w:p>
    <w:p>
      <w:pPr>
        <w:widowControl/>
        <w:jc w:val="left"/>
        <w:rPr>
          <w:rFonts w:hint="eastAsia" w:ascii="宋体" w:hAnsi="宋体" w:cs="宋体"/>
          <w:kern w:val="0"/>
          <w:sz w:val="24"/>
          <w:szCs w:val="24"/>
        </w:rPr>
      </w:pPr>
    </w:p>
    <w:p>
      <w:pPr>
        <w:pStyle w:val="14"/>
        <w:rPr>
          <w:rFonts w:hint="eastAsia"/>
        </w:rPr>
      </w:pPr>
      <w:bookmarkStart w:id="21" w:name="_Toc510100984"/>
      <w:r>
        <w:rPr>
          <w:rFonts w:hint="eastAsia"/>
          <w:b/>
          <w:bCs/>
        </w:rPr>
        <w:t>4.8 管理人对报告期内基金利润分配情况的说明</w:t>
      </w:r>
      <w:bookmarkEnd w:id="21"/>
    </w:p>
    <w:p>
      <w:pPr>
        <w:pStyle w:val="20"/>
        <w:rPr>
          <w:rFonts w:hint="eastAsia"/>
        </w:rPr>
      </w:pPr>
      <w:r>
        <w:rPr>
          <w:rFonts w:hint="eastAsia"/>
        </w:rPr>
        <w:t>  本报告期内，本基金未进行利润分配，符合合同约定。</w:t>
      </w:r>
    </w:p>
    <w:p>
      <w:pPr>
        <w:widowControl/>
        <w:jc w:val="left"/>
        <w:rPr>
          <w:rFonts w:hint="eastAsia" w:ascii="宋体" w:hAnsi="宋体" w:cs="宋体"/>
          <w:kern w:val="0"/>
          <w:sz w:val="24"/>
          <w:szCs w:val="24"/>
        </w:rPr>
      </w:pPr>
    </w:p>
    <w:p>
      <w:pPr>
        <w:pStyle w:val="14"/>
        <w:rPr>
          <w:rFonts w:hint="eastAsia"/>
        </w:rPr>
      </w:pPr>
      <w:bookmarkStart w:id="22" w:name="_Toc510100985"/>
      <w:r>
        <w:rPr>
          <w:rFonts w:hint="eastAsia"/>
          <w:b/>
          <w:bCs/>
        </w:rPr>
        <w:t>4.9 报告期内管理人对本基金持有人数或基金资产净值预警情形的说明</w:t>
      </w:r>
      <w:bookmarkEnd w:id="22"/>
    </w:p>
    <w:p>
      <w:pPr>
        <w:pStyle w:val="20"/>
        <w:rPr>
          <w:rFonts w:hint="eastAsia"/>
        </w:rPr>
      </w:pPr>
      <w:r>
        <w:rPr>
          <w:rFonts w:hint="eastAsia"/>
        </w:rPr>
        <w:t>  本基金为发起式基金,不适用本项说明。</w:t>
      </w:r>
    </w:p>
    <w:p>
      <w:pPr>
        <w:widowControl/>
        <w:jc w:val="left"/>
        <w:rPr>
          <w:rFonts w:hint="eastAsia" w:ascii="宋体" w:hAnsi="宋体" w:cs="宋体"/>
          <w:kern w:val="0"/>
          <w:sz w:val="24"/>
          <w:szCs w:val="24"/>
        </w:rPr>
      </w:pPr>
    </w:p>
    <w:p>
      <w:pPr>
        <w:pStyle w:val="13"/>
        <w:rPr>
          <w:rFonts w:hint="eastAsia"/>
        </w:rPr>
      </w:pPr>
      <w:bookmarkStart w:id="23" w:name="_Toc510100986"/>
      <w:r>
        <w:rPr>
          <w:rFonts w:hint="eastAsia" w:hAnsi="Calibri"/>
          <w:b/>
          <w:color w:val="000000"/>
        </w:rPr>
        <w:t>§5  托管人报告</w:t>
      </w:r>
      <w:bookmarkEnd w:id="23"/>
    </w:p>
    <w:p>
      <w:pPr>
        <w:widowControl/>
        <w:jc w:val="left"/>
        <w:rPr>
          <w:rFonts w:hint="eastAsia" w:ascii="宋体" w:hAnsi="宋体" w:cs="宋体"/>
          <w:kern w:val="0"/>
          <w:sz w:val="24"/>
          <w:szCs w:val="24"/>
        </w:rPr>
      </w:pPr>
    </w:p>
    <w:p>
      <w:pPr>
        <w:pStyle w:val="14"/>
        <w:rPr>
          <w:rFonts w:hint="eastAsia"/>
        </w:rPr>
      </w:pPr>
      <w:bookmarkStart w:id="24" w:name="_Toc510100987"/>
      <w:r>
        <w:rPr>
          <w:rFonts w:hint="eastAsia"/>
          <w:b/>
          <w:bCs/>
        </w:rPr>
        <w:t>5.1 报告期内本基金托管人遵规守信情况声明</w:t>
      </w:r>
      <w:bookmarkEnd w:id="24"/>
    </w:p>
    <w:p>
      <w:pPr>
        <w:pStyle w:val="20"/>
        <w:rPr>
          <w:rFonts w:hint="eastAsia"/>
        </w:rPr>
      </w:pPr>
      <w:r>
        <w:rPr>
          <w:rFonts w:hint="eastAsia"/>
        </w:rPr>
        <w:t>  在托管本基金的过程中，本基金托管人中国农业银行股份有限公司严格遵守《证券投资基金法》相关法律法规的规定以及基金合同、托管协议的约定，对本基金基金管理人-创金合信基金管理有限公司2017年1月1日至2017年12月31日基金的投资运作，进行了认真、独立的会计核算和必要的投资监督，认真履行了托管人的义务，没有从事任何损害基金份额持有人利益的行为。</w:t>
      </w:r>
    </w:p>
    <w:p>
      <w:pPr>
        <w:widowControl/>
        <w:jc w:val="left"/>
        <w:rPr>
          <w:rFonts w:hint="eastAsia" w:ascii="宋体" w:hAnsi="宋体" w:cs="宋体"/>
          <w:kern w:val="0"/>
          <w:sz w:val="24"/>
          <w:szCs w:val="24"/>
        </w:rPr>
      </w:pPr>
    </w:p>
    <w:p>
      <w:pPr>
        <w:pStyle w:val="14"/>
        <w:rPr>
          <w:rFonts w:hint="eastAsia"/>
        </w:rPr>
      </w:pPr>
      <w:bookmarkStart w:id="25" w:name="_Toc510100988"/>
      <w:r>
        <w:rPr>
          <w:rFonts w:hint="eastAsia"/>
          <w:b/>
          <w:bCs/>
        </w:rPr>
        <w:t>5.2 托管人对报告期内本基金投资运作遵规守信、净值计算、利润分配等情况的说明</w:t>
      </w:r>
      <w:bookmarkEnd w:id="25"/>
    </w:p>
    <w:p>
      <w:pPr>
        <w:pStyle w:val="20"/>
        <w:rPr>
          <w:rFonts w:hint="eastAsia"/>
        </w:rPr>
      </w:pPr>
      <w:r>
        <w:rPr>
          <w:rFonts w:hint="eastAsia"/>
        </w:rPr>
        <w:t>  本托管人认为, 创金合信基金管理有限公司在本基金的投资运作、基金资产净值的计算、基金份额申购赎回价格的计算、基金费用开支及利润分配等问题上，不存在损害基金份额持有人利益的行为；在报告期内，严格遵守了《证券投资基金法》等有关法律法规，在各重要方面的运作严格按照基金合同的规定进行。</w:t>
      </w:r>
    </w:p>
    <w:p>
      <w:pPr>
        <w:widowControl/>
        <w:jc w:val="left"/>
        <w:rPr>
          <w:rFonts w:hint="eastAsia" w:ascii="宋体" w:hAnsi="宋体" w:cs="宋体"/>
          <w:kern w:val="0"/>
          <w:sz w:val="24"/>
          <w:szCs w:val="24"/>
        </w:rPr>
      </w:pPr>
    </w:p>
    <w:p>
      <w:pPr>
        <w:pStyle w:val="14"/>
        <w:rPr>
          <w:rFonts w:hint="eastAsia"/>
        </w:rPr>
      </w:pPr>
      <w:bookmarkStart w:id="26" w:name="_Toc510100989"/>
      <w:r>
        <w:rPr>
          <w:rFonts w:hint="eastAsia"/>
          <w:b/>
          <w:bCs/>
        </w:rPr>
        <w:t>5.3 托管人对本年度报告中财务信息等内容的真实、准确和完整发表意见</w:t>
      </w:r>
      <w:bookmarkEnd w:id="26"/>
    </w:p>
    <w:p>
      <w:pPr>
        <w:pStyle w:val="20"/>
        <w:rPr>
          <w:rFonts w:hint="eastAsia"/>
        </w:rPr>
      </w:pPr>
      <w:r>
        <w:rPr>
          <w:rFonts w:hint="eastAsia"/>
        </w:rPr>
        <w:t>  本托管人认为，创金合信基金管理有限公司的信息披露事务符合《证券投资基金信息披露管理办法》及其他相关法律法规的规定，基金管理人所编制和披露的本基金年度报告中的财务指标、净值表现、收益分配情况、财务会计报告、投资组合报告等信息真实、准确、完整，未发现有损害基金持有人利益的行为。</w:t>
      </w:r>
    </w:p>
    <w:p>
      <w:pPr>
        <w:pStyle w:val="13"/>
        <w:rPr>
          <w:rFonts w:hint="eastAsia"/>
        </w:rPr>
      </w:pPr>
      <w:bookmarkStart w:id="27" w:name="_Toc510100990"/>
      <w:r>
        <w:rPr>
          <w:rFonts w:hint="eastAsia" w:hAnsi="Calibri"/>
          <w:b/>
          <w:color w:val="000000"/>
        </w:rPr>
        <w:t>§6  审计报告</w:t>
      </w:r>
      <w:bookmarkEnd w:id="27"/>
    </w:p>
    <w:p>
      <w:pPr>
        <w:widowControl/>
        <w:jc w:val="left"/>
        <w:rPr>
          <w:rFonts w:hint="eastAsia" w:ascii="宋体" w:hAnsi="宋体" w:cs="宋体"/>
          <w:kern w:val="0"/>
          <w:sz w:val="24"/>
          <w:szCs w:val="24"/>
        </w:rPr>
      </w:pPr>
    </w:p>
    <w:p>
      <w:pPr>
        <w:pStyle w:val="14"/>
        <w:rPr>
          <w:rFonts w:hint="eastAsia"/>
        </w:rPr>
      </w:pPr>
      <w:bookmarkStart w:id="28" w:name="_Toc510100991"/>
      <w:r>
        <w:rPr>
          <w:rFonts w:hint="eastAsia"/>
          <w:b/>
          <w:bCs/>
        </w:rPr>
        <w:t>6.1 审计报告基本信息</w:t>
      </w:r>
      <w:bookmarkEnd w:id="28"/>
    </w:p>
    <w:tbl>
      <w:tblPr>
        <w:tblStyle w:val="7"/>
        <w:tblW w:w="9045" w:type="dxa"/>
        <w:tblInd w:w="108" w:type="dxa"/>
        <w:tblLayout w:type="autofit"/>
        <w:tblCellMar>
          <w:top w:w="0" w:type="dxa"/>
          <w:left w:w="108" w:type="dxa"/>
          <w:bottom w:w="0" w:type="dxa"/>
          <w:right w:w="108" w:type="dxa"/>
        </w:tblCellMar>
      </w:tblPr>
      <w:tblGrid>
        <w:gridCol w:w="3375"/>
        <w:gridCol w:w="5670"/>
      </w:tblGrid>
      <w:tr>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是</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普华永道中天审字(2018)第21829号</w:t>
            </w:r>
          </w:p>
        </w:tc>
      </w:tr>
    </w:tbl>
    <w:p>
      <w:pPr>
        <w:widowControl/>
        <w:jc w:val="left"/>
        <w:rPr>
          <w:rFonts w:hint="eastAsia" w:ascii="宋体" w:hAnsi="宋体" w:cs="宋体"/>
          <w:kern w:val="0"/>
          <w:sz w:val="24"/>
          <w:szCs w:val="24"/>
        </w:rPr>
      </w:pPr>
    </w:p>
    <w:p>
      <w:pPr>
        <w:pStyle w:val="14"/>
        <w:rPr>
          <w:rFonts w:hint="eastAsia"/>
        </w:rPr>
      </w:pPr>
      <w:bookmarkStart w:id="29" w:name="_Toc510100992"/>
      <w:r>
        <w:rPr>
          <w:rFonts w:hint="eastAsia"/>
          <w:b/>
          <w:bCs/>
        </w:rPr>
        <w:t>6.2 审计报告的基本内容</w:t>
      </w:r>
      <w:bookmarkEnd w:id="29"/>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创金合信中证1000指数增强型发起式证券投资基金全体基金份额持有人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 我们审计的内容 我们审计了创金合信中证1000指数增强型发起式证券投资基金 (以下简称"创金合信中证1000增强基金")的财务报表，包括2017年12月31日和2016年12月31日的资产负债表，2017年度和2016年12月22日(基金合同生效日)至2016年12月31日的利润表和所有者权益(基金净值)变动表以及财务报表附注。 (二) 我们的意见 我们认为，后附的财务报表在所有重大方面按照企业会计准则和在财务报表附注中所列示的中国证券监督管理委员会(以下简称"中国证监会")、中国证券投资基金业协会(以下简称"中国基金业协会")发布的有关规定及允许的基金行业实务操作编制，公允反映了创金合信中证1000增强基金2017年12月31日和2016年12月31日的财务状况以及2017年度和2016年12月22日(基金合同生效日)至2016年12月31日的经营成果和基金净值变动情况。</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 按照中国注册会计师职业道德守则，我们独立于创金合信中证1000增强基金，并履行了职业道德方面的其他责任。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1000增强基金的基金管理人创金合信基金管理有限公司(以下简称"基金管理人")管理层负责按照企业会计准则和中国证监会、中国基金业协会发布的有关规定及允许的基金行业实务操作编制财务报表，使其实现公允反映，并设计、执行和维护必要的内部控制，以使财务报表不存在由于舞弊或错误导致的重大错报。 在编制财务报表时，基金管理人管理层负责评估创金合信中证1000增强基金的持续经营能力，披露与持续经营相关的事项(如适用)，并运用持续经营假设，除非基金管理人管理层计划清算创金合信中证1000增强基金、终止运营或别无其他现实的选择。 基金管理人治理层负责监督创金合信中证1000增强基金的财务报告过程。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二) 了解与审计相关的内部控制，以设计恰当的审计程序，但目的并非对内部控制的有效性发表意见。 (三) 评价基金管理人管理层选用会计政策的恰当性和作出会计估计及相关披露的合理性。 (四) 对基金管理人管理层使用持续经营假设的恰当性得出结论。同时，根据获取的审计证据，就可能导致对创金合信中证1000增强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中证1000增强基金不能持续经营。 (五) 评价财务报表的总体列报、结构和内容(包括披露)，并评价财务报表是否公允反映相关交易和事项。 我们与基金管理人治理层就计划的审计范围、时间安排和重大审计发现等事项进行沟通，包括沟通我们在审计中识别出的值得关注的内部控制缺陷。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曹翠丽、边晓红</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2018-03-27</w:t>
            </w:r>
          </w:p>
        </w:tc>
      </w:tr>
    </w:tbl>
    <w:p>
      <w:pPr>
        <w:pStyle w:val="13"/>
        <w:rPr>
          <w:rFonts w:hint="eastAsia"/>
        </w:rPr>
      </w:pPr>
      <w:bookmarkStart w:id="30" w:name="_Toc510100993"/>
      <w:r>
        <w:rPr>
          <w:rFonts w:hint="eastAsia" w:hAnsi="Calibri"/>
          <w:b/>
          <w:color w:val="000000"/>
        </w:rPr>
        <w:t>§7  年度财务报表</w:t>
      </w:r>
      <w:bookmarkEnd w:id="30"/>
    </w:p>
    <w:p>
      <w:pPr>
        <w:widowControl/>
        <w:jc w:val="left"/>
        <w:rPr>
          <w:rFonts w:hint="eastAsia" w:ascii="宋体" w:hAnsi="宋体" w:cs="宋体"/>
          <w:kern w:val="0"/>
          <w:sz w:val="24"/>
          <w:szCs w:val="24"/>
        </w:rPr>
      </w:pPr>
    </w:p>
    <w:p>
      <w:pPr>
        <w:pStyle w:val="14"/>
        <w:rPr>
          <w:rFonts w:hint="eastAsia"/>
        </w:rPr>
      </w:pPr>
      <w:bookmarkStart w:id="31" w:name="_Toc510100994"/>
      <w:r>
        <w:rPr>
          <w:rFonts w:hint="eastAsia"/>
          <w:b/>
          <w:bCs/>
        </w:rPr>
        <w:t>7.1 资产负债表</w:t>
      </w:r>
      <w:bookmarkEnd w:id="31"/>
    </w:p>
    <w:p>
      <w:pPr>
        <w:pStyle w:val="17"/>
        <w:rPr>
          <w:rFonts w:hint="eastAsia"/>
        </w:rPr>
      </w:pPr>
      <w:r>
        <w:rPr>
          <w:rFonts w:hint="eastAsia"/>
        </w:rPr>
        <w:t>会计主体：创金合信中证1000指数增强型发起式证券投资基金</w:t>
      </w:r>
    </w:p>
    <w:p>
      <w:pPr>
        <w:pStyle w:val="17"/>
        <w:rPr>
          <w:rFonts w:hint="eastAsia"/>
        </w:rPr>
      </w:pPr>
      <w:r>
        <w:rPr>
          <w:rFonts w:hint="eastAsia"/>
        </w:rPr>
        <w:t>报告截止日：2017年12月31日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2888"/>
        <w:gridCol w:w="1083"/>
        <w:gridCol w:w="2529"/>
        <w:gridCol w:w="2620"/>
      </w:tblGrid>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资 产 </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 </w:t>
            </w:r>
          </w:p>
          <w:p>
            <w:pPr>
              <w:pStyle w:val="18"/>
              <w:wordWrap w:val="0"/>
              <w:rPr>
                <w:rFonts w:hint="eastAsia"/>
              </w:rPr>
            </w:pPr>
            <w:r>
              <w:rPr>
                <w:rFonts w:hint="eastAsia" w:hAnsi="Calibri"/>
                <w:color w:val="000000"/>
              </w:rPr>
              <w:t>2017年12月31日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 </w:t>
            </w:r>
          </w:p>
          <w:p>
            <w:pPr>
              <w:pStyle w:val="18"/>
              <w:wordWrap w:val="0"/>
              <w:rPr>
                <w:rFonts w:hint="eastAsia"/>
              </w:rPr>
            </w:pPr>
            <w:r>
              <w:rPr>
                <w:rFonts w:hint="eastAsia" w:hAnsi="Calibri"/>
                <w:color w:val="000000"/>
              </w:rPr>
              <w:t>2016年12月31日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资 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银行存款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3,656,874.22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518,397.12</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3,011,126.34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110,107.64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207,208,031.86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9,503,201.00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196,110,171.06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9,503,201.00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11,097,860.80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贵金属投资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1,993,099.38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7,258.41</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65,650.24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1,073.26</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615,783.90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216,660,673.58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10,029,929.79</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负债和所有者权益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 </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 </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负 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短期借款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卖出回购金融资产款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9,338.23</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20,455.61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968.86</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144,506.50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1,974.16</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27,094.96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370.15</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1,613.21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248.59</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1,014,705.99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2,118.43</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应交税费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145,000.62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1,086.96</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1,353,376.89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16,105.38</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实收基金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220,669,622.69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10,128,831.96</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-5,362,326.00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-115,007.55</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215,307,296.69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10,013,824.41</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负债和所有者权益总计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216,660,673.58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10,029,929.79</w:t>
            </w:r>
          </w:p>
        </w:tc>
      </w:tr>
    </w:tbl>
    <w:p>
      <w:pPr>
        <w:pStyle w:val="20"/>
        <w:rPr>
          <w:rFonts w:hint="eastAsia"/>
        </w:rPr>
      </w:pPr>
      <w:r>
        <w:rPr>
          <w:rFonts w:hint="eastAsia"/>
        </w:rPr>
        <w:t>注：1.报告截止日2017年12月31日，基金份额总额220,669,622.69份，其中A类基金份额的份额总额为210,415,694.76份，份额净值0.9757元；C类基金份额的份额总额为10,253,927.93份，份额净值0.9754元。</w:t>
      </w:r>
      <w:r>
        <w:rPr>
          <w:rFonts w:hint="eastAsia"/>
        </w:rPr>
        <w:br w:type="textWrapping"/>
      </w:r>
      <w:r>
        <w:rPr>
          <w:rFonts w:hint="eastAsia"/>
        </w:rPr>
        <w:t>2. 本基金合同生效日为2016年12月22日，上年度可比期间为2016年12月22日至2016年12月31日。</w:t>
      </w:r>
    </w:p>
    <w:p>
      <w:pPr>
        <w:pStyle w:val="14"/>
        <w:rPr>
          <w:rFonts w:hint="eastAsia"/>
        </w:rPr>
      </w:pPr>
      <w:bookmarkStart w:id="32" w:name="_Toc510100995"/>
      <w:r>
        <w:rPr>
          <w:rFonts w:hint="eastAsia"/>
          <w:b/>
          <w:bCs/>
        </w:rPr>
        <w:t>7.2 利润表</w:t>
      </w:r>
      <w:bookmarkEnd w:id="32"/>
    </w:p>
    <w:p>
      <w:pPr>
        <w:widowControl/>
        <w:jc w:val="left"/>
        <w:rPr>
          <w:rFonts w:hint="eastAsia" w:ascii="宋体" w:hAnsi="宋体" w:cs="宋体"/>
          <w:kern w:val="0"/>
          <w:sz w:val="24"/>
          <w:szCs w:val="24"/>
        </w:rPr>
      </w:pPr>
    </w:p>
    <w:p>
      <w:pPr>
        <w:pStyle w:val="17"/>
        <w:rPr>
          <w:rFonts w:hint="eastAsia"/>
        </w:rPr>
      </w:pPr>
      <w:r>
        <w:rPr>
          <w:rFonts w:hint="eastAsia"/>
        </w:rPr>
        <w:t>会计主体：创金合信中证1000指数增强型发起式证券投资基金</w:t>
      </w:r>
    </w:p>
    <w:p>
      <w:pPr>
        <w:pStyle w:val="17"/>
        <w:rPr>
          <w:rFonts w:hint="eastAsia"/>
        </w:rPr>
      </w:pPr>
      <w:r>
        <w:rPr>
          <w:rFonts w:hint="eastAsia"/>
        </w:rPr>
        <w:t>本报告期：2017年01月01日至2017年12月31日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3249"/>
        <w:gridCol w:w="1083"/>
        <w:gridCol w:w="2168"/>
        <w:gridCol w:w="2620"/>
      </w:tblGrid>
      <w:tr>
        <w:tblPrEx>
          <w:tblCellMar>
            <w:top w:w="0" w:type="dxa"/>
            <w:left w:w="108" w:type="dxa"/>
            <w:bottom w:w="0" w:type="dxa"/>
            <w:right w:w="108" w:type="dxa"/>
          </w:tblCellMar>
        </w:tblPrEx>
        <w:trPr>
          <w:wBefore w:w="0" w:type="auto"/>
          <w:trHeight w:val="374" w:hRule="atLeast"/>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108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 </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 </w:t>
            </w:r>
          </w:p>
          <w:p>
            <w:pPr>
              <w:pStyle w:val="18"/>
              <w:wordWrap w:val="0"/>
              <w:rPr>
                <w:rFonts w:hint="eastAsia"/>
              </w:rPr>
            </w:pPr>
            <w:r>
              <w:rPr>
                <w:rFonts w:hint="eastAsia"/>
              </w:rPr>
              <w:t>2016年12月22日（基金合同生效日）至2016年12月31日 </w:t>
            </w:r>
          </w:p>
        </w:tc>
      </w:tr>
      <w:tr>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一、收入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2,178,924.03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-108,163.82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131,154.39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1,275.57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121,270.41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1,275.57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债券利息收入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9,883.98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资产支持证券利息收入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买入返售金融资产收入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其他利息收入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2.投资收益（损失以“-”填列）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3,224,768.48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531.50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1,929,523.47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531.50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13,125.03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7.4.7.13.3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贵金属投资收益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衍生工具收益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股利收益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1,282,119.98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3.公允价值变动收益（损失以“-”号填列）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-1,198,077.65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-109,983.42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4.汇兑收益（损失以“－”号填列）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5.其他收入（损失以“-”号填列）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21,078.81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减：二、费用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8,572,562.44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6,759.89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7.4.10.2.1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1,623,015.99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1,974.16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304,315.56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370.15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13,562.33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248.59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6,450,010.74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3,030.03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5．利息支出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其中：卖出回购金融资产支出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6．其他费用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181,657.82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1,136.96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三、利润总额（亏损总额以“-”号填列）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-6,393,638.41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-114,923.71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减：所得税费用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四、净利润（净亏损以“-”号填列）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-6,393,638.41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-114,923.71</w:t>
            </w:r>
          </w:p>
        </w:tc>
      </w:tr>
    </w:tbl>
    <w:p>
      <w:pPr>
        <w:pStyle w:val="20"/>
        <w:rPr>
          <w:rFonts w:hint="eastAsia"/>
        </w:rPr>
      </w:pPr>
      <w:r>
        <w:rPr>
          <w:rFonts w:hint="eastAsia"/>
        </w:rPr>
        <w:t>注：本基金合同生效日为2016年12月22日，上年度可比期间为2016年12月22日至2016年12月31日。</w:t>
      </w:r>
    </w:p>
    <w:p>
      <w:pPr>
        <w:pStyle w:val="14"/>
        <w:rPr>
          <w:rFonts w:hint="eastAsia"/>
        </w:rPr>
      </w:pPr>
      <w:bookmarkStart w:id="33" w:name="_Toc510100996"/>
      <w:r>
        <w:rPr>
          <w:rFonts w:hint="eastAsia"/>
          <w:b/>
          <w:bCs/>
        </w:rPr>
        <w:t>7.3 所有者权益（基金净值）变动表</w:t>
      </w:r>
      <w:bookmarkEnd w:id="33"/>
    </w:p>
    <w:p>
      <w:pPr>
        <w:pStyle w:val="17"/>
        <w:rPr>
          <w:rFonts w:hint="eastAsia"/>
        </w:rPr>
      </w:pPr>
      <w:r>
        <w:rPr>
          <w:rFonts w:hint="eastAsia"/>
        </w:rPr>
        <w:t>会计主体：创金合信中证1000指数增强型发起式证券投资基金</w:t>
      </w:r>
    </w:p>
    <w:p>
      <w:pPr>
        <w:pStyle w:val="17"/>
        <w:rPr>
          <w:rFonts w:hint="eastAsia"/>
        </w:rPr>
      </w:pPr>
      <w:r>
        <w:rPr>
          <w:rFonts w:hint="eastAsia"/>
        </w:rPr>
        <w:t>本报告期：2017年01月01日至2017年12月31日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3249"/>
        <w:gridCol w:w="1806"/>
        <w:gridCol w:w="1806"/>
        <w:gridCol w:w="2167"/>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 </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10,128,831.96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-115,007.55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10,013,824.41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-6,393,638.41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-6,393,638.41</w:t>
            </w:r>
          </w:p>
        </w:tc>
      </w:tr>
      <w:tr>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210,540,790.73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1,146,319.96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211,687,110.69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220,370,635.75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905,967.13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221,276,602.88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-9,829,845.02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240,352.83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-9,589,492.19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220,669,622.69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-5,362,326.00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215,307,296.69</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 </w:t>
            </w:r>
          </w:p>
          <w:p>
            <w:pPr>
              <w:pStyle w:val="18"/>
              <w:wordWrap w:val="0"/>
              <w:rPr>
                <w:rFonts w:hint="eastAsia"/>
              </w:rPr>
            </w:pPr>
            <w:r>
              <w:rPr>
                <w:rFonts w:hint="eastAsia"/>
              </w:rPr>
              <w:t>2016年12月22日（基金合同生效日）至2016年12月31日 </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10,115,717.42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10,115,717.42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-114,923.71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-114,923.71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13,114.54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-83.84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13,030.70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15,102.70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-1,988.16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18.86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-1,969.30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10,128,831.96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-115,007.55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10,013,824.41</w:t>
            </w:r>
          </w:p>
        </w:tc>
      </w:tr>
    </w:tbl>
    <w:p>
      <w:pPr>
        <w:pStyle w:val="20"/>
        <w:rPr>
          <w:rFonts w:hint="eastAsia"/>
        </w:rPr>
      </w:pPr>
      <w:r>
        <w:rPr>
          <w:rFonts w:hint="eastAsia"/>
        </w:rPr>
        <w:t>注：本基金合同生效日为2016年12月22日，上年度可比期间为2016年12月22日至2016年12月31日。</w:t>
      </w:r>
    </w:p>
    <w:p>
      <w:pPr>
        <w:pStyle w:val="17"/>
        <w:rPr>
          <w:rFonts w:hint="eastAsia"/>
        </w:rPr>
      </w:pPr>
      <w:r>
        <w:rPr>
          <w:rFonts w:hint="eastAsia"/>
        </w:rPr>
        <w:t>报表附注为财务报表的组成部分。</w:t>
      </w:r>
    </w:p>
    <w:p>
      <w:pPr>
        <w:pStyle w:val="17"/>
        <w:rPr>
          <w:rFonts w:hint="eastAsia"/>
        </w:rPr>
      </w:pPr>
      <w:r>
        <w:rPr>
          <w:rFonts w:hint="eastAsia"/>
        </w:rPr>
        <w:t>本报告7.1至7.4财务报表由下列负责人签署:</w:t>
      </w:r>
    </w:p>
    <w:tbl>
      <w:tblPr>
        <w:tblStyle w:val="7"/>
        <w:tblW w:w="0" w:type="auto"/>
        <w:tblInd w:w="108" w:type="dxa"/>
        <w:tblLayout w:type="autofit"/>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pStyle w:val="17"/>
              <w:wordWrap w:val="0"/>
              <w:rPr>
                <w:rFonts w:hint="eastAsia"/>
              </w:rPr>
            </w:pPr>
            <w:r>
              <w:rPr>
                <w:rFonts w:hint="eastAsia" w:hAnsi="Calibri"/>
                <w:color w:val="000000"/>
              </w:rPr>
              <w:t>苏彦祝</w:t>
            </w:r>
          </w:p>
          <w:p>
            <w:pPr>
              <w:pStyle w:val="17"/>
              <w:wordWrap w:val="0"/>
              <w:rPr>
                <w:rFonts w:hint="eastAsia"/>
              </w:rPr>
            </w:pPr>
            <w:r>
              <w:rPr>
                <w:rFonts w:hint="eastAsia"/>
              </w:rPr>
              <w:t>—————————</w:t>
            </w:r>
          </w:p>
          <w:p>
            <w:pPr>
              <w:pStyle w:val="17"/>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17"/>
              <w:wordWrap w:val="0"/>
              <w:rPr>
                <w:rFonts w:hint="eastAsia"/>
              </w:rPr>
            </w:pPr>
            <w:r>
              <w:rPr>
                <w:rFonts w:hint="eastAsia"/>
              </w:rPr>
              <w:t>黄越岷</w:t>
            </w:r>
          </w:p>
          <w:p>
            <w:pPr>
              <w:pStyle w:val="17"/>
              <w:wordWrap w:val="0"/>
              <w:rPr>
                <w:rFonts w:hint="eastAsia"/>
              </w:rPr>
            </w:pPr>
            <w:r>
              <w:rPr>
                <w:rFonts w:hint="eastAsia"/>
              </w:rPr>
              <w:t>—————————</w:t>
            </w:r>
          </w:p>
          <w:p>
            <w:pPr>
              <w:pStyle w:val="17"/>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17"/>
              <w:wordWrap w:val="0"/>
              <w:rPr>
                <w:rFonts w:hint="eastAsia"/>
              </w:rPr>
            </w:pPr>
            <w:r>
              <w:rPr>
                <w:rFonts w:hint="eastAsia"/>
              </w:rPr>
              <w:t>安兆国</w:t>
            </w:r>
          </w:p>
          <w:p>
            <w:pPr>
              <w:pStyle w:val="17"/>
              <w:wordWrap w:val="0"/>
              <w:rPr>
                <w:rFonts w:hint="eastAsia"/>
              </w:rPr>
            </w:pPr>
            <w:r>
              <w:rPr>
                <w:rFonts w:hint="eastAsia"/>
              </w:rPr>
              <w:t>—————————</w:t>
            </w:r>
          </w:p>
          <w:p>
            <w:pPr>
              <w:pStyle w:val="17"/>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14"/>
        <w:rPr>
          <w:rFonts w:hint="eastAsia"/>
        </w:rPr>
      </w:pPr>
      <w:bookmarkStart w:id="34" w:name="_Toc510100997"/>
      <w:r>
        <w:rPr>
          <w:rFonts w:hint="eastAsia"/>
          <w:b/>
          <w:bCs/>
        </w:rPr>
        <w:t>7.4 报表附注</w:t>
      </w:r>
      <w:bookmarkEnd w:id="34"/>
    </w:p>
    <w:p>
      <w:pPr>
        <w:pStyle w:val="15"/>
        <w:rPr>
          <w:rFonts w:hint="eastAsia"/>
        </w:rPr>
      </w:pPr>
      <w:r>
        <w:rPr>
          <w:rFonts w:hint="eastAsia"/>
          <w:b/>
          <w:bCs/>
        </w:rPr>
        <w:t>7.4.1 基金基本情况</w:t>
      </w:r>
    </w:p>
    <w:p>
      <w:pPr>
        <w:pStyle w:val="20"/>
        <w:rPr>
          <w:rFonts w:hint="eastAsia"/>
        </w:rPr>
      </w:pPr>
      <w:r>
        <w:rPr>
          <w:rFonts w:hint="eastAsia"/>
        </w:rPr>
        <w:t>  创金合信中证1000指数增强型发起式证券投资基金(以下简称"本基金")经中国证券监督管理委员会(以下简称"中国证监会")证监许可[2016]1918号《关于准予创金合信中证1000指数增强型发起式证券投资基金注册的批复》核准，由创金合信基金管理有限公司依照《中华人民共和国证券投资基金法》和《创金合信中证1000指数增强型发起式证券投资基金基金合同》负责公开募集。本基金为契约型开放式，存续期限不定，首次设立募集不包括认购资金利息共募集人民币10,115,380.08元，业经普华永道中天会计师事务所(特殊普通合伙)普华永道中天验字(2016)第1553号验资报告予以验证。经向中国证监会备案，《创金合信中证1000指数增强型发起式证券投资基金基金合同》于2016年12月22日正式生效，基金合同生效日的基金份额总额为10,115,717.42份基金份额，其中认购资金利息折合337.34份基金份额。本基金的基金管理人为创金合信基金管理有限公司，基金托管人为中国农业银行股份有限公司(以下简称"中国农业银行")。</w:t>
      </w:r>
      <w:r>
        <w:rPr>
          <w:rFonts w:hint="eastAsia"/>
        </w:rPr>
        <w:br w:type="textWrapping"/>
      </w:r>
      <w:r>
        <w:rPr>
          <w:rFonts w:hint="eastAsia"/>
        </w:rPr>
        <w:t>  本基金为发起式基金，发起资金认购部分为10,000,333.36份基金份额，发起资金认购方承诺使用发起资金认购的基金份额持有期限不少于3年。</w:t>
      </w:r>
      <w:r>
        <w:rPr>
          <w:rFonts w:hint="eastAsia"/>
        </w:rPr>
        <w:br w:type="textWrapping"/>
      </w:r>
      <w:r>
        <w:rPr>
          <w:rFonts w:hint="eastAsia"/>
        </w:rPr>
        <w:t>  根据《中华人民共和国证券投资基金法》和《创金合信中证1000指数增强型发起式证券投资基金基金合同》的有关规定，本基金的投资范围包括国内依法发行上市的股票(包括创业板、中小板以及其他经中国证监会允许基金投资的股票)、债券(包括国债、央行票据、地方政府债、金融债、企业债、公司债、次级债、中期票据、短期融资券、可转换债券、可交换债券等)、债券回购、银行存款、金融衍生品(包括权证、股指期货等)及法律法规或中国证监会允许基金投资的其他金融工具(但须符合中国证监会相关规定)。本基金的业绩比较基准为：中证1000指数收益率×95%+一年期人民币定期存款利率(税后)×5%。</w:t>
      </w:r>
    </w:p>
    <w:p>
      <w:pPr>
        <w:widowControl/>
        <w:jc w:val="left"/>
        <w:rPr>
          <w:rFonts w:hint="eastAsia" w:ascii="宋体" w:hAnsi="宋体" w:cs="宋体"/>
          <w:kern w:val="0"/>
          <w:sz w:val="24"/>
          <w:szCs w:val="24"/>
        </w:rPr>
      </w:pPr>
    </w:p>
    <w:p>
      <w:pPr>
        <w:pStyle w:val="15"/>
        <w:rPr>
          <w:rFonts w:hint="eastAsia"/>
        </w:rPr>
      </w:pPr>
      <w:r>
        <w:rPr>
          <w:rFonts w:hint="eastAsia"/>
          <w:b/>
          <w:bCs/>
        </w:rPr>
        <w:t>7.4.2 会计报表的编制基础</w:t>
      </w:r>
    </w:p>
    <w:p>
      <w:pPr>
        <w:pStyle w:val="20"/>
        <w:rPr>
          <w:rFonts w:hint="eastAsia"/>
        </w:rPr>
      </w:pPr>
      <w:r>
        <w:rPr>
          <w:rFonts w:hint="eastAsia"/>
        </w:rPr>
        <w:t>  本基金的财务报表按照财政部于2006年2月15日及以后期间颁布的《企业会计准则-基本准则》、各项具体会计准则及相关规定(以下合称"企业会计准则")、中国证监会颁布的《证券投资基金信息披露XBRL模板第3号&lt;年度报告和半年度报告&gt;》、中国证券投资基金业协会(以下简称"中国基金业协会")颁布的《证券投资基金会计核算业务指引》、《创金合信中证1000指数增强型发起式证券投资金基金合同》和在财务报表附注7.4.4所列示的中国证监会、中国基金业协会发布的有关规定及允许的基金行业实务操作编制。</w:t>
      </w:r>
    </w:p>
    <w:p>
      <w:pPr>
        <w:widowControl/>
        <w:jc w:val="left"/>
        <w:rPr>
          <w:rFonts w:hint="eastAsia" w:ascii="宋体" w:hAnsi="宋体" w:cs="宋体"/>
          <w:kern w:val="0"/>
          <w:sz w:val="24"/>
          <w:szCs w:val="24"/>
        </w:rPr>
      </w:pPr>
    </w:p>
    <w:p>
      <w:pPr>
        <w:pStyle w:val="15"/>
        <w:rPr>
          <w:rFonts w:hint="eastAsia"/>
        </w:rPr>
      </w:pPr>
      <w:r>
        <w:rPr>
          <w:rFonts w:hint="eastAsia"/>
          <w:b/>
          <w:bCs/>
        </w:rPr>
        <w:t>7.4.3 遵循企业会计准则及其他有关规定的声明</w:t>
      </w:r>
    </w:p>
    <w:p>
      <w:pPr>
        <w:pStyle w:val="20"/>
        <w:rPr>
          <w:rFonts w:hint="eastAsia"/>
        </w:rPr>
      </w:pPr>
      <w:r>
        <w:rPr>
          <w:rFonts w:hint="eastAsia"/>
        </w:rPr>
        <w:t>  本财务报表符合企业会计准则的要求，真实、完整地反映了本基金本报告期末的财务状况以及本报告期间的经营成果和基金净值变动情况等有关信息。</w:t>
      </w:r>
    </w:p>
    <w:p>
      <w:pPr>
        <w:widowControl/>
        <w:jc w:val="left"/>
        <w:rPr>
          <w:rFonts w:hint="eastAsia" w:ascii="宋体" w:hAnsi="宋体" w:cs="宋体"/>
          <w:kern w:val="0"/>
          <w:sz w:val="24"/>
          <w:szCs w:val="24"/>
        </w:rPr>
      </w:pPr>
    </w:p>
    <w:p>
      <w:pPr>
        <w:pStyle w:val="15"/>
        <w:rPr>
          <w:rFonts w:hint="eastAsia"/>
        </w:rPr>
      </w:pPr>
      <w:r>
        <w:rPr>
          <w:rFonts w:hint="eastAsia"/>
          <w:b/>
          <w:bCs/>
        </w:rPr>
        <w:t>7.4.4 重要会计政策和会计估计</w:t>
      </w:r>
    </w:p>
    <w:p>
      <w:pPr>
        <w:widowControl/>
        <w:jc w:val="left"/>
        <w:rPr>
          <w:rFonts w:hint="eastAsia" w:ascii="宋体" w:hAnsi="宋体" w:cs="宋体"/>
          <w:kern w:val="0"/>
          <w:sz w:val="24"/>
          <w:szCs w:val="24"/>
        </w:rPr>
      </w:pPr>
    </w:p>
    <w:p>
      <w:pPr>
        <w:pStyle w:val="15"/>
        <w:rPr>
          <w:rFonts w:hint="eastAsia"/>
        </w:rPr>
      </w:pPr>
      <w:r>
        <w:rPr>
          <w:rFonts w:hint="eastAsia"/>
          <w:b/>
          <w:bCs/>
        </w:rPr>
        <w:t>7.4.4.1 会计年度</w:t>
      </w:r>
    </w:p>
    <w:p>
      <w:pPr>
        <w:pStyle w:val="20"/>
        <w:rPr>
          <w:rFonts w:hint="eastAsia"/>
        </w:rPr>
      </w:pPr>
      <w:r>
        <w:rPr>
          <w:rFonts w:hint="eastAsia"/>
        </w:rPr>
        <w:t>  本基金会计年度为公历1月1日起至12月31日止。</w:t>
      </w:r>
    </w:p>
    <w:p>
      <w:pPr>
        <w:widowControl/>
        <w:jc w:val="left"/>
        <w:rPr>
          <w:rFonts w:hint="eastAsia" w:ascii="宋体" w:hAnsi="宋体" w:cs="宋体"/>
          <w:kern w:val="0"/>
          <w:sz w:val="24"/>
          <w:szCs w:val="24"/>
        </w:rPr>
      </w:pPr>
    </w:p>
    <w:p>
      <w:pPr>
        <w:pStyle w:val="15"/>
        <w:rPr>
          <w:rFonts w:hint="eastAsia"/>
        </w:rPr>
      </w:pPr>
      <w:r>
        <w:rPr>
          <w:rFonts w:hint="eastAsia"/>
          <w:b/>
          <w:bCs/>
        </w:rPr>
        <w:t>7.4.4.2 记账本位币</w:t>
      </w:r>
    </w:p>
    <w:p>
      <w:pPr>
        <w:pStyle w:val="20"/>
        <w:rPr>
          <w:rFonts w:hint="eastAsia"/>
        </w:rPr>
      </w:pPr>
      <w:r>
        <w:rPr>
          <w:rFonts w:hint="eastAsia"/>
        </w:rPr>
        <w:t>  本基金的记账本位币为人民币。</w:t>
      </w:r>
    </w:p>
    <w:p>
      <w:pPr>
        <w:widowControl/>
        <w:jc w:val="left"/>
        <w:rPr>
          <w:rFonts w:hint="eastAsia" w:ascii="宋体" w:hAnsi="宋体" w:cs="宋体"/>
          <w:kern w:val="0"/>
          <w:sz w:val="24"/>
          <w:szCs w:val="24"/>
        </w:rPr>
      </w:pPr>
    </w:p>
    <w:p>
      <w:pPr>
        <w:pStyle w:val="15"/>
        <w:rPr>
          <w:rFonts w:hint="eastAsia"/>
        </w:rPr>
      </w:pPr>
      <w:r>
        <w:rPr>
          <w:rFonts w:hint="eastAsia"/>
          <w:b/>
          <w:bCs/>
        </w:rPr>
        <w:t>7.4.4.3 金融资产和金融负债的分类</w:t>
      </w:r>
    </w:p>
    <w:p>
      <w:pPr>
        <w:pStyle w:val="20"/>
        <w:rPr>
          <w:rFonts w:hint="eastAsia"/>
        </w:rPr>
      </w:pPr>
      <w:r>
        <w:rPr>
          <w:rFonts w:hint="eastAsia"/>
        </w:rPr>
        <w:t>  (1)金融资产的分类</w:t>
      </w:r>
      <w:r>
        <w:rPr>
          <w:rFonts w:hint="eastAsia"/>
        </w:rPr>
        <w:br w:type="textWrapping"/>
      </w:r>
      <w:r>
        <w:rPr>
          <w:rFonts w:hint="eastAsia"/>
        </w:rPr>
        <w:t>  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r>
        <w:rPr>
          <w:rFonts w:hint="eastAsia"/>
        </w:rPr>
        <w:br w:type="textWrapping"/>
      </w:r>
      <w:r>
        <w:rPr>
          <w:rFonts w:hint="eastAsia"/>
        </w:rPr>
        <w:t>  本基金目前以交易目的持有的股票投资、债券投资和衍生工具(主要为权证投资)分类为以公允价值计量且其变动计入当期损益的金融资产。除衍生工具所产生的金融资产在资产负债表中以衍生金融资产列示外，以公允价值计量且其公允价值变动计入损益的金融资产在资产负债表中以交易性金融资产列示。</w:t>
      </w:r>
      <w:r>
        <w:rPr>
          <w:rFonts w:hint="eastAsia"/>
        </w:rPr>
        <w:br w:type="textWrapping"/>
      </w:r>
      <w:r>
        <w:rPr>
          <w:rFonts w:hint="eastAsia"/>
        </w:rPr>
        <w:t>  本基金持有的其他金融资产分类为应收款项，包括银行存款和其他各类应收款项等。应收款项是指在活跃市场中没有报价、回收金额固定或可确定的非衍生金融资产。</w:t>
      </w:r>
      <w:r>
        <w:rPr>
          <w:rFonts w:hint="eastAsia"/>
        </w:rPr>
        <w:br w:type="textWrapping"/>
      </w:r>
      <w:r>
        <w:rPr>
          <w:rFonts w:hint="eastAsia"/>
        </w:rPr>
        <w:t>  (2)金融负债的分类</w:t>
      </w:r>
      <w:r>
        <w:rPr>
          <w:rFonts w:hint="eastAsia"/>
        </w:rPr>
        <w:br w:type="textWrapping"/>
      </w:r>
      <w:r>
        <w:rPr>
          <w:rFonts w:hint="eastAsia"/>
        </w:rPr>
        <w:t>  金融负债于初始确认时分类为：以公允价值计量且其变动计入当期损益的金融负债及其他金融负债。本基金目前暂无金融负债分类为以公允价值计量且其变动计入当期损益的金融负债。本基金持有的其他金融负债包括其他各类应付款项等。</w:t>
      </w:r>
    </w:p>
    <w:p>
      <w:pPr>
        <w:widowControl/>
        <w:jc w:val="left"/>
        <w:rPr>
          <w:rFonts w:hint="eastAsia" w:ascii="宋体" w:hAnsi="宋体" w:cs="宋体"/>
          <w:kern w:val="0"/>
          <w:sz w:val="24"/>
          <w:szCs w:val="24"/>
        </w:rPr>
      </w:pPr>
    </w:p>
    <w:p>
      <w:pPr>
        <w:pStyle w:val="15"/>
        <w:rPr>
          <w:rFonts w:hint="eastAsia"/>
        </w:rPr>
      </w:pPr>
      <w:r>
        <w:rPr>
          <w:rFonts w:hint="eastAsia"/>
          <w:b/>
          <w:bCs/>
        </w:rPr>
        <w:t>7.4.4.4 金融资产和金融负债的初始确认、后续计量和终止确认</w:t>
      </w:r>
    </w:p>
    <w:p>
      <w:pPr>
        <w:pStyle w:val="20"/>
        <w:rPr>
          <w:rFonts w:hint="eastAsia"/>
        </w:rPr>
      </w:pPr>
      <w:r>
        <w:rPr>
          <w:rFonts w:hint="eastAsia"/>
        </w:rPr>
        <w:t>  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r>
        <w:rPr>
          <w:rFonts w:hint="eastAsia"/>
        </w:rPr>
        <w:br w:type="textWrapping"/>
      </w:r>
      <w:r>
        <w:rPr>
          <w:rFonts w:hint="eastAsia"/>
        </w:rPr>
        <w:t>  对于以公允价值计量且其变动计入当期损益的金融资产，按照公允价值进行后续计量；对于应收款项和其他金融负债采用实际利率法，以摊余成本进行后续计量。</w:t>
      </w:r>
      <w:r>
        <w:rPr>
          <w:rFonts w:hint="eastAsia"/>
        </w:rPr>
        <w:br w:type="textWrapping"/>
      </w:r>
      <w:r>
        <w:rPr>
          <w:rFonts w:hint="eastAsia"/>
        </w:rPr>
        <w:t>  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r>
        <w:rPr>
          <w:rFonts w:hint="eastAsia"/>
        </w:rPr>
        <w:br w:type="textWrapping"/>
      </w:r>
      <w:r>
        <w:rPr>
          <w:rFonts w:hint="eastAsia"/>
        </w:rPr>
        <w:t>  金融资产终止确认时，其账面价值与收到的对价的差额，计入当期损益。</w:t>
      </w:r>
      <w:r>
        <w:rPr>
          <w:rFonts w:hint="eastAsia"/>
        </w:rPr>
        <w:br w:type="textWrapping"/>
      </w:r>
      <w:r>
        <w:rPr>
          <w:rFonts w:hint="eastAsia"/>
        </w:rPr>
        <w:t>  当金融负债的现时义务全部或部分已经解除时，终止确认该金融负债或义务已解除的部分。终止确认部分的账面价值与支付的对价之间的差额，计入当期损益。</w:t>
      </w:r>
    </w:p>
    <w:p>
      <w:pPr>
        <w:widowControl/>
        <w:jc w:val="left"/>
        <w:rPr>
          <w:rFonts w:hint="eastAsia" w:ascii="宋体" w:hAnsi="宋体" w:cs="宋体"/>
          <w:kern w:val="0"/>
          <w:sz w:val="24"/>
          <w:szCs w:val="24"/>
        </w:rPr>
      </w:pPr>
    </w:p>
    <w:p>
      <w:pPr>
        <w:pStyle w:val="15"/>
        <w:rPr>
          <w:rFonts w:hint="eastAsia"/>
        </w:rPr>
      </w:pPr>
      <w:r>
        <w:rPr>
          <w:rFonts w:hint="eastAsia"/>
          <w:b/>
          <w:bCs/>
        </w:rPr>
        <w:t>7.4.4.5 金融资产和金融负债的估值原则</w:t>
      </w:r>
    </w:p>
    <w:p>
      <w:pPr>
        <w:pStyle w:val="20"/>
        <w:rPr>
          <w:rFonts w:hint="eastAsia"/>
        </w:rPr>
      </w:pPr>
      <w:r>
        <w:rPr>
          <w:rFonts w:hint="eastAsia"/>
        </w:rPr>
        <w:t>  本基金持有的股票投资和债券投资按如下原则确定公允价值并进行估值：</w:t>
      </w:r>
      <w:r>
        <w:rPr>
          <w:rFonts w:hint="eastAsia"/>
        </w:rPr>
        <w:br w:type="textWrapping"/>
      </w:r>
      <w:r>
        <w:rPr>
          <w:rFonts w:hint="eastAsia"/>
        </w:rPr>
        <w:t>  (1)存在活跃市场的金融工具按其估值日的市场交易价格确定公允价值；估值日无交易且最近交易日后未发生影响公允价值计量的重大事件的，按最近交易日的市场交易价格确定公允价值。有充足证据表明估值日或最近交易日的市场交易价格不能真实反映公允价值的，应对市场交易价格进行调整，确定公允价值。与上述投资品种相同，但具有不同特征的，应以相同资产或负债的公允价值为基础，并在估值技术中考虑不同特征因素的影响。特征是指对资产出售或使用的限制等，如果该限制是针对资产持有者的，那么在估值技术中不应将该限制作为特征考虑。此外，基金管理人不应考虑因大量持有相关资产或负债所产生的溢价或折价。</w:t>
      </w:r>
      <w:r>
        <w:rPr>
          <w:rFonts w:hint="eastAsia"/>
        </w:rPr>
        <w:br w:type="textWrapping"/>
      </w:r>
      <w:r>
        <w:rPr>
          <w:rFonts w:hint="eastAsia"/>
        </w:rPr>
        <w:t>  (2)当金融工具不存在活跃市场，采用在当前情况下适用并且有足够可利用数据和其他信息支持的估值技术确定公允价值。采用估值技术时，优先使用可观察输入值，只有在无法取得相关资产或负债可观察输入值或取得不切实可行的情况下，才可以使用不可观察输入值。</w:t>
      </w:r>
      <w:r>
        <w:rPr>
          <w:rFonts w:hint="eastAsia"/>
        </w:rPr>
        <w:br w:type="textWrapping"/>
      </w:r>
      <w:r>
        <w:rPr>
          <w:rFonts w:hint="eastAsia"/>
        </w:rPr>
        <w:t>  (3)如经济环境发生重大变化或证券发行人发生影响金融工具价格的重大事件，应对估值进行调整并确定公允价值。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7.4.4.6 金融资产和金融负债的抵销</w:t>
      </w:r>
    </w:p>
    <w:p>
      <w:pPr>
        <w:pStyle w:val="20"/>
        <w:rPr>
          <w:rFonts w:hint="eastAsia"/>
        </w:rPr>
      </w:pPr>
      <w:r>
        <w:rPr>
          <w:rFonts w:hint="eastAsia"/>
        </w:rPr>
        <w:t>  本基金持有的资产和承担的负债基本为金融资产和金融负债。当本基金1) 具有抵销已确认金额的法定权利且该种法定权利现在是可执行的；且2) 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15"/>
        <w:rPr>
          <w:rFonts w:hint="eastAsia"/>
        </w:rPr>
      </w:pPr>
      <w:r>
        <w:rPr>
          <w:rFonts w:hint="eastAsia"/>
          <w:b/>
          <w:bCs/>
        </w:rPr>
        <w:t>7.4.4.7 实收基金</w:t>
      </w:r>
    </w:p>
    <w:p>
      <w:pPr>
        <w:pStyle w:val="20"/>
        <w:rPr>
          <w:rFonts w:hint="eastAsia"/>
        </w:rPr>
      </w:pPr>
      <w:r>
        <w:rPr>
          <w:rFonts w:hint="eastAsia"/>
        </w:rPr>
        <w:t>  实收基金为对外发行基金份额所募集的总金额在扣除损益平准金分摊部分后的余额。由于申购和赎回引起的实收基金变动分别于基金申购确认日及基金赎回确认日认列。上述申购和赎回分别包括基金转换所引起的转入基金的实收基金增加和转出基金的实收基金减少。</w:t>
      </w:r>
    </w:p>
    <w:p>
      <w:pPr>
        <w:widowControl/>
        <w:jc w:val="left"/>
        <w:rPr>
          <w:rFonts w:hint="eastAsia" w:ascii="宋体" w:hAnsi="宋体" w:cs="宋体"/>
          <w:kern w:val="0"/>
          <w:sz w:val="24"/>
          <w:szCs w:val="24"/>
        </w:rPr>
      </w:pPr>
    </w:p>
    <w:p>
      <w:pPr>
        <w:pStyle w:val="15"/>
        <w:rPr>
          <w:rFonts w:hint="eastAsia"/>
        </w:rPr>
      </w:pPr>
      <w:r>
        <w:rPr>
          <w:rFonts w:hint="eastAsia"/>
          <w:b/>
          <w:bCs/>
        </w:rPr>
        <w:t>7.4.4.8 损益平准金</w:t>
      </w:r>
    </w:p>
    <w:p>
      <w:pPr>
        <w:pStyle w:val="20"/>
        <w:rPr>
          <w:rFonts w:hint="eastAsia"/>
        </w:rPr>
      </w:pPr>
      <w:r>
        <w:rPr>
          <w:rFonts w:hint="eastAsia"/>
        </w:rPr>
        <w:t>  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确认，并于期末全额转入未分配利润/(累计亏损)。</w:t>
      </w:r>
    </w:p>
    <w:p>
      <w:pPr>
        <w:widowControl/>
        <w:jc w:val="left"/>
        <w:rPr>
          <w:rFonts w:hint="eastAsia" w:ascii="宋体" w:hAnsi="宋体" w:cs="宋体"/>
          <w:kern w:val="0"/>
          <w:sz w:val="24"/>
          <w:szCs w:val="24"/>
        </w:rPr>
      </w:pPr>
    </w:p>
    <w:p>
      <w:pPr>
        <w:pStyle w:val="15"/>
        <w:rPr>
          <w:rFonts w:hint="eastAsia"/>
        </w:rPr>
      </w:pPr>
      <w:r>
        <w:rPr>
          <w:rFonts w:hint="eastAsia"/>
          <w:b/>
          <w:bCs/>
        </w:rPr>
        <w:t>7.4.4.9 收入/（损失）的确认和计量</w:t>
      </w:r>
    </w:p>
    <w:p>
      <w:pPr>
        <w:pStyle w:val="20"/>
        <w:rPr>
          <w:rFonts w:hint="eastAsia"/>
        </w:rPr>
      </w:pPr>
      <w:r>
        <w:rPr>
          <w:rFonts w:hint="eastAsia"/>
        </w:rPr>
        <w:t>  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后的净额确认为利息收入。</w:t>
      </w:r>
      <w:r>
        <w:rPr>
          <w:rFonts w:hint="eastAsia"/>
        </w:rPr>
        <w:br w:type="textWrapping"/>
      </w:r>
      <w:r>
        <w:rPr>
          <w:rFonts w:hint="eastAsia"/>
        </w:rPr>
        <w:t>  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r>
        <w:rPr>
          <w:rFonts w:hint="eastAsia"/>
        </w:rPr>
        <w:br w:type="textWrapping"/>
      </w:r>
      <w:r>
        <w:rPr>
          <w:rFonts w:hint="eastAsia"/>
        </w:rPr>
        <w:t>  应收款项在持有期间确认的利息收入按实际利率法计算，实际利率法与直线法差异较小的则按直线法计算。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7.4.4.10 费用的确认和计量</w:t>
      </w:r>
    </w:p>
    <w:p>
      <w:pPr>
        <w:pStyle w:val="20"/>
        <w:rPr>
          <w:rFonts w:hint="eastAsia"/>
        </w:rPr>
      </w:pPr>
      <w:r>
        <w:rPr>
          <w:rFonts w:hint="eastAsia"/>
        </w:rPr>
        <w:t>  本基金的管理人报酬、托管费和销售服务费在费用涵盖期间按基金合同约定的费率和计算方法逐日确认。</w:t>
      </w:r>
      <w:r>
        <w:rPr>
          <w:rFonts w:hint="eastAsia"/>
        </w:rPr>
        <w:br w:type="textWrapping"/>
      </w:r>
      <w:r>
        <w:rPr>
          <w:rFonts w:hint="eastAsia"/>
        </w:rPr>
        <w:t>  其他金融负债在持有期间确认的利息支出按实际利率法计算，实际利率法与直线法差异较小的则按直线法计算。</w:t>
      </w:r>
      <w:r>
        <w:rPr>
          <w:rFonts w:hint="eastAsia"/>
        </w:rPr>
        <w:br w:type="textWrapping"/>
      </w:r>
      <w:r>
        <w:rPr>
          <w:rFonts w:hint="eastAsia"/>
        </w:rPr>
        <w:t>  </w:t>
      </w:r>
    </w:p>
    <w:p>
      <w:pPr>
        <w:widowControl/>
        <w:jc w:val="left"/>
        <w:rPr>
          <w:rFonts w:hint="eastAsia" w:ascii="宋体" w:hAnsi="宋体" w:cs="宋体"/>
          <w:kern w:val="0"/>
          <w:sz w:val="24"/>
          <w:szCs w:val="24"/>
        </w:rPr>
      </w:pPr>
    </w:p>
    <w:p>
      <w:pPr>
        <w:pStyle w:val="15"/>
        <w:rPr>
          <w:rFonts w:hint="eastAsia"/>
        </w:rPr>
      </w:pPr>
      <w:r>
        <w:rPr>
          <w:rFonts w:hint="eastAsia"/>
          <w:b/>
          <w:bCs/>
        </w:rPr>
        <w:t>7.4.4.11 基金的收益分配政策</w:t>
      </w:r>
    </w:p>
    <w:p>
      <w:pPr>
        <w:pStyle w:val="20"/>
        <w:rPr>
          <w:rFonts w:hint="eastAsia"/>
        </w:rPr>
      </w:pPr>
      <w:r>
        <w:rPr>
          <w:rFonts w:hint="eastAsia"/>
        </w:rPr>
        <w:t>  本基金的收益分配政策为：（1）在符合有关基金分红条件的前提下，本基金每年收益分配次数最多为12次，每份基金份额每次收益分配比例不得低于收益分配基准日每份基金份额该次可供分配利润的10%，若《基金合同》生效不满3个月可不进行收益分配；（2）本基金收益分配方式分两种：现金分红与红利再投资，投资者可选择现金红利或将现金红利自动转为该类别基金份额进行再投资；若投资者不选择，本基金默认的收益分配方式是现金分红；（3）基金收益分配后基金份额净值不能低于面值，即基金收益分配基准日的基金份额净值减去每单位基金份额收益分配金额后不能低于面值；（4）同一类别的每一基金份额享有同等分配权。由于本基金A类基金份额与C类基金份额的基金费用不同，不同类别的基金份额对应的可供分配利润或将不同；（5）法律法规或监管机关另有规定的，从其规定。</w:t>
      </w:r>
    </w:p>
    <w:p>
      <w:pPr>
        <w:widowControl/>
        <w:jc w:val="left"/>
        <w:rPr>
          <w:rFonts w:hint="eastAsia" w:ascii="宋体" w:hAnsi="宋体" w:cs="宋体"/>
          <w:kern w:val="0"/>
          <w:sz w:val="24"/>
          <w:szCs w:val="24"/>
        </w:rPr>
      </w:pPr>
    </w:p>
    <w:p>
      <w:pPr>
        <w:pStyle w:val="15"/>
        <w:rPr>
          <w:rFonts w:hint="eastAsia"/>
        </w:rPr>
      </w:pPr>
      <w:r>
        <w:rPr>
          <w:rFonts w:hint="eastAsia"/>
          <w:b/>
          <w:bCs/>
        </w:rPr>
        <w:t>7.4.4.12 分部报告</w:t>
      </w:r>
    </w:p>
    <w:p>
      <w:pPr>
        <w:pStyle w:val="20"/>
        <w:rPr>
          <w:rFonts w:hint="eastAsia"/>
        </w:rPr>
      </w:pPr>
      <w:r>
        <w:rPr>
          <w:rFonts w:hint="eastAsia"/>
        </w:rPr>
        <w:t>  本基金以内部组织结构、管理要求、内部报告制度为依据确定经营分部，以经营分部为基础确定报告分部并披露分部信息。经营分部是指本基金内同时满足下列条件的组成部分：(1) 该组成部分能够在日常活动中产生收入、发生费用；(2) 本基金的基金管理人能够定期评价该组成部分的经营成果，以决定向其配置资源、评价其业绩；(3) 本基金能够取得该组成部分的财务状况、经营成果和现金流量等有关会计信息。如果两个或多个经营分部具有相似的经济特征，并且满足一定条件的，则合并为一个经营分部。</w:t>
      </w:r>
      <w:r>
        <w:rPr>
          <w:rFonts w:hint="eastAsia"/>
        </w:rPr>
        <w:br w:type="textWrapping"/>
      </w:r>
      <w:r>
        <w:rPr>
          <w:rFonts w:hint="eastAsia"/>
        </w:rPr>
        <w:t>  本基金目前以一个单一的经营分部运作，不需要披露分部信息。</w:t>
      </w:r>
    </w:p>
    <w:p>
      <w:pPr>
        <w:widowControl/>
        <w:jc w:val="left"/>
        <w:rPr>
          <w:rFonts w:hint="eastAsia" w:ascii="宋体" w:hAnsi="宋体" w:cs="宋体"/>
          <w:kern w:val="0"/>
          <w:sz w:val="24"/>
          <w:szCs w:val="24"/>
        </w:rPr>
      </w:pPr>
    </w:p>
    <w:p>
      <w:pPr>
        <w:pStyle w:val="15"/>
        <w:rPr>
          <w:rFonts w:hint="eastAsia"/>
        </w:rPr>
      </w:pPr>
      <w:r>
        <w:rPr>
          <w:rFonts w:hint="eastAsia"/>
          <w:b/>
          <w:bCs/>
        </w:rPr>
        <w:t>7.4.4.13 其他重要的会计政策和会计估计</w:t>
      </w:r>
    </w:p>
    <w:p>
      <w:pPr>
        <w:pStyle w:val="20"/>
        <w:rPr>
          <w:rFonts w:hint="eastAsia"/>
        </w:rPr>
      </w:pPr>
      <w:r>
        <w:rPr>
          <w:rFonts w:hint="eastAsia"/>
        </w:rPr>
        <w:t>  根据本基金的估值原则和中国证监会允许的基金行业估值实务操作，本基金确定以下类别股票投资和债券投资的公允价值时采用的估值方法及其关键假设如下：</w:t>
      </w:r>
      <w:r>
        <w:rPr>
          <w:rFonts w:hint="eastAsia"/>
        </w:rPr>
        <w:br w:type="textWrapping"/>
      </w:r>
      <w:r>
        <w:rPr>
          <w:rFonts w:hint="eastAsia"/>
        </w:rPr>
        <w:t>  (1) 对于证券交易所上市的股票和债券，若出现重大事项停牌或交易不活跃(包括涨跌停时的交易不活跃)等情况，本基金根据中国证监会公告[2017]13号《中国证监会关于证券投资基金估值业务的指导意见》，根据具体情况采用《关于发布中基协(AMAC)基金行业股票估值指数的通知》提供的指数收益法等估值技术进行估值。</w:t>
      </w:r>
      <w:r>
        <w:rPr>
          <w:rFonts w:hint="eastAsia"/>
        </w:rPr>
        <w:br w:type="textWrapping"/>
      </w:r>
      <w:r>
        <w:rPr>
          <w:rFonts w:hint="eastAsia"/>
        </w:rPr>
        <w:t>  (2)对于在证券交易所上市或挂牌转让的固定收益品种(可转换债券、资产支持证券和私募债券除外)及在银行间同业市场交易的固定收益品种，根据中国证监会公告[2017]13号《中国证监会关于证券投资基金估值业务的指导意见》及《中国证券投资基金业协会估值核算工作小组关于2015年1季度固定收益品种的估值处理标准》采用估值技术确定公允价值。本基金持有的证券交易所上市或挂牌转让的固定收益品种(可转换债券、资产支持证券和私募债券除外)，按照中证指数有限公司所独立提供的估值结果确定公允价值。本基金持有的银行间同业市场固定收益品种按照中央国债登记结算有限责任公司所独立提供的估值结果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7.4.5 会计政策和会计估计变更以及差错更正的说明</w:t>
      </w:r>
    </w:p>
    <w:p>
      <w:pPr>
        <w:pStyle w:val="15"/>
        <w:rPr>
          <w:rFonts w:hint="eastAsia"/>
        </w:rPr>
      </w:pPr>
      <w:r>
        <w:rPr>
          <w:rFonts w:hint="eastAsia"/>
          <w:b/>
          <w:bCs/>
        </w:rPr>
        <w:t>7.4.5.1 会计政策变更的说明</w:t>
      </w:r>
    </w:p>
    <w:p>
      <w:pPr>
        <w:pStyle w:val="20"/>
        <w:rPr>
          <w:rFonts w:hint="eastAsia"/>
        </w:rPr>
      </w:pPr>
      <w:r>
        <w:rPr>
          <w:rFonts w:hint="eastAsia"/>
        </w:rPr>
        <w:t>  本基金本报告期未发生会计政策变更。</w:t>
      </w:r>
    </w:p>
    <w:p>
      <w:pPr>
        <w:widowControl/>
        <w:jc w:val="left"/>
        <w:rPr>
          <w:rFonts w:hint="eastAsia" w:ascii="宋体" w:hAnsi="宋体" w:cs="宋体"/>
          <w:kern w:val="0"/>
          <w:sz w:val="24"/>
          <w:szCs w:val="24"/>
        </w:rPr>
      </w:pPr>
    </w:p>
    <w:p>
      <w:pPr>
        <w:pStyle w:val="15"/>
        <w:rPr>
          <w:rFonts w:hint="eastAsia"/>
        </w:rPr>
      </w:pPr>
      <w:r>
        <w:rPr>
          <w:rFonts w:hint="eastAsia"/>
          <w:b/>
          <w:bCs/>
        </w:rPr>
        <w:t>7.4.5.2 会计估计变更的说明</w:t>
      </w:r>
    </w:p>
    <w:p>
      <w:pPr>
        <w:pStyle w:val="20"/>
        <w:rPr>
          <w:rFonts w:hint="eastAsia"/>
        </w:rPr>
      </w:pPr>
      <w:r>
        <w:rPr>
          <w:rFonts w:hint="eastAsia"/>
        </w:rPr>
        <w:t>  本基金本报告期未发生会计估计变更。</w:t>
      </w:r>
    </w:p>
    <w:p>
      <w:pPr>
        <w:widowControl/>
        <w:jc w:val="left"/>
        <w:rPr>
          <w:rFonts w:hint="eastAsia" w:ascii="宋体" w:hAnsi="宋体" w:cs="宋体"/>
          <w:kern w:val="0"/>
          <w:sz w:val="24"/>
          <w:szCs w:val="24"/>
        </w:rPr>
      </w:pPr>
    </w:p>
    <w:p>
      <w:pPr>
        <w:pStyle w:val="15"/>
        <w:rPr>
          <w:rFonts w:hint="eastAsia"/>
        </w:rPr>
      </w:pPr>
      <w:r>
        <w:rPr>
          <w:rFonts w:hint="eastAsia"/>
          <w:b/>
          <w:bCs/>
        </w:rPr>
        <w:t>7.4.5.3 差错更正的说明</w:t>
      </w:r>
    </w:p>
    <w:p>
      <w:pPr>
        <w:pStyle w:val="20"/>
        <w:rPr>
          <w:rFonts w:hint="eastAsia"/>
        </w:rPr>
      </w:pPr>
      <w:r>
        <w:rPr>
          <w:rFonts w:hint="eastAsia"/>
        </w:rPr>
        <w:t>  本基金在本报告期间无须说明的会计差错更正。</w:t>
      </w:r>
    </w:p>
    <w:p>
      <w:pPr>
        <w:widowControl/>
        <w:jc w:val="left"/>
        <w:rPr>
          <w:rFonts w:hint="eastAsia" w:ascii="宋体" w:hAnsi="宋体" w:cs="宋体"/>
          <w:kern w:val="0"/>
          <w:sz w:val="24"/>
          <w:szCs w:val="24"/>
        </w:rPr>
      </w:pPr>
    </w:p>
    <w:p>
      <w:pPr>
        <w:pStyle w:val="15"/>
        <w:rPr>
          <w:rFonts w:hint="eastAsia"/>
        </w:rPr>
      </w:pPr>
      <w:r>
        <w:rPr>
          <w:rFonts w:hint="eastAsia"/>
          <w:b/>
          <w:bCs/>
        </w:rPr>
        <w:t>7.4.6 税项</w:t>
      </w:r>
    </w:p>
    <w:p>
      <w:pPr>
        <w:pStyle w:val="20"/>
        <w:rPr>
          <w:rFonts w:hint="eastAsia"/>
        </w:rPr>
      </w:pPr>
      <w:r>
        <w:rPr>
          <w:rFonts w:hint="eastAsia"/>
        </w:rPr>
        <w:t>  根据财政部、国家税务总局财税[2004]78号《财政部、国家税务总局关于证券投资基金税收政策的通知》、财税[2008]1号《关于企业所得税若干优惠政策的通知》、财税[2012]85号《关于实施上市公司股息红利差别化个人所得税政策有关问题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及其他相关财税法规和实务操作，主要税项列示如下：</w:t>
      </w:r>
      <w:r>
        <w:rPr>
          <w:rFonts w:hint="eastAsia"/>
        </w:rPr>
        <w:br w:type="textWrapping"/>
      </w:r>
      <w:r>
        <w:rPr>
          <w:rFonts w:hint="eastAsia"/>
        </w:rPr>
        <w:t>  (1)于2016年5月1日前，以发行基金方式募集资金不属于营业税征收范围，不征收营业税。对证券投资基金管理人运用基金买卖股票、债券的差价收入免征营业税。自2016年5月1日起，金融业由缴纳营业税改为缴纳增值税。对证券投资基金管理人运用基金买卖股票、债券的转让收入免征增值税，对国债、地方政府债以及金融同业往来利息收入亦免征增值税。</w:t>
      </w:r>
      <w:r>
        <w:rPr>
          <w:rFonts w:hint="eastAsia"/>
        </w:rPr>
        <w:br w:type="textWrapping"/>
      </w:r>
      <w:r>
        <w:rPr>
          <w:rFonts w:hint="eastAsia"/>
        </w:rPr>
        <w:t>  (2)对基金从证券市场中取得的收入，包括买卖股票、债券的差价收入，股票的股息、红利收入，债券的利息收入及其他收入，暂不征收企业所得税。</w:t>
      </w:r>
      <w:r>
        <w:rPr>
          <w:rFonts w:hint="eastAsia"/>
        </w:rPr>
        <w:br w:type="textWrapping"/>
      </w:r>
      <w:r>
        <w:rPr>
          <w:rFonts w:hint="eastAsia"/>
        </w:rPr>
        <w:t>  (3)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r>
        <w:rPr>
          <w:rFonts w:hint="eastAsia"/>
        </w:rPr>
        <w:br w:type="textWrapping"/>
      </w:r>
      <w:r>
        <w:rPr>
          <w:rFonts w:hint="eastAsia"/>
        </w:rPr>
        <w:t>  (4)基金卖出股票按0.1%的税率缴纳股票交易印花税，买入股票不征收股票交易印花税。</w:t>
      </w:r>
    </w:p>
    <w:p>
      <w:pPr>
        <w:widowControl/>
        <w:jc w:val="left"/>
        <w:rPr>
          <w:rFonts w:hint="eastAsia" w:ascii="宋体" w:hAnsi="宋体" w:cs="宋体"/>
          <w:kern w:val="0"/>
          <w:sz w:val="24"/>
          <w:szCs w:val="24"/>
        </w:rPr>
      </w:pPr>
    </w:p>
    <w:p>
      <w:pPr>
        <w:pStyle w:val="15"/>
        <w:rPr>
          <w:rFonts w:hint="eastAsia"/>
        </w:rPr>
      </w:pPr>
      <w:r>
        <w:rPr>
          <w:rFonts w:hint="eastAsia"/>
          <w:b/>
          <w:bCs/>
        </w:rPr>
        <w:t>7.4.7 重要财务报表项目的说明</w:t>
      </w:r>
    </w:p>
    <w:p>
      <w:pPr>
        <w:pStyle w:val="15"/>
        <w:rPr>
          <w:rFonts w:hint="eastAsia"/>
        </w:rPr>
      </w:pPr>
      <w:r>
        <w:rPr>
          <w:rFonts w:hint="eastAsia"/>
          <w:b/>
          <w:bCs/>
        </w:rPr>
        <w:t>7.4.7.1 银行存款</w:t>
      </w:r>
    </w:p>
    <w:p>
      <w:pPr>
        <w:widowControl/>
        <w:jc w:val="left"/>
        <w:rPr>
          <w:rFonts w:hint="eastAsia" w:ascii="宋体" w:hAnsi="宋体" w:cs="宋体"/>
          <w:kern w:val="0"/>
          <w:sz w:val="24"/>
          <w:szCs w:val="24"/>
        </w:rPr>
      </w:pP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2713"/>
        <w:gridCol w:w="3166"/>
        <w:gridCol w:w="3166"/>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3,656,874.22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518,397.12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3,656,874.22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518,397.12</w:t>
            </w:r>
          </w:p>
        </w:tc>
      </w:tr>
    </w:tbl>
    <w:p>
      <w:pPr>
        <w:widowControl/>
        <w:jc w:val="left"/>
        <w:rPr>
          <w:rFonts w:hint="eastAsia" w:ascii="宋体" w:hAnsi="宋体" w:cs="宋体"/>
          <w:kern w:val="0"/>
          <w:sz w:val="24"/>
          <w:szCs w:val="24"/>
        </w:rPr>
      </w:pPr>
    </w:p>
    <w:p>
      <w:pPr>
        <w:pStyle w:val="15"/>
        <w:rPr>
          <w:rFonts w:hint="eastAsia"/>
        </w:rPr>
      </w:pPr>
      <w:r>
        <w:rPr>
          <w:rFonts w:hint="eastAsia"/>
          <w:b/>
          <w:bCs/>
        </w:rPr>
        <w:t>7.4.7.2 交易性金融资产</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2526"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本期末2017年12月31日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197,395,992.93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196,110,171.06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-1,285,821.87</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11,120,100.00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11,097,860.80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-22,239.20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11,120,100.00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11,097,860.80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-22,239.20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208,516,092.93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207,208,031.86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-1,308,061.07</w:t>
            </w:r>
          </w:p>
        </w:tc>
      </w:tr>
      <w:tr>
        <w:tblPrEx>
          <w:tblCellMar>
            <w:top w:w="0" w:type="dxa"/>
            <w:left w:w="108" w:type="dxa"/>
            <w:bottom w:w="0" w:type="dxa"/>
            <w:right w:w="108" w:type="dxa"/>
          </w:tblCellMar>
        </w:tblPrEx>
        <w:trPr>
          <w:wBefore w:w="0" w:type="auto"/>
        </w:trPr>
        <w:tc>
          <w:tcPr>
            <w:tcW w:w="2526"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上年度末2016年12月31日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9,613,184.42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9,503,201.00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-109,983.42</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9,613,184.42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9,503,201.00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-109,983.42</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widowControl/>
        <w:jc w:val="left"/>
        <w:rPr>
          <w:rFonts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7.4.7.3 衍生金融资产/负债</w:t>
      </w:r>
    </w:p>
    <w:p>
      <w:pPr>
        <w:pStyle w:val="20"/>
        <w:rPr>
          <w:rFonts w:hint="eastAsia"/>
        </w:rPr>
      </w:pPr>
      <w:r>
        <w:rPr>
          <w:rFonts w:hint="eastAsia"/>
        </w:rPr>
        <w:t>本基金于本期末及上年度末均未持有衍生金融资产/负债。</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7.4.7.4 买入返售金融资产</w:t>
      </w:r>
    </w:p>
    <w:p>
      <w:pPr>
        <w:pStyle w:val="15"/>
        <w:rPr>
          <w:rFonts w:hint="eastAsia"/>
        </w:rPr>
      </w:pPr>
      <w:r>
        <w:rPr>
          <w:rFonts w:hint="eastAsia"/>
          <w:b/>
          <w:bCs/>
        </w:rPr>
        <w:t>7.4.7.4.1 各项买入返售金融资产期末余额</w:t>
      </w:r>
    </w:p>
    <w:p>
      <w:pPr>
        <w:pStyle w:val="20"/>
        <w:rPr>
          <w:rFonts w:hint="eastAsia"/>
        </w:rPr>
      </w:pPr>
      <w:r>
        <w:rPr>
          <w:rFonts w:hint="eastAsia"/>
        </w:rPr>
        <w:t>本基金于本期末及上年度末均未持有买入返售金融资产。</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7.4.7.4.2 期末买断式逆回购交易中取得的债券</w:t>
      </w:r>
    </w:p>
    <w:p>
      <w:pPr>
        <w:pStyle w:val="20"/>
        <w:rPr>
          <w:rFonts w:hint="eastAsia"/>
        </w:rPr>
      </w:pPr>
      <w:r>
        <w:rPr>
          <w:rFonts w:hint="eastAsia"/>
        </w:rPr>
        <w:t>本基金本期末及上年度末未持有买断式逆回购交易中取得的债券。</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7.4.7.5 应收利息</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1,997.46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1,073.26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1,490.50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62,107.83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65,650.24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1,073.26</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widowControl/>
        <w:jc w:val="left"/>
        <w:rPr>
          <w:rFonts w:ascii="宋体" w:hAnsi="宋体" w:cs="宋体"/>
          <w:kern w:val="0"/>
          <w:sz w:val="24"/>
          <w:szCs w:val="24"/>
        </w:rPr>
      </w:pPr>
    </w:p>
    <w:p>
      <w:pPr>
        <w:pStyle w:val="15"/>
        <w:rPr>
          <w:rFonts w:hint="eastAsia"/>
        </w:rPr>
      </w:pPr>
      <w:r>
        <w:rPr>
          <w:rFonts w:hint="eastAsia"/>
          <w:b/>
          <w:bCs/>
        </w:rPr>
        <w:t>7.4.7.6 其他资产</w:t>
      </w:r>
    </w:p>
    <w:p>
      <w:pPr>
        <w:pStyle w:val="20"/>
        <w:rPr>
          <w:rFonts w:hint="eastAsia"/>
        </w:rPr>
      </w:pPr>
      <w:r>
        <w:rPr>
          <w:rFonts w:hint="eastAsia"/>
        </w:rPr>
        <w:t>本基金本期末及上年度末均未持有其他资产。</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7.4.7.7 应付交易费用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98"/>
        <w:gridCol w:w="289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1,014,705.99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2,118.43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1,014,705.99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2,118.43</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7.4.7.8 其他负债</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1,086.96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145,000.62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1,086.96</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7.4.7.9 实收基金</w:t>
      </w:r>
    </w:p>
    <w:p>
      <w:pPr>
        <w:pStyle w:val="15"/>
        <w:rPr>
          <w:rFonts w:hint="eastAsia"/>
        </w:rPr>
      </w:pPr>
      <w:r>
        <w:rPr>
          <w:rFonts w:hint="eastAsia" w:hAnsi="Calibri"/>
          <w:b/>
          <w:color w:val="000000"/>
        </w:rPr>
        <w:t>7.4.7.9.1 创金合信中证1000增强A</w:t>
      </w:r>
    </w:p>
    <w:p>
      <w:pPr>
        <w:widowControl/>
        <w:spacing w:before="100" w:beforeAutospacing="1" w:after="100" w:afterAutospacing="1"/>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(创金合信中证1000增强A)</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5,022,559.69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5,022,559.69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207,633,428.57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207,633,428.57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-2,240,293.50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-2,240,293.50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210,415,694.76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210,415,694.76</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7.4.7.9.2 创金合信中证1000增强C</w:t>
      </w:r>
    </w:p>
    <w:p>
      <w:pPr>
        <w:widowControl/>
        <w:spacing w:before="100" w:beforeAutospacing="1" w:after="100" w:afterAutospacing="1"/>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(创金合信中证1000增强C)</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5,106,272.27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5,106,272.27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12,737,207.18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12,737,207.18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-7,589,551.52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-7,589,551.52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10,253,927.93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10,253,927.93</w:t>
            </w:r>
          </w:p>
        </w:tc>
      </w:tr>
    </w:tbl>
    <w:p>
      <w:pPr>
        <w:pStyle w:val="20"/>
        <w:rPr>
          <w:rFonts w:hint="eastAsia"/>
        </w:rPr>
      </w:pPr>
      <w:r>
        <w:rPr>
          <w:rFonts w:hint="eastAsia"/>
        </w:rPr>
        <w:t>注：申购含红利再投、转换入份(金)额；赎回含转换出份(金)额。</w:t>
      </w:r>
    </w:p>
    <w:p>
      <w:pPr>
        <w:widowControl/>
        <w:jc w:val="left"/>
        <w:rPr>
          <w:rFonts w:hint="eastAsia" w:ascii="宋体" w:hAnsi="宋体" w:cs="宋体"/>
          <w:kern w:val="0"/>
          <w:sz w:val="24"/>
          <w:szCs w:val="24"/>
        </w:rPr>
      </w:pPr>
    </w:p>
    <w:p>
      <w:pPr>
        <w:pStyle w:val="15"/>
        <w:rPr>
          <w:rFonts w:hint="eastAsia"/>
        </w:rPr>
      </w:pPr>
      <w:r>
        <w:rPr>
          <w:rFonts w:hint="eastAsia"/>
          <w:b/>
          <w:bCs/>
        </w:rPr>
        <w:t>7.4.7.10 未分配利润</w:t>
      </w:r>
    </w:p>
    <w:p>
      <w:pPr>
        <w:pStyle w:val="15"/>
        <w:rPr>
          <w:rFonts w:hint="eastAsia"/>
        </w:rPr>
      </w:pPr>
      <w:r>
        <w:rPr>
          <w:rFonts w:hint="eastAsia" w:hAnsi="Calibri"/>
          <w:b/>
          <w:color w:val="000000"/>
        </w:rPr>
        <w:t>7.4.7.10.1 创金合信中证1000增强A</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(创金合信中证1000增强A)</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-2,326.70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-54,576.76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-56,903.46</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-4,982,142.06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-1,222,499.04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-6,204,641.10</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-677,777.64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1,829,169.17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1,151,391.53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-712,190.40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1,812,266.61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1,100,076.21</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34,412.76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16,902.56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51,315.32</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-5,662,246.40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552,093.37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-5,110,153.03</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7.4.7.10.2 创金合信中证1000增强C</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(创金合信中证1000增强C)</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-2,618.03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-55,486.06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-58,104.09</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-213,418.70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24,421.39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-188,997.31</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-63,047.23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57,975.66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-5,071.57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-142,286.47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-51,822.61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-194,109.08</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79,239.24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109,798.27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189,037.51</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-279,083.96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26,910.99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-252,172.97</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109"/>
        <w:gridCol w:w="3681"/>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上年度可比期间2016年12月22日（基金合同生效日）至2016年12月31日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78,276.59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1,275.57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41,655.28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1,338.54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121,270.41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1,275.57</w:t>
            </w:r>
          </w:p>
        </w:tc>
      </w:tr>
    </w:tbl>
    <w:p>
      <w:pPr>
        <w:widowControl/>
        <w:jc w:val="left"/>
        <w:rPr>
          <w:rFonts w:hint="eastAsia" w:ascii="宋体" w:hAnsi="宋体" w:cs="宋体"/>
          <w:kern w:val="0"/>
          <w:sz w:val="24"/>
          <w:szCs w:val="24"/>
        </w:rPr>
      </w:pPr>
    </w:p>
    <w:p>
      <w:pPr>
        <w:pStyle w:val="15"/>
        <w:rPr>
          <w:rFonts w:hint="eastAsia"/>
        </w:rPr>
      </w:pPr>
      <w:r>
        <w:rPr>
          <w:rFonts w:hint="eastAsia"/>
          <w:b/>
          <w:bCs/>
        </w:rPr>
        <w:t>7.4.7.12 股票投资收益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2016年12月22日（基金合同生效日）至2016年12月31日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3,437,366,302.03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49,824.00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减：卖出股票成本总额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3,435,436,778.56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49,292.50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买卖股票差价收入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1,929,523.47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531.50</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7.4.7.13 债券投资收益</w:t>
      </w:r>
    </w:p>
    <w:p>
      <w:pPr>
        <w:pStyle w:val="15"/>
        <w:rPr>
          <w:rFonts w:hint="eastAsia"/>
        </w:rPr>
      </w:pPr>
      <w:r>
        <w:rPr>
          <w:rFonts w:hint="eastAsia"/>
          <w:b/>
          <w:bCs/>
        </w:rPr>
        <w:t>7.4.7.13.1 债券投资收益项目构成</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6"/>
        <w:gridCol w:w="2298"/>
        <w:gridCol w:w="3581"/>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2016年12月22日（基金合同生效日）至2016年12月31日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债券投资收益——买卖债券（、债转股及债券到期兑付）差价收入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13,125.03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债券投资收益——赎回差价收入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债券投资收益——申购差价收入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13,125.03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7.4.7.13.2 债券投资收益——买卖债券差价收入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6"/>
        <w:gridCol w:w="2298"/>
        <w:gridCol w:w="3581"/>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2016年12月22日（基金合同生效日）至2016年12月31日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卖出债券（、债转股及债券到期兑付）成交总额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487,810.50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减：卖出债券（、债转股及债券到期兑付）成本总额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472,500.00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减：应收利息总额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2,185.47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买卖债券差价收入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13,125.03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7.4.7.13.3 资产支持证券投资收益</w:t>
      </w:r>
    </w:p>
    <w:p>
      <w:pPr>
        <w:pStyle w:val="20"/>
        <w:rPr>
          <w:rFonts w:hint="eastAsia"/>
        </w:rPr>
      </w:pPr>
      <w:r>
        <w:rPr>
          <w:rFonts w:hint="eastAsia"/>
        </w:rPr>
        <w:t>本基金于本期及上年度可比期间均未发生资产支持证券投资收益。</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7.4.7.14 衍生工具收益</w:t>
      </w:r>
    </w:p>
    <w:p>
      <w:pPr>
        <w:pStyle w:val="15"/>
        <w:rPr>
          <w:rFonts w:hint="eastAsia"/>
        </w:rPr>
      </w:pPr>
      <w:r>
        <w:rPr>
          <w:rFonts w:hint="eastAsia"/>
          <w:b/>
          <w:bCs/>
        </w:rPr>
        <w:t>7.4.7.14.1 衍生工具收益——买卖权证差价收入</w:t>
      </w:r>
    </w:p>
    <w:p>
      <w:pPr>
        <w:pStyle w:val="20"/>
        <w:rPr>
          <w:rFonts w:hint="eastAsia"/>
        </w:rPr>
      </w:pPr>
      <w:r>
        <w:rPr>
          <w:rFonts w:hint="eastAsia"/>
        </w:rPr>
        <w:t>本基金于本期及上年度可比期间均未发生衍生工具收益。</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7.4.7.15 股利收益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2016年12月22日（基金合同生效日）至2016年12月31日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1,282,119.98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1,282,119.98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7.4.7.16 公允价值变动收益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2016年12月22日（基金合同生效日）至2016年12月31日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-1,198,077.65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-109,983.42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-1,175,838.45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-109,983.42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-22,239.20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-1,198,077.65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-109,983.42</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7.4.7.17 其他收入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2016年12月22日（基金合同生效日）至2016年12月31日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基金赎回费收入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21,076.14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基金转换费收入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21,078.81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12.53</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7.4.7.18 交易费用</w:t>
      </w:r>
    </w:p>
    <w:p>
      <w:pPr>
        <w:pStyle w:val="19"/>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2016年12月22日（基金合同生效日）至2016年12月31日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6,450,010.74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3,030.03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6,450,010.74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3,030.03</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7.4.7.19 其他费用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2016年12月22日（基金合同生效日）至2016年12月31日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汇划手续费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6,107.82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账户维护费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指数使用费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1,086.96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181,657.82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1,136.96</w:t>
            </w:r>
          </w:p>
        </w:tc>
      </w:tr>
    </w:tbl>
    <w:p>
      <w:pPr>
        <w:widowControl/>
        <w:jc w:val="left"/>
        <w:rPr>
          <w:rFonts w:hint="eastAsia" w:ascii="宋体" w:hAnsi="宋体" w:cs="宋体"/>
          <w:kern w:val="0"/>
          <w:sz w:val="24"/>
          <w:szCs w:val="24"/>
        </w:rPr>
      </w:pPr>
    </w:p>
    <w:p>
      <w:pPr>
        <w:pStyle w:val="15"/>
        <w:rPr>
          <w:rFonts w:hint="eastAsia"/>
        </w:rPr>
      </w:pPr>
      <w:r>
        <w:rPr>
          <w:rFonts w:hint="eastAsia"/>
          <w:b/>
          <w:bCs/>
        </w:rPr>
        <w:t>7.4.8 或有事项、资产负债表日后事项的说明</w:t>
      </w:r>
    </w:p>
    <w:p>
      <w:pPr>
        <w:pStyle w:val="15"/>
        <w:rPr>
          <w:rFonts w:hint="eastAsia"/>
        </w:rPr>
      </w:pPr>
      <w:r>
        <w:rPr>
          <w:rFonts w:hint="eastAsia"/>
          <w:b/>
          <w:bCs/>
        </w:rPr>
        <w:t>7.4.8.1 或有事项</w:t>
      </w:r>
    </w:p>
    <w:p>
      <w:pPr>
        <w:pStyle w:val="20"/>
        <w:rPr>
          <w:rFonts w:hint="eastAsia"/>
        </w:rPr>
      </w:pPr>
      <w:r>
        <w:rPr>
          <w:rFonts w:hint="eastAsia"/>
        </w:rPr>
        <w:t>  截至资产负债表日，本基金并无须作披露的或有事项。</w:t>
      </w:r>
    </w:p>
    <w:p>
      <w:pPr>
        <w:widowControl/>
        <w:jc w:val="left"/>
        <w:rPr>
          <w:rFonts w:hint="eastAsia" w:ascii="宋体" w:hAnsi="宋体" w:cs="宋体"/>
          <w:kern w:val="0"/>
          <w:sz w:val="24"/>
          <w:szCs w:val="24"/>
        </w:rPr>
      </w:pPr>
    </w:p>
    <w:p>
      <w:pPr>
        <w:pStyle w:val="15"/>
        <w:rPr>
          <w:rFonts w:hint="eastAsia"/>
        </w:rPr>
      </w:pPr>
      <w:r>
        <w:rPr>
          <w:rFonts w:hint="eastAsia"/>
          <w:b/>
          <w:bCs/>
        </w:rPr>
        <w:t>7.4.8.2 资产负债表日后事项</w:t>
      </w:r>
    </w:p>
    <w:p>
      <w:pPr>
        <w:pStyle w:val="20"/>
        <w:rPr>
          <w:rFonts w:hint="eastAsia"/>
        </w:rPr>
      </w:pPr>
      <w:r>
        <w:rPr>
          <w:rFonts w:hint="eastAsia"/>
        </w:rPr>
        <w:t>  截至财务报表报出日，本基金并无须作披露的资产负债表日后事项。</w:t>
      </w:r>
    </w:p>
    <w:p>
      <w:pPr>
        <w:widowControl/>
        <w:jc w:val="left"/>
        <w:rPr>
          <w:rFonts w:hint="eastAsia" w:ascii="宋体" w:hAnsi="宋体" w:cs="宋体"/>
          <w:kern w:val="0"/>
          <w:sz w:val="24"/>
          <w:szCs w:val="24"/>
        </w:rPr>
      </w:pPr>
    </w:p>
    <w:p>
      <w:pPr>
        <w:pStyle w:val="15"/>
        <w:rPr>
          <w:rFonts w:hint="eastAsia"/>
        </w:rPr>
      </w:pPr>
      <w:r>
        <w:rPr>
          <w:rFonts w:hint="eastAsia"/>
          <w:b/>
          <w:bCs/>
        </w:rPr>
        <w:t>7.4.9 关联方关系</w:t>
      </w:r>
    </w:p>
    <w:p>
      <w:pPr>
        <w:pStyle w:val="20"/>
        <w:rPr>
          <w:rFonts w:hint="eastAsia"/>
        </w:rPr>
      </w:pPr>
      <w:r>
        <w:rPr>
          <w:rFonts w:hint="eastAsia"/>
        </w:rPr>
        <w:t>  本报告期不存在重大关联方发生变化的情况。</w:t>
      </w:r>
    </w:p>
    <w:p>
      <w:pPr>
        <w:widowControl/>
        <w:jc w:val="left"/>
        <w:rPr>
          <w:rFonts w:hint="eastAsia" w:ascii="宋体" w:hAnsi="宋体" w:cs="宋体"/>
          <w:kern w:val="0"/>
          <w:sz w:val="24"/>
          <w:szCs w:val="24"/>
        </w:rPr>
      </w:pPr>
    </w:p>
    <w:tbl>
      <w:tblPr>
        <w:tblStyle w:val="7"/>
        <w:tblW w:w="0" w:type="auto"/>
        <w:tblInd w:w="108" w:type="dxa"/>
        <w:tblLayout w:type="autofit"/>
        <w:tblCellMar>
          <w:top w:w="0" w:type="dxa"/>
          <w:left w:w="108" w:type="dxa"/>
          <w:bottom w:w="0" w:type="dxa"/>
          <w:right w:w="108" w:type="dxa"/>
        </w:tblCellMar>
      </w:tblPr>
      <w:tblGrid>
        <w:gridCol w:w="4821"/>
        <w:gridCol w:w="4377"/>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农业银行股份有限公司(“农业银行”)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基金托管人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w:t>
            </w:r>
          </w:p>
        </w:tc>
      </w:tr>
    </w:tbl>
    <w:p>
      <w:pPr>
        <w:widowControl/>
        <w:jc w:val="left"/>
        <w:rPr>
          <w:rFonts w:hint="eastAsia" w:ascii="宋体" w:hAnsi="宋体" w:cs="宋体"/>
          <w:kern w:val="0"/>
          <w:sz w:val="24"/>
          <w:szCs w:val="24"/>
        </w:rPr>
      </w:pPr>
    </w:p>
    <w:p>
      <w:pPr>
        <w:pStyle w:val="15"/>
        <w:rPr>
          <w:rFonts w:hint="eastAsia"/>
        </w:rPr>
      </w:pPr>
      <w:r>
        <w:rPr>
          <w:rFonts w:hint="eastAsia"/>
          <w:b/>
          <w:bCs/>
        </w:rPr>
        <w:t>7.4.10 本报告期及上年度可比期间的关联方交易</w:t>
      </w:r>
    </w:p>
    <w:p>
      <w:pPr>
        <w:pStyle w:val="15"/>
        <w:rPr>
          <w:rFonts w:hint="eastAsia"/>
        </w:rPr>
      </w:pPr>
      <w:r>
        <w:rPr>
          <w:rFonts w:hint="eastAsia"/>
          <w:b/>
          <w:bCs/>
        </w:rPr>
        <w:t>7.4.10.1 通过关联方交易单元进行的交易</w:t>
      </w:r>
    </w:p>
    <w:p>
      <w:pPr>
        <w:pStyle w:val="15"/>
        <w:rPr>
          <w:rFonts w:hint="eastAsia"/>
        </w:rPr>
      </w:pPr>
      <w:r>
        <w:rPr>
          <w:rFonts w:hint="eastAsia"/>
          <w:b/>
          <w:bCs/>
        </w:rPr>
        <w:t>7.4.10.1.1 股票交易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1"/>
        <w:gridCol w:w="1197"/>
        <w:gridCol w:w="1612"/>
        <w:gridCol w:w="985"/>
        <w:gridCol w:w="2140"/>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2016年12月22日（基金合同生效日）至2016年12月31日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4,202,818,751.90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7.4.10.1.2 权证交易</w:t>
      </w:r>
    </w:p>
    <w:p>
      <w:pPr>
        <w:pStyle w:val="20"/>
        <w:rPr>
          <w:rFonts w:hint="eastAsia"/>
        </w:rPr>
      </w:pPr>
      <w:r>
        <w:rPr>
          <w:rFonts w:hint="eastAsia"/>
        </w:rPr>
        <w:t>本基金于本期及上年度可比期间未通过关联方交易单元进行权证交易。</w:t>
      </w:r>
    </w:p>
    <w:p>
      <w:pPr>
        <w:widowControl/>
        <w:jc w:val="left"/>
        <w:rPr>
          <w:rFonts w:hint="eastAsia" w:ascii="宋体" w:hAnsi="宋体" w:cs="宋体"/>
          <w:kern w:val="0"/>
          <w:sz w:val="24"/>
          <w:szCs w:val="24"/>
        </w:rPr>
      </w:pPr>
    </w:p>
    <w:p>
      <w:pPr>
        <w:pStyle w:val="15"/>
        <w:rPr>
          <w:rFonts w:hint="eastAsia"/>
        </w:rPr>
      </w:pPr>
      <w:r>
        <w:rPr>
          <w:rFonts w:hint="eastAsia"/>
          <w:b/>
          <w:bCs/>
        </w:rPr>
        <w:t>7.4.10.1.3 应支付关联方的佣金</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1"/>
        <w:gridCol w:w="1104"/>
        <w:gridCol w:w="1610"/>
        <w:gridCol w:w="1357"/>
        <w:gridCol w:w="1863"/>
      </w:tblGrid>
      <w:tr>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1,764,418.52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1,014,705.99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w:t>
            </w:r>
          </w:p>
        </w:tc>
      </w:tr>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2016年12月22日至2016年12月31日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gridSpan w:val="5"/>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r>
    </w:tbl>
    <w:p>
      <w:pPr>
        <w:pStyle w:val="20"/>
      </w:pPr>
      <w:r>
        <w:rPr>
          <w:rFonts w:hint="eastAsia"/>
        </w:rPr>
        <w:t>注：1.上述佣金参考市场价格经本基金的基金管理人与对方协商确定，以扣除由中国证券登记结算有限责任公司收取的证管费和经手费的净额列示。</w:t>
      </w:r>
      <w:r>
        <w:rPr>
          <w:rFonts w:hint="eastAsia"/>
        </w:rPr>
        <w:br w:type="textWrapping"/>
      </w:r>
      <w:r>
        <w:rPr>
          <w:rFonts w:hint="eastAsia"/>
        </w:rPr>
        <w:t>2.该类佣金协议的服务范围还包括佣金收取方为本基金提供的证券投资研究成果和市场信息服务等。</w:t>
      </w:r>
    </w:p>
    <w:p>
      <w:pPr>
        <w:widowControl/>
        <w:jc w:val="left"/>
        <w:rPr>
          <w:rFonts w:hint="eastAsia" w:ascii="宋体" w:hAnsi="宋体" w:cs="宋体"/>
          <w:kern w:val="0"/>
          <w:sz w:val="24"/>
          <w:szCs w:val="24"/>
        </w:rPr>
      </w:pPr>
    </w:p>
    <w:p>
      <w:pPr>
        <w:pStyle w:val="15"/>
        <w:rPr>
          <w:rFonts w:hint="eastAsia"/>
        </w:rPr>
      </w:pPr>
      <w:r>
        <w:rPr>
          <w:rFonts w:hint="eastAsia"/>
          <w:b/>
          <w:bCs/>
        </w:rPr>
        <w:t>7.4.10.1.4 债券交易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1"/>
        <w:gridCol w:w="1034"/>
        <w:gridCol w:w="1803"/>
        <w:gridCol w:w="907"/>
        <w:gridCol w:w="2190"/>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2016年12月22日（基金合同生效日）至2016年12月31日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占当期债券买卖成交总额的比例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占当期债券买卖成交总额的比例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11,469,138.01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7.4.10.1.5 债券回购交易</w:t>
      </w:r>
    </w:p>
    <w:p>
      <w:pPr>
        <w:widowControl/>
        <w:jc w:val="left"/>
        <w:rPr>
          <w:rFonts w:hint="eastAsia" w:ascii="宋体" w:hAnsi="宋体" w:cs="宋体"/>
          <w:kern w:val="0"/>
          <w:sz w:val="24"/>
          <w:szCs w:val="24"/>
        </w:rPr>
      </w:pPr>
    </w:p>
    <w:p>
      <w:pPr>
        <w:pStyle w:val="15"/>
        <w:rPr>
          <w:rFonts w:hint="eastAsia"/>
        </w:rPr>
      </w:pPr>
      <w:r>
        <w:rPr>
          <w:rFonts w:hint="eastAsia"/>
          <w:b/>
          <w:bCs/>
        </w:rPr>
        <w:t>7.4.10.2 关联方报酬</w:t>
      </w:r>
    </w:p>
    <w:p>
      <w:pPr>
        <w:pStyle w:val="15"/>
        <w:rPr>
          <w:rFonts w:hint="eastAsia"/>
        </w:rPr>
      </w:pPr>
      <w:r>
        <w:rPr>
          <w:rFonts w:hint="eastAsia"/>
          <w:b/>
          <w:bCs/>
        </w:rPr>
        <w:t>7.4.10.2.1 基金管理费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831"/>
        <w:gridCol w:w="2039"/>
        <w:gridCol w:w="317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2016年12月22日（基金合同生效日）至2016年12月31日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1,623,015.99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1,974.16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17,620.46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10.96</w:t>
            </w:r>
          </w:p>
        </w:tc>
      </w:tr>
    </w:tbl>
    <w:p>
      <w:pPr>
        <w:pStyle w:val="20"/>
        <w:rPr>
          <w:rFonts w:hint="eastAsia"/>
        </w:rPr>
      </w:pPr>
      <w:r>
        <w:rPr>
          <w:rFonts w:hint="eastAsia"/>
        </w:rPr>
        <w:t>注：本基金的管理费按前一日基金资产净值的0.80%年费率计提。管理费的计算方法如下：</w:t>
      </w:r>
      <w:r>
        <w:rPr>
          <w:rFonts w:hint="eastAsia"/>
        </w:rPr>
        <w:br w:type="textWrapping"/>
      </w:r>
      <w:r>
        <w:rPr>
          <w:rFonts w:hint="eastAsia"/>
        </w:rPr>
        <w:t>H＝E×0.80%÷当年天数</w:t>
      </w:r>
      <w:r>
        <w:rPr>
          <w:rFonts w:hint="eastAsia"/>
        </w:rPr>
        <w:br w:type="textWrapping"/>
      </w:r>
      <w:r>
        <w:rPr>
          <w:rFonts w:hint="eastAsia"/>
        </w:rPr>
        <w:t>H为每日应计提的基金管理费</w:t>
      </w:r>
      <w:r>
        <w:rPr>
          <w:rFonts w:hint="eastAsia"/>
        </w:rPr>
        <w:br w:type="textWrapping"/>
      </w:r>
      <w:r>
        <w:rPr>
          <w:rFonts w:hint="eastAsia"/>
        </w:rPr>
        <w:t>E为前一日的基金资产净值</w:t>
      </w:r>
      <w:r>
        <w:rPr>
          <w:rFonts w:hint="eastAsia"/>
        </w:rPr>
        <w:br w:type="textWrapping"/>
      </w:r>
      <w:r>
        <w:rPr>
          <w:rFonts w:hint="eastAsia"/>
        </w:rPr>
        <w:t>基金管理费每日计算，逐日累计至每月月末，按月支付，经基金管理人与基金托管人双方核对无误后，基金托管人按照与基金管理人协商一致的方式于次月前5个工作日内从基金财产中一次性支付给基金管理人。若遇法定节假日、公休假等，支付日期顺延。</w:t>
      </w:r>
    </w:p>
    <w:p>
      <w:pPr>
        <w:widowControl/>
        <w:jc w:val="left"/>
        <w:rPr>
          <w:rFonts w:hint="eastAsia" w:ascii="宋体" w:hAnsi="宋体" w:cs="宋体"/>
          <w:kern w:val="0"/>
          <w:sz w:val="24"/>
          <w:szCs w:val="24"/>
        </w:rPr>
      </w:pPr>
    </w:p>
    <w:p>
      <w:pPr>
        <w:pStyle w:val="15"/>
        <w:rPr>
          <w:rFonts w:hint="eastAsia"/>
        </w:rPr>
      </w:pPr>
      <w:r>
        <w:rPr>
          <w:rFonts w:hint="eastAsia"/>
          <w:b/>
          <w:bCs/>
        </w:rPr>
        <w:t>7.4.10.2.2 基金托管费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591"/>
        <w:gridCol w:w="2132"/>
        <w:gridCol w:w="3322"/>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2016年12月22日（基金合同生效日）至2016年12月31日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304,315.56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370.15</w:t>
            </w:r>
          </w:p>
        </w:tc>
      </w:tr>
    </w:tbl>
    <w:p>
      <w:pPr>
        <w:pStyle w:val="20"/>
        <w:rPr>
          <w:rFonts w:hint="eastAsia"/>
        </w:rPr>
      </w:pPr>
      <w:r>
        <w:rPr>
          <w:rFonts w:hint="eastAsia"/>
        </w:rPr>
        <w:t>注：本基金的托管费按前一日基金资产净值的0.15%的年费率计提。托管费的计算方法如下：</w:t>
      </w:r>
      <w:r>
        <w:rPr>
          <w:rFonts w:hint="eastAsia"/>
        </w:rPr>
        <w:br w:type="textWrapping"/>
      </w:r>
      <w:r>
        <w:rPr>
          <w:rFonts w:hint="eastAsia"/>
        </w:rPr>
        <w:t>H＝E×0.15%÷当年天数</w:t>
      </w:r>
      <w:r>
        <w:rPr>
          <w:rFonts w:hint="eastAsia"/>
        </w:rPr>
        <w:br w:type="textWrapping"/>
      </w:r>
      <w:r>
        <w:rPr>
          <w:rFonts w:hint="eastAsia"/>
        </w:rPr>
        <w:t>H为每日应计提的基金托管费</w:t>
      </w:r>
      <w:r>
        <w:rPr>
          <w:rFonts w:hint="eastAsia"/>
        </w:rPr>
        <w:br w:type="textWrapping"/>
      </w:r>
      <w:r>
        <w:rPr>
          <w:rFonts w:hint="eastAsia"/>
        </w:rPr>
        <w:t>E为前一日的基金资产净值</w:t>
      </w:r>
      <w:r>
        <w:rPr>
          <w:rFonts w:hint="eastAsia"/>
        </w:rPr>
        <w:br w:type="textWrapping"/>
      </w:r>
      <w:r>
        <w:rPr>
          <w:rFonts w:hint="eastAsia"/>
        </w:rPr>
        <w:t>基金托管费每日计算，逐日累计至每月月末，按月支付，经基金管理人与基金托管人双方核对无误后，基金托管人按照与基金管理人协商一致的方式于次月前5个工作日内从基金财产中一次性支取。若遇法定节假日、公休日等，支付日期顺延。</w:t>
      </w:r>
    </w:p>
    <w:p>
      <w:pPr>
        <w:pStyle w:val="15"/>
        <w:rPr>
          <w:rFonts w:hint="eastAsia"/>
        </w:rPr>
      </w:pPr>
      <w:r>
        <w:rPr>
          <w:rFonts w:hint="eastAsia"/>
          <w:b/>
          <w:bCs/>
        </w:rPr>
        <w:t>7.4.10.2.3 销售服务费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26"/>
        <w:gridCol w:w="2676"/>
        <w:gridCol w:w="2676"/>
        <w:gridCol w:w="1167"/>
      </w:tblGrid>
      <w:tr>
        <w:tblPrEx>
          <w:tblCellMar>
            <w:top w:w="0" w:type="dxa"/>
            <w:left w:w="108" w:type="dxa"/>
            <w:bottom w:w="0" w:type="dxa"/>
            <w:right w:w="108" w:type="dxa"/>
          </w:tblCellMar>
        </w:tblPrEx>
        <w:trPr>
          <w:wBefore w:w="0" w:type="auto"/>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创金合信中证1000增强A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创金合信中证1000增强C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9,777.42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9,777.42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9,777.42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9,777.42</w:t>
            </w:r>
          </w:p>
        </w:tc>
      </w:tr>
      <w:tr>
        <w:tblPrEx>
          <w:tblCellMar>
            <w:top w:w="0" w:type="dxa"/>
            <w:left w:w="108" w:type="dxa"/>
            <w:bottom w:w="0" w:type="dxa"/>
            <w:right w:w="108" w:type="dxa"/>
          </w:tblCellMar>
        </w:tblPrEx>
        <w:trPr>
          <w:wBefore w:w="0" w:type="auto"/>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2016年12月22日（基金合同生效日）至2016年12月31日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创金合信中证1000增强A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创金合信中证1000增强C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243.78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243.78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243.78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243.78</w:t>
            </w:r>
          </w:p>
        </w:tc>
      </w:tr>
    </w:tbl>
    <w:p>
      <w:pPr>
        <w:pStyle w:val="20"/>
        <w:rPr>
          <w:rFonts w:hint="eastAsia"/>
        </w:rPr>
      </w:pPr>
      <w:r>
        <w:rPr>
          <w:rFonts w:hint="eastAsia"/>
        </w:rPr>
        <w:t>注：支付基金销售机构的销售服务费按前一日C类基金的基金资产净值0.2%的年费率计提，逐日累计至每月月底，按月支付给创金合信基金管理有限公司，再由创金合信基金管理有限公司计算并支付给各基金销售机构。其计算公式为：日销售服务费＝C类基金前一日基金资产净值×0.2%/当年天数。 </w:t>
      </w:r>
    </w:p>
    <w:p>
      <w:pPr>
        <w:widowControl/>
        <w:jc w:val="left"/>
        <w:rPr>
          <w:rFonts w:hint="eastAsia" w:ascii="宋体" w:hAnsi="宋体" w:cs="宋体"/>
          <w:kern w:val="0"/>
          <w:sz w:val="24"/>
          <w:szCs w:val="24"/>
        </w:rPr>
      </w:pPr>
    </w:p>
    <w:p>
      <w:pPr>
        <w:pStyle w:val="15"/>
        <w:rPr>
          <w:rFonts w:hint="eastAsia"/>
        </w:rPr>
      </w:pPr>
      <w:r>
        <w:rPr>
          <w:rFonts w:hint="eastAsia"/>
          <w:b/>
          <w:bCs/>
        </w:rPr>
        <w:t>7.4.10.3 与关联方进行银行间同业市场的债券(含回购)交易</w:t>
      </w:r>
    </w:p>
    <w:p>
      <w:pPr>
        <w:pStyle w:val="20"/>
        <w:rPr>
          <w:rFonts w:hint="eastAsia"/>
        </w:rPr>
      </w:pPr>
      <w:r>
        <w:rPr>
          <w:rFonts w:hint="eastAsia"/>
        </w:rPr>
        <w:t>本基金本报告期及上年度可比期间均未与关联方进行银行间同业市场的债券（含回购）交易。</w:t>
      </w:r>
    </w:p>
    <w:p>
      <w:pPr>
        <w:widowControl/>
        <w:jc w:val="left"/>
        <w:rPr>
          <w:rFonts w:hint="eastAsia" w:ascii="宋体" w:hAnsi="宋体" w:cs="宋体"/>
          <w:kern w:val="0"/>
          <w:sz w:val="24"/>
          <w:szCs w:val="24"/>
        </w:rPr>
      </w:pPr>
    </w:p>
    <w:p>
      <w:pPr>
        <w:pStyle w:val="15"/>
        <w:rPr>
          <w:rFonts w:hint="eastAsia"/>
        </w:rPr>
      </w:pPr>
      <w:r>
        <w:rPr>
          <w:rFonts w:hint="eastAsia"/>
          <w:b/>
          <w:bCs/>
        </w:rPr>
        <w:t>7.4.10.4 各关联方投资本基金的情况</w:t>
      </w:r>
    </w:p>
    <w:p>
      <w:pPr>
        <w:pStyle w:val="15"/>
        <w:rPr>
          <w:rFonts w:hint="eastAsia"/>
        </w:rPr>
      </w:pPr>
      <w:r>
        <w:rPr>
          <w:rFonts w:hint="eastAsia"/>
          <w:b/>
          <w:bCs/>
        </w:rPr>
        <w:t>7.4.10.4.1 报告期内基金管理人运用固有资金投资本基金的情况</w:t>
      </w:r>
    </w:p>
    <w:p>
      <w:pPr>
        <w:pStyle w:val="17"/>
        <w:rPr>
          <w:rFonts w:hint="eastAsia"/>
        </w:rPr>
      </w:pPr>
      <w:r>
        <w:rPr>
          <w:rFonts w:hint="eastAsia" w:hAnsi="Calibri"/>
          <w:color w:val="000000"/>
        </w:rPr>
        <w:t>创金合信中证1000增强A</w:t>
      </w:r>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5310"/>
        <w:gridCol w:w="1875"/>
        <w:gridCol w:w="1860"/>
      </w:tblGrid>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8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186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2016年12月22日（基金合同生效日）至2016年12月31日</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基金合同生效日（2016年12月22日）持有的基金份额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5,000,166.70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5,000,166.70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报告期初持有的基金份额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5,000,166.70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5,000,166.70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报告期间申购/买入总份额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报告期间因拆分变动份额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减：报告期间赎回/卖出总份额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5,000,166.70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5,000,166.70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99.55%</w:t>
            </w:r>
          </w:p>
        </w:tc>
      </w:tr>
    </w:tbl>
    <w:p>
      <w:pPr>
        <w:pStyle w:val="17"/>
        <w:rPr>
          <w:rFonts w:hint="eastAsia"/>
        </w:rPr>
      </w:pPr>
      <w:r>
        <w:rPr>
          <w:rFonts w:hint="eastAsia" w:hAnsi="Calibri"/>
          <w:color w:val="000000"/>
        </w:rPr>
        <w:t>创金合信中证1000增强C</w:t>
      </w:r>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5310"/>
        <w:gridCol w:w="1875"/>
        <w:gridCol w:w="1860"/>
      </w:tblGrid>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8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186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2016年12月22日（基金合同生效日）至2016年12月31日</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基金合同生效日（2016年12月22日）持有的基金份额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5,000,166.66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5,000,166.66</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报告期初持有的基金份额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5,000,166.66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5,000,166.66</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报告期间申购/买入总份额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报告期间因拆分变动份额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减：报告期间赎回/卖出总份额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5,000,166.66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5,000,166.66</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48.76%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97.92%</w:t>
            </w:r>
          </w:p>
        </w:tc>
      </w:tr>
    </w:tbl>
    <w:p>
      <w:pPr>
        <w:widowControl/>
        <w:jc w:val="left"/>
        <w:rPr>
          <w:rFonts w:hint="eastAsia" w:ascii="宋体" w:hAnsi="宋体" w:cs="宋体"/>
          <w:kern w:val="0"/>
          <w:sz w:val="24"/>
          <w:szCs w:val="24"/>
        </w:rPr>
      </w:pPr>
    </w:p>
    <w:p>
      <w:pPr>
        <w:pStyle w:val="15"/>
        <w:rPr>
          <w:rFonts w:hint="eastAsia"/>
        </w:rPr>
      </w:pPr>
      <w:r>
        <w:rPr>
          <w:rFonts w:hint="eastAsia"/>
          <w:b/>
          <w:bCs/>
        </w:rPr>
        <w:t>7.4.10.4.2 报告期末除基金管理人之外的其他关联方投资本基金的情况</w:t>
      </w:r>
    </w:p>
    <w:p>
      <w:pPr>
        <w:pStyle w:val="20"/>
        <w:rPr>
          <w:rFonts w:hint="eastAsia"/>
        </w:rPr>
      </w:pPr>
      <w:r>
        <w:rPr>
          <w:rFonts w:hint="eastAsia"/>
        </w:rPr>
        <w:t>本报告期末及上年度末无除管理人之外的其他关联方投资本基金的情况。</w:t>
      </w:r>
    </w:p>
    <w:p>
      <w:pPr>
        <w:widowControl/>
        <w:jc w:val="left"/>
        <w:rPr>
          <w:rFonts w:hint="eastAsia" w:ascii="宋体" w:hAnsi="宋体" w:cs="宋体"/>
          <w:kern w:val="0"/>
          <w:sz w:val="24"/>
          <w:szCs w:val="24"/>
        </w:rPr>
      </w:pPr>
    </w:p>
    <w:p>
      <w:pPr>
        <w:pStyle w:val="15"/>
        <w:rPr>
          <w:rFonts w:hint="eastAsia"/>
        </w:rPr>
      </w:pPr>
      <w:r>
        <w:rPr>
          <w:rFonts w:hint="eastAsia"/>
          <w:b/>
          <w:bCs/>
        </w:rPr>
        <w:t>7.4.10.5 由关联方保管的银行存款余额及当期产生的利息收入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12"/>
        <w:gridCol w:w="1169"/>
        <w:gridCol w:w="1169"/>
        <w:gridCol w:w="1676"/>
        <w:gridCol w:w="1919"/>
      </w:tblGrid>
      <w:tr>
        <w:tblPrEx>
          <w:tblCellMar>
            <w:top w:w="0" w:type="dxa"/>
            <w:left w:w="108" w:type="dxa"/>
            <w:bottom w:w="0" w:type="dxa"/>
            <w:right w:w="108" w:type="dxa"/>
          </w:tblCellMar>
        </w:tblPrEx>
        <w:trPr>
          <w:wBefore w:w="0" w:type="auto"/>
        </w:trPr>
        <w:tc>
          <w:tcPr>
            <w:tcW w:w="18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360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2016年12月22日（基金合同生效日）至2016年12月31日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中国农业银行股份有限公司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3,656,874.22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78,276.59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518,397.12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1,275.57</w:t>
            </w:r>
          </w:p>
        </w:tc>
      </w:tr>
    </w:tbl>
    <w:p>
      <w:pPr>
        <w:pStyle w:val="20"/>
        <w:rPr>
          <w:rFonts w:hint="eastAsia"/>
        </w:rPr>
      </w:pPr>
      <w:r>
        <w:rPr>
          <w:rFonts w:hint="eastAsia"/>
        </w:rPr>
        <w:t>注：本基金的银行存款由基金托管人中国农业银行保管，按金融机构同业存款利率计息。</w:t>
      </w:r>
    </w:p>
    <w:p>
      <w:pPr>
        <w:pStyle w:val="15"/>
        <w:rPr>
          <w:rFonts w:hint="eastAsia"/>
        </w:rPr>
      </w:pPr>
      <w:r>
        <w:rPr>
          <w:rFonts w:hint="eastAsia"/>
          <w:b/>
          <w:bCs/>
        </w:rPr>
        <w:t>7.4.10.6 本基金在承销期内参与关联方承销证券的情况</w:t>
      </w:r>
    </w:p>
    <w:p>
      <w:pPr>
        <w:pStyle w:val="20"/>
        <w:rPr>
          <w:rFonts w:hint="eastAsia"/>
        </w:rPr>
      </w:pPr>
      <w:r>
        <w:rPr>
          <w:rFonts w:hint="eastAsia"/>
        </w:rPr>
        <w:t>本基金本报告期及上年度可比期间均未在承销期内参与关联方承销证券。</w:t>
      </w:r>
    </w:p>
    <w:p>
      <w:pPr>
        <w:pStyle w:val="15"/>
        <w:rPr>
          <w:rFonts w:hint="eastAsia"/>
        </w:rPr>
      </w:pPr>
      <w:r>
        <w:rPr>
          <w:rFonts w:hint="eastAsia"/>
          <w:b/>
          <w:bCs/>
        </w:rPr>
        <w:t>7.4.10.7 其他关联交易事项的说明</w:t>
      </w:r>
    </w:p>
    <w:p>
      <w:pPr>
        <w:pStyle w:val="20"/>
        <w:rPr>
          <w:rFonts w:hint="eastAsia"/>
        </w:rPr>
      </w:pPr>
      <w:r>
        <w:rPr>
          <w:rFonts w:hint="eastAsia"/>
        </w:rPr>
        <w:t>  本基金本报告期及上年度可比期间无需作说明的其他关联交易事项。</w:t>
      </w:r>
    </w:p>
    <w:p>
      <w:pPr>
        <w:pStyle w:val="15"/>
        <w:rPr>
          <w:rFonts w:hint="eastAsia"/>
        </w:rPr>
      </w:pPr>
      <w:r>
        <w:rPr>
          <w:rFonts w:hint="eastAsia"/>
          <w:b/>
          <w:bCs/>
        </w:rPr>
        <w:t>7.4.11 利润分配情况--非货币市场基金</w:t>
      </w:r>
    </w:p>
    <w:p>
      <w:pPr>
        <w:pStyle w:val="20"/>
        <w:rPr>
          <w:rFonts w:hint="eastAsia"/>
        </w:rPr>
      </w:pPr>
      <w:r>
        <w:rPr>
          <w:rFonts w:hint="eastAsia"/>
        </w:rPr>
        <w:t>本基金于本期未进行利润分配。</w:t>
      </w:r>
    </w:p>
    <w:p>
      <w:pPr>
        <w:pStyle w:val="15"/>
        <w:rPr>
          <w:rFonts w:hint="eastAsia"/>
        </w:rPr>
      </w:pPr>
      <w:r>
        <w:rPr>
          <w:rFonts w:hint="eastAsia"/>
          <w:b/>
          <w:bCs/>
        </w:rPr>
        <w:t>7.4.12 期末（2017年12月31日）本基金持有的流通受限证券</w:t>
      </w:r>
    </w:p>
    <w:p>
      <w:pPr>
        <w:pStyle w:val="15"/>
        <w:rPr>
          <w:rFonts w:hint="eastAsia"/>
        </w:rPr>
      </w:pPr>
      <w:r>
        <w:rPr>
          <w:rFonts w:hint="eastAsia"/>
          <w:b/>
          <w:bCs/>
        </w:rPr>
        <w:t>7.4.12.1 因认购新发/增发证券而于期末持有的流通受限证券</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18"/>
        <w:gridCol w:w="818"/>
        <w:gridCol w:w="818"/>
        <w:gridCol w:w="818"/>
        <w:gridCol w:w="819"/>
        <w:gridCol w:w="819"/>
        <w:gridCol w:w="819"/>
        <w:gridCol w:w="1012"/>
        <w:gridCol w:w="819"/>
        <w:gridCol w:w="819"/>
        <w:gridCol w:w="819"/>
      </w:tblGrid>
      <w:tr>
        <w:tblPrEx>
          <w:tblCellMar>
            <w:top w:w="0" w:type="dxa"/>
            <w:left w:w="108" w:type="dxa"/>
            <w:bottom w:w="0" w:type="dxa"/>
            <w:right w:w="108" w:type="dxa"/>
          </w:tblCellMar>
        </w:tblPrEx>
        <w:trPr>
          <w:wBefore w:w="0" w:type="auto"/>
        </w:trPr>
        <w:tc>
          <w:tcPr>
            <w:tcW w:w="0" w:type="auto"/>
            <w:gridSpan w:val="11"/>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7.4.12.1.1 受限证券类别：股票</w:t>
            </w:r>
          </w:p>
        </w:tc>
      </w:tr>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证券代码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证券名称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成功认购日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可流通日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流通受限类型</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认购价格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数量（单位：股）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象屿股份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新发流通受限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141,520.00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187,688.00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300664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鹏鹞环保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新发流通受限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32,323.20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32,323.20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科华控股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新发流通受限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20,753.25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20,753.25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新疆火炬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新发流通受限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16,143.20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16,143.20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gridSpan w:val="11"/>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7.4.12.1.2 受限证券类别：债券</w:t>
            </w:r>
          </w:p>
        </w:tc>
      </w:tr>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证券代码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证券名称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成功认购日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可流通日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流通受限类型</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认购价格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数量（单位：张）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113503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泰晶转债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新发流通受限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15"/>
        <w:rPr>
          <w:rFonts w:hint="eastAsia"/>
        </w:rPr>
      </w:pPr>
      <w:r>
        <w:rPr>
          <w:rFonts w:hint="eastAsia"/>
          <w:b/>
          <w:bCs/>
        </w:rPr>
        <w:t>7.4.12.2 期末持有的暂时停牌等流通受限股票</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00"/>
        <w:gridCol w:w="800"/>
        <w:gridCol w:w="800"/>
        <w:gridCol w:w="800"/>
        <w:gridCol w:w="801"/>
        <w:gridCol w:w="801"/>
        <w:gridCol w:w="801"/>
        <w:gridCol w:w="1192"/>
        <w:gridCol w:w="801"/>
        <w:gridCol w:w="801"/>
        <w:gridCol w:w="801"/>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停牌日期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停牌原因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复牌日期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复牌开盘单价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金龙汽车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2,160,586.52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2,178,616.00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吴通控股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2,122,028.06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2,123,982.00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润和软件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2,125,018.57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2,079,232.00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实达集团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2,018,675.00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1,981,520.00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天翔环境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1,973,563.13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1,919,912.00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神州数码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2017-09-29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764,313.59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773,280.00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300730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科创信息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6,863.56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34,112.55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名臣健康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10,311.76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28,948.46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15"/>
        <w:rPr>
          <w:rFonts w:hint="eastAsia"/>
        </w:rPr>
      </w:pPr>
      <w:r>
        <w:rPr>
          <w:rFonts w:hint="eastAsia"/>
          <w:b/>
          <w:bCs/>
        </w:rPr>
        <w:t>7.4.12.3 期末债券正回购交易中作为抵押的债券</w:t>
      </w:r>
    </w:p>
    <w:p>
      <w:pPr>
        <w:pStyle w:val="15"/>
        <w:rPr>
          <w:rFonts w:hint="eastAsia"/>
        </w:rPr>
      </w:pPr>
      <w:r>
        <w:rPr>
          <w:rFonts w:hint="eastAsia"/>
          <w:b/>
          <w:bCs/>
        </w:rPr>
        <w:t>7.4.12.3.1 银行间市场债券正回购</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截至本报告期末2017年12月31日止，本基金从事银行间市场债券正回购交易形成的卖出回购证券款余额为0，无抵押债券。</w:t>
      </w:r>
    </w:p>
    <w:p>
      <w:pPr>
        <w:pStyle w:val="15"/>
        <w:rPr>
          <w:rFonts w:hint="eastAsia"/>
        </w:rPr>
      </w:pPr>
      <w:r>
        <w:rPr>
          <w:rFonts w:hint="eastAsia"/>
          <w:b/>
          <w:bCs/>
        </w:rPr>
        <w:t>7.4.12.3.2 交易所市场债券正回购</w:t>
      </w:r>
    </w:p>
    <w:p>
      <w:pPr>
        <w:pStyle w:val="20"/>
        <w:rPr>
          <w:rFonts w:hint="eastAsia"/>
        </w:rPr>
      </w:pPr>
      <w:r>
        <w:rPr>
          <w:rFonts w:hint="eastAsia"/>
        </w:rPr>
        <w:t>  截至本报告期末2017年12月31日止，本基金从事交易所债券正回购交易形成的卖出回购证券款余额为0，无抵押债券。</w:t>
      </w:r>
    </w:p>
    <w:p>
      <w:pPr>
        <w:pStyle w:val="15"/>
        <w:rPr>
          <w:rFonts w:hint="eastAsia"/>
        </w:rPr>
      </w:pPr>
      <w:r>
        <w:rPr>
          <w:rFonts w:hint="eastAsia"/>
          <w:b/>
          <w:bCs/>
        </w:rPr>
        <w:t>7.4.13 金融工具风险及管理</w:t>
      </w:r>
    </w:p>
    <w:p>
      <w:pPr>
        <w:pStyle w:val="15"/>
        <w:rPr>
          <w:rFonts w:hint="eastAsia"/>
        </w:rPr>
      </w:pPr>
      <w:r>
        <w:rPr>
          <w:rFonts w:hint="eastAsia"/>
          <w:b/>
          <w:bCs/>
        </w:rPr>
        <w:t>7.4.13.1 风险管理政策和组织架构</w:t>
      </w:r>
    </w:p>
    <w:p>
      <w:pPr>
        <w:pStyle w:val="20"/>
        <w:rPr>
          <w:rFonts w:hint="eastAsia"/>
        </w:rPr>
      </w:pPr>
      <w:r>
        <w:rPr>
          <w:rFonts w:hint="eastAsia"/>
        </w:rPr>
        <w:t>  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r>
        <w:rPr>
          <w:rFonts w:hint="eastAsia"/>
        </w:rPr>
        <w:br w:type="textWrapping"/>
      </w:r>
      <w:r>
        <w:rPr>
          <w:rFonts w:hint="eastAsia"/>
        </w:rPr>
        <w:t>  本基金的基金管理人奉行全面风险管理体系的建设，建立了以风控与审计委员会为核心的、由督察长、风险控制办公会、监察稽核部和相关业务部门构成的四级风险管理架构体系。</w:t>
      </w:r>
    </w:p>
    <w:p>
      <w:pPr>
        <w:pStyle w:val="15"/>
        <w:rPr>
          <w:rFonts w:hint="eastAsia"/>
        </w:rPr>
      </w:pPr>
      <w:r>
        <w:rPr>
          <w:rFonts w:hint="eastAsia"/>
          <w:b/>
          <w:bCs/>
        </w:rPr>
        <w:t>7.4.13.2 信用风险</w:t>
      </w:r>
    </w:p>
    <w:p>
      <w:pPr>
        <w:pStyle w:val="20"/>
        <w:rPr>
          <w:rFonts w:hint="eastAsia"/>
        </w:rPr>
      </w:pPr>
      <w:r>
        <w:rPr>
          <w:rFonts w:hint="eastAsia"/>
        </w:rPr>
        <w:t>  信用风险是指基金在交易过程中因交易对手未履行合约责任，或者基金所投资证券之发行人出现违约、拒绝支付到期本息等情况，导致基金资产损失和收益变化的风险。</w:t>
      </w:r>
      <w:r>
        <w:rPr>
          <w:rFonts w:hint="eastAsia"/>
        </w:rPr>
        <w:br w:type="textWrapping"/>
      </w:r>
      <w:r>
        <w:rPr>
          <w:rFonts w:hint="eastAsia"/>
        </w:rPr>
        <w:t>  本基金的基金管理人在交易前对交易对手和债券的资信状况进行了充分的评估。本基金的活期银行存款存放在本基金的托管行农业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r>
        <w:rPr>
          <w:rFonts w:hint="eastAsia"/>
        </w:rPr>
        <w:br w:type="textWrapping"/>
      </w:r>
      <w:r>
        <w:rPr>
          <w:rFonts w:hint="eastAsia"/>
        </w:rPr>
        <w:t>  本基金的基金管理人建立了信用风险管理流程，通过对投资品种信用等级评估来控制证券发行人的信用风险，且通过分散化投资以分散信用风险。</w:t>
      </w:r>
      <w:r>
        <w:rPr>
          <w:rFonts w:hint="eastAsia"/>
        </w:rPr>
        <w:br w:type="textWrapping"/>
      </w:r>
      <w:r>
        <w:rPr>
          <w:rFonts w:hint="eastAsia"/>
        </w:rPr>
        <w:t>  本基金债券投资的信用评级情况按《中国人民银行信用评级管理指导意见》设定的标准统计及汇总。</w:t>
      </w:r>
    </w:p>
    <w:p>
      <w:pPr>
        <w:pStyle w:val="15"/>
        <w:rPr>
          <w:rFonts w:hint="eastAsia"/>
        </w:rPr>
      </w:pPr>
      <w:r>
        <w:rPr>
          <w:rFonts w:hint="eastAsia"/>
          <w:b/>
          <w:bCs/>
        </w:rPr>
        <w:t>7.4.13.2.1 按短期信用评级列示的债券投资</w:t>
      </w:r>
    </w:p>
    <w:p>
      <w:pPr>
        <w:pStyle w:val="24"/>
        <w:jc w:val="right"/>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短期信用评级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A-1</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A-1以下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10,575,620.00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10,575,620.00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bl>
    <w:p>
      <w:pPr>
        <w:pStyle w:val="20"/>
        <w:rPr>
          <w:rFonts w:hint="eastAsia"/>
        </w:rPr>
      </w:pPr>
      <w:r>
        <w:rPr>
          <w:rFonts w:hint="eastAsia"/>
        </w:rPr>
        <w:t>注：</w:t>
      </w:r>
      <w:r>
        <w:rPr>
          <w:rFonts w:hint="eastAsia"/>
        </w:rPr>
        <w:br w:type="textWrapping"/>
      </w:r>
      <w:r>
        <w:rPr>
          <w:rFonts w:hint="eastAsia"/>
        </w:rPr>
        <w:t>1、债券评级取自第三方评级机构的债项评级 ，依照在一个会计年度孰新孰低原则，若此会计年度无评级，则追溯上一会计年度，上一会计年度无评级则为无评级。 </w:t>
      </w:r>
      <w:r>
        <w:rPr>
          <w:rFonts w:hint="eastAsia"/>
        </w:rPr>
        <w:br w:type="textWrapping"/>
      </w:r>
      <w:r>
        <w:rPr>
          <w:rFonts w:hint="eastAsia"/>
        </w:rPr>
        <w:t>2、未评级债券为期限在一年以内的国债、政策性金融债、央票及未有第三方机构评级的短期融资券、同业存单等债券。</w:t>
      </w:r>
      <w:r>
        <w:rPr>
          <w:rFonts w:hint="eastAsia"/>
        </w:rPr>
        <w:br w:type="textWrapping"/>
      </w:r>
      <w:r>
        <w:rPr>
          <w:rFonts w:hint="eastAsia"/>
        </w:rPr>
        <w:t>3、债券投资以净价列示 。</w:t>
      </w:r>
      <w:r>
        <w:rPr>
          <w:rFonts w:hint="eastAsia"/>
        </w:rPr>
        <w:br w:type="textWrapping"/>
      </w:r>
      <w:r>
        <w:rPr>
          <w:rFonts w:hint="eastAsia"/>
        </w:rPr>
        <w:t>4、若出现期限为1年以内的债券评级为长期信用评级的标志，不进行评级等同。</w:t>
      </w:r>
    </w:p>
    <w:p>
      <w:pPr>
        <w:widowControl/>
        <w:jc w:val="left"/>
        <w:rPr>
          <w:rFonts w:hint="eastAsia" w:ascii="宋体" w:hAnsi="宋体" w:cs="宋体"/>
          <w:kern w:val="0"/>
          <w:sz w:val="24"/>
          <w:szCs w:val="24"/>
        </w:rPr>
      </w:pPr>
    </w:p>
    <w:p>
      <w:pPr>
        <w:pStyle w:val="15"/>
        <w:rPr>
          <w:rFonts w:hint="eastAsia"/>
        </w:rPr>
      </w:pPr>
      <w:r>
        <w:rPr>
          <w:rFonts w:hint="eastAsia"/>
          <w:b/>
          <w:bCs/>
        </w:rPr>
        <w:t>7.4.13.2.2 按长期信用评级列示的债券投资</w:t>
      </w:r>
    </w:p>
    <w:p>
      <w:pPr>
        <w:pStyle w:val="25"/>
        <w:jc w:val="right"/>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长期信用评级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490,240.80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522,240.80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bl>
    <w:p>
      <w:pPr>
        <w:pStyle w:val="20"/>
        <w:rPr>
          <w:rFonts w:hint="eastAsia"/>
        </w:rPr>
      </w:pPr>
      <w:r>
        <w:rPr>
          <w:rFonts w:hint="eastAsia"/>
        </w:rPr>
        <w:t>注：</w:t>
      </w:r>
      <w:r>
        <w:rPr>
          <w:rFonts w:hint="eastAsia"/>
        </w:rPr>
        <w:br w:type="textWrapping"/>
      </w:r>
      <w:r>
        <w:rPr>
          <w:rFonts w:hint="eastAsia"/>
        </w:rPr>
        <w:t>1、债券评级取自第三方评级机构的债项评级 ，依照在一个会计年度孰新孰低原则，若此会计年度无评级，则追溯上一会计年度，上一会计年度无评级则为无评级。 </w:t>
      </w:r>
      <w:r>
        <w:rPr>
          <w:rFonts w:hint="eastAsia"/>
        </w:rPr>
        <w:br w:type="textWrapping"/>
      </w:r>
      <w:r>
        <w:rPr>
          <w:rFonts w:hint="eastAsia"/>
        </w:rPr>
        <w:t>2、未评级债券为期限一年以上的国债、政策性金融债、央票及未有第三方机构评级的短期融资券、同业存单等债券。</w:t>
      </w:r>
      <w:r>
        <w:rPr>
          <w:rFonts w:hint="eastAsia"/>
        </w:rPr>
        <w:br w:type="textWrapping"/>
      </w:r>
      <w:r>
        <w:rPr>
          <w:rFonts w:hint="eastAsia"/>
        </w:rPr>
        <w:t>3、债券投资以净价列示。</w:t>
      </w:r>
      <w:r>
        <w:rPr>
          <w:rFonts w:hint="eastAsia"/>
        </w:rPr>
        <w:br w:type="textWrapping"/>
      </w:r>
      <w:r>
        <w:rPr>
          <w:rFonts w:hint="eastAsia"/>
        </w:rPr>
        <w:t>4、若出现期限为1年以内的债券评级为长期信用评级的标志，不进行评级等同。</w:t>
      </w:r>
    </w:p>
    <w:p>
      <w:pPr>
        <w:widowControl/>
        <w:jc w:val="left"/>
        <w:rPr>
          <w:rFonts w:hint="eastAsia" w:ascii="宋体" w:hAnsi="宋体" w:cs="宋体"/>
          <w:kern w:val="0"/>
          <w:sz w:val="24"/>
          <w:szCs w:val="24"/>
        </w:rPr>
      </w:pPr>
    </w:p>
    <w:p>
      <w:pPr>
        <w:pStyle w:val="15"/>
        <w:rPr>
          <w:rFonts w:hint="eastAsia"/>
        </w:rPr>
      </w:pPr>
      <w:r>
        <w:rPr>
          <w:rFonts w:hint="eastAsia"/>
          <w:b/>
          <w:bCs/>
        </w:rPr>
        <w:t>7.4.13.3 流动性风险</w:t>
      </w:r>
    </w:p>
    <w:p>
      <w:pPr>
        <w:pStyle w:val="20"/>
        <w:rPr>
          <w:rFonts w:hint="eastAsia"/>
        </w:rPr>
      </w:pPr>
      <w:r>
        <w:rPr>
          <w:rFonts w:hint="eastAsia"/>
        </w:rPr>
        <w:t>  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r>
        <w:rPr>
          <w:rFonts w:hint="eastAsia"/>
        </w:rPr>
        <w:br w:type="textWrapping"/>
      </w:r>
      <w:r>
        <w:rPr>
          <w:rFonts w:hint="eastAsia"/>
        </w:rPr>
        <w:t>  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r>
        <w:rPr>
          <w:rFonts w:hint="eastAsia"/>
        </w:rPr>
        <w:br w:type="textWrapping"/>
      </w:r>
      <w:r>
        <w:rPr>
          <w:rFonts w:hint="eastAsia"/>
        </w:rPr>
        <w:t>  针对投资品种变现的流动性风险，本基金的基金管理人通过独立的风险管理部门设定流动性比例要求，对流动性指标进行持续的监测和分析，包括组合持仓集中度指标、组合在短时间内变现能力的综合指标、组合中变现能力较差的投资品种比例以及流通受限制的投资品种比例等。本基金投资于一家公司发行的证券市值不超过基金资产净值的10%，且本基金与由本基金的基金管理人管理的其他基金共同持有一家上市公司发行的可流通股票不得超过该上市公司可流通股票的15%。本基金主动投资于流动性受限资产的市值合计不得超过基金资产净值的15%。本基金所持大部分证券在证券交易所上市，其余亦可在银行间同业市场交易，因此除附注7.4.12中列示的部分基金资产流通暂时受限制不能自由转让的情况外，其余均能以合理价格适时变现。此外，本基金可通过卖出回购金融资产方式借入短期资金应对流动性需求，其上限一般不超过基金持有的债券投资的公允价值。</w:t>
      </w:r>
      <w:r>
        <w:rPr>
          <w:rFonts w:hint="eastAsia"/>
        </w:rPr>
        <w:br w:type="textWrapping"/>
      </w:r>
      <w:r>
        <w:rPr>
          <w:rFonts w:hint="eastAsia"/>
        </w:rPr>
        <w:t>  于2017年12月31日，本基金所承担的全部金融负债的合约约定到期日均为一个月以内且不计息，可赎回基金份额净值(所有者权益)无固定到期日且不计息，因此账面余额即为未折现的合约到期现金流量。</w:t>
      </w:r>
    </w:p>
    <w:p>
      <w:pPr>
        <w:pStyle w:val="15"/>
        <w:rPr>
          <w:rFonts w:hint="eastAsia"/>
        </w:rPr>
      </w:pPr>
      <w:r>
        <w:rPr>
          <w:rFonts w:hint="eastAsia"/>
          <w:b/>
          <w:bCs/>
        </w:rPr>
        <w:t>7.4.13.3.2 报告期内本基金组合资产的流动性风险分析</w:t>
      </w:r>
    </w:p>
    <w:p>
      <w:pPr>
        <w:widowControl/>
        <w:jc w:val="left"/>
        <w:rPr>
          <w:rFonts w:hint="eastAsia" w:ascii="宋体" w:hAnsi="宋体" w:cs="宋体"/>
          <w:kern w:val="0"/>
          <w:sz w:val="24"/>
          <w:szCs w:val="24"/>
        </w:rPr>
      </w:pPr>
      <w:r>
        <w:rPr>
          <w:rFonts w:hint="eastAsia" w:ascii="宋体" w:hAnsi="宋体" w:cs="宋体"/>
          <w:kern w:val="0"/>
          <w:sz w:val="24"/>
          <w:szCs w:val="24"/>
        </w:rPr>
        <w:t>  本基金的基金管理人在基金运作过程中严格按照《公开募集证券投资基金运作管理办法》及《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r>
        <w:rPr>
          <w:rFonts w:hint="eastAsia" w:ascii="宋体" w:hAnsi="宋体" w:cs="宋体"/>
          <w:kern w:val="0"/>
          <w:sz w:val="24"/>
          <w:szCs w:val="24"/>
        </w:rPr>
        <w:br w:type="textWrapping"/>
      </w:r>
      <w:r>
        <w:rPr>
          <w:rFonts w:hint="eastAsia" w:ascii="宋体" w:hAnsi="宋体" w:cs="宋体"/>
          <w:kern w:val="0"/>
          <w:sz w:val="24"/>
          <w:szCs w:val="24"/>
        </w:rPr>
        <w:t>  本基金的基金管理人每日对基金组合资产中7个工作日可变现资产的可变现价值进行审慎评估与测算，确保每日确认的净赎回申请不得超过7个工作日可变现资产的可变现价值。于2017年12月31日，本基金组合资产中7个工作日可变现资产的账面价值为202127381.76元，超过经确认的当日净赎回金额。于2017年12月31日，本基金持有的流动性受限资产的估值占基金资产净值的比例为5.30%，未超过15%。</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同时，本基金的基金管理人通过合理分散逆回购交易的到期日与交易对手的集中度。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综合上述各项流动性指标的监测结果及流动性风险管理措施的实施，本基金在本报告期内流动性情况良好。</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xml:space="preserve">  注：流动性受限资产、7个工作日可变现资产的计算口径见《公开募集开放式证券投资基金流动性风险管理规定》第四十条。 </w:t>
      </w:r>
    </w:p>
    <w:p>
      <w:pPr>
        <w:pStyle w:val="15"/>
        <w:rPr>
          <w:rFonts w:hint="eastAsia"/>
        </w:rPr>
      </w:pPr>
      <w:r>
        <w:rPr>
          <w:rFonts w:hint="eastAsia"/>
          <w:b/>
          <w:bCs/>
        </w:rPr>
        <w:t>7.4.13.4 市场风险</w:t>
      </w:r>
    </w:p>
    <w:p>
      <w:pPr>
        <w:pStyle w:val="20"/>
        <w:rPr>
          <w:rFonts w:hint="eastAsia"/>
        </w:rPr>
      </w:pPr>
      <w:r>
        <w:rPr>
          <w:rFonts w:hint="eastAsia"/>
        </w:rPr>
        <w:t>  市场风险是指基金所持金融工具的公允价值或未来现金流量因所处市场各类价格因素的变动而发生波动的风险，包括利率风险、外汇风险和其他价格风险。</w:t>
      </w:r>
    </w:p>
    <w:p>
      <w:pPr>
        <w:pStyle w:val="15"/>
        <w:rPr>
          <w:rFonts w:hint="eastAsia"/>
        </w:rPr>
      </w:pPr>
      <w:r>
        <w:rPr>
          <w:rFonts w:hint="eastAsia"/>
          <w:b/>
          <w:bCs/>
        </w:rPr>
        <w:t>7.4.13.4.1 利率风险</w:t>
      </w:r>
    </w:p>
    <w:p>
      <w:pPr>
        <w:pStyle w:val="20"/>
        <w:rPr>
          <w:rFonts w:hint="eastAsia"/>
        </w:rPr>
      </w:pPr>
      <w:r>
        <w:rPr>
          <w:rFonts w:hint="eastAsia"/>
        </w:rPr>
        <w:t>  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r>
        <w:rPr>
          <w:rFonts w:hint="eastAsia"/>
        </w:rPr>
        <w:br w:type="textWrapping"/>
      </w:r>
      <w:r>
        <w:rPr>
          <w:rFonts w:hint="eastAsia"/>
        </w:rPr>
        <w:t>  </w:t>
      </w:r>
      <w:r>
        <w:rPr>
          <w:rFonts w:hint="eastAsia"/>
        </w:rPr>
        <w:br w:type="textWrapping"/>
      </w:r>
      <w:r>
        <w:rPr>
          <w:rFonts w:hint="eastAsia"/>
        </w:rPr>
        <w:t>  本基金的基金管理人定期对本基金面临的利率敏感性缺口进行监控，并通过调整投资组合的久期等方法对上述利率风险进行管理。</w:t>
      </w:r>
      <w:r>
        <w:rPr>
          <w:rFonts w:hint="eastAsia"/>
        </w:rPr>
        <w:br w:type="textWrapping"/>
      </w:r>
      <w:r>
        <w:rPr>
          <w:rFonts w:hint="eastAsia"/>
        </w:rPr>
        <w:t>  </w:t>
      </w:r>
      <w:r>
        <w:rPr>
          <w:rFonts w:hint="eastAsia"/>
        </w:rPr>
        <w:br w:type="textWrapping"/>
      </w:r>
      <w:r>
        <w:rPr>
          <w:rFonts w:hint="eastAsia"/>
        </w:rPr>
        <w:t>  本基金持有及承担的大部分金融资产和金融负债不计息，因此本基金的收入及经营活动的现金流量在很大程度上独立于市场利率变化。本基金持有的利率敏感性资产主要为银行存款、结算备付金、存出保证金、债券投资等。</w:t>
      </w:r>
    </w:p>
    <w:p>
      <w:pPr>
        <w:pStyle w:val="15"/>
        <w:rPr>
          <w:rFonts w:hint="eastAsia"/>
        </w:rPr>
      </w:pPr>
      <w:r>
        <w:rPr>
          <w:rFonts w:hint="eastAsia"/>
          <w:b/>
          <w:bCs/>
        </w:rPr>
        <w:t>7.4.13.4.1.1 利率风险敞口</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248"/>
        <w:gridCol w:w="1448"/>
        <w:gridCol w:w="1182"/>
        <w:gridCol w:w="1093"/>
        <w:gridCol w:w="1537"/>
        <w:gridCol w:w="1537"/>
      </w:tblGrid>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本期末2017年12月31日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3,656,874.22</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3,656,874.22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3,011,126.34</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3,011,126.34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110,107.64</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110,107.64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10,575,620.00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490,240.80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32,000.00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196,110,171.06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207,208,031.86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1,993,099.38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1,993,099.38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65,650.24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65,650.24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615,783.90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615,783.90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17,353,728.20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490,240.80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198,784,704.58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216,660,673.58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20,455.61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20,455.61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144,506.50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144,506.50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27,094.96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27,094.96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1,613.21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1,613.21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1,014,705.99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1,014,705.99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145,000.62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145,000.62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1,353,376.89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1,353,376.89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17,353,728.20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490,240.80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197,431,327.69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215,307,296.69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上年度末2016年12月31日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1年以内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5年以上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不计息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518,397.12</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518,397.12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9,503,201.00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9,503,201.00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7,258.41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7,258.41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1,073.26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1,073.26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518,397.12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9,511,532.67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10,029,929.79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9,338.23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9,338.23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968.86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968.86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1,974.16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1,974.16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370.15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248.59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248.59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2,118.43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2,118.43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1,086.96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1,086.96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16,105.38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16,105.38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518,397.12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9,495,427.29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10,013,824.41</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pStyle w:val="20"/>
      </w:pPr>
      <w:r>
        <w:rPr>
          <w:rFonts w:hint="eastAsia"/>
        </w:rPr>
        <w:t>注：表中所示为本基金资产及负债的账面价值，并按照合约规定的利率重新定价日或到期日孰早者予以分类。</w:t>
      </w:r>
    </w:p>
    <w:p>
      <w:pPr>
        <w:pStyle w:val="15"/>
        <w:rPr>
          <w:rFonts w:hint="eastAsia"/>
        </w:rPr>
      </w:pPr>
      <w:r>
        <w:rPr>
          <w:rFonts w:hint="eastAsia"/>
          <w:b/>
          <w:bCs/>
        </w:rPr>
        <w:t>7.4.13.4.1.2 利率风险的敏感性分析</w:t>
      </w:r>
    </w:p>
    <w:tbl>
      <w:tblPr>
        <w:tblStyle w:val="7"/>
        <w:tblW w:w="9120" w:type="dxa"/>
        <w:tblInd w:w="108" w:type="dxa"/>
        <w:tblLayout w:type="autofit"/>
        <w:tblCellMar>
          <w:top w:w="0" w:type="dxa"/>
          <w:left w:w="108" w:type="dxa"/>
          <w:bottom w:w="0" w:type="dxa"/>
          <w:right w:w="108" w:type="dxa"/>
        </w:tblCellMar>
      </w:tblPr>
      <w:tblGrid>
        <w:gridCol w:w="1083"/>
        <w:gridCol w:w="3421"/>
        <w:gridCol w:w="2308"/>
        <w:gridCol w:w="2308"/>
      </w:tblGrid>
      <w:tr>
        <w:tblPrEx>
          <w:tblCellMar>
            <w:top w:w="0" w:type="dxa"/>
            <w:left w:w="108" w:type="dxa"/>
            <w:bottom w:w="0" w:type="dxa"/>
            <w:right w:w="108" w:type="dxa"/>
          </w:tblCellMar>
        </w:tblPrEx>
        <w:trPr>
          <w:wBefore w:w="0" w:type="auto"/>
        </w:trPr>
        <w:tc>
          <w:tcPr>
            <w:tcW w:w="108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假设</w:t>
            </w:r>
          </w:p>
        </w:tc>
        <w:tc>
          <w:tcPr>
            <w:tcW w:w="7946"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除市场利率以外的其他市场变量保持不变</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分析</w:t>
            </w:r>
          </w:p>
        </w:tc>
        <w:tc>
          <w:tcPr>
            <w:tcW w:w="288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相关风险变量的变动</w:t>
            </w:r>
          </w:p>
        </w:tc>
        <w:tc>
          <w:tcPr>
            <w:tcW w:w="5055"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市场利率上升25个基点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-21,611.13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市场利率下降25个基点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21,707.50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bl>
    <w:p>
      <w:pPr>
        <w:pStyle w:val="15"/>
        <w:rPr>
          <w:rFonts w:hint="eastAsia"/>
        </w:rPr>
      </w:pPr>
      <w:r>
        <w:rPr>
          <w:rFonts w:hint="eastAsia"/>
          <w:b/>
          <w:bCs/>
        </w:rPr>
        <w:t>7.4.13.4.2 外汇风险</w:t>
      </w:r>
    </w:p>
    <w:p>
      <w:pPr>
        <w:pStyle w:val="20"/>
        <w:rPr>
          <w:rFonts w:hint="eastAsia"/>
        </w:rPr>
      </w:pPr>
      <w:r>
        <w:rPr>
          <w:rFonts w:hint="eastAsia"/>
        </w:rPr>
        <w:t>  外汇风险是指金融工具的公允价值或未来现金流量因外汇汇率变动而发生波动的风险。本基金的所有资产及负债以人民币计价，因此无重大外汇风险。</w:t>
      </w:r>
    </w:p>
    <w:p>
      <w:pPr>
        <w:pStyle w:val="15"/>
        <w:rPr>
          <w:rFonts w:hint="eastAsia"/>
        </w:rPr>
      </w:pPr>
      <w:r>
        <w:rPr>
          <w:rFonts w:hint="eastAsia"/>
          <w:b/>
          <w:bCs/>
        </w:rPr>
        <w:t>7.4.13.4.3 其他价格风险</w:t>
      </w:r>
    </w:p>
    <w:p>
      <w:pPr>
        <w:pStyle w:val="20"/>
        <w:rPr>
          <w:rFonts w:hint="eastAsia"/>
        </w:rPr>
      </w:pPr>
      <w:r>
        <w:rPr>
          <w:rFonts w:hint="eastAsia"/>
        </w:rPr>
        <w:t>  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r>
        <w:rPr>
          <w:rFonts w:hint="eastAsia"/>
        </w:rPr>
        <w:br w:type="textWrapping"/>
      </w:r>
      <w:r>
        <w:rPr>
          <w:rFonts w:hint="eastAsia"/>
        </w:rPr>
        <w:t>  本基金的基金管理人在构建和管理投资组合的过程中，采用"自上而下"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r>
        <w:rPr>
          <w:rFonts w:hint="eastAsia"/>
        </w:rPr>
        <w:br w:type="textWrapping"/>
      </w:r>
      <w:r>
        <w:rPr>
          <w:rFonts w:hint="eastAsia"/>
        </w:rPr>
        <w:t>  </w:t>
      </w:r>
    </w:p>
    <w:p>
      <w:pPr>
        <w:pStyle w:val="15"/>
        <w:rPr>
          <w:rFonts w:hint="eastAsia"/>
        </w:rPr>
      </w:pPr>
      <w:r>
        <w:rPr>
          <w:rFonts w:hint="eastAsia"/>
          <w:b/>
          <w:bCs/>
        </w:rPr>
        <w:t>7.4.13.4.3.1 其他价格风险敞口</w:t>
      </w:r>
    </w:p>
    <w:p>
      <w:pPr>
        <w:pStyle w:val="22"/>
        <w:jc w:val="right"/>
        <w:rPr>
          <w:rFonts w:hint="eastAsia"/>
        </w:rPr>
      </w:pPr>
      <w:r>
        <w:rPr>
          <w:rFonts w:hint="eastAsia"/>
        </w:rPr>
        <w:t>金额单位：人民币元</w:t>
      </w:r>
    </w:p>
    <w:tbl>
      <w:tblPr>
        <w:tblStyle w:val="7"/>
        <w:tblW w:w="9045" w:type="dxa"/>
        <w:tblInd w:w="108" w:type="dxa"/>
        <w:tblLayout w:type="autofit"/>
        <w:tblCellMar>
          <w:top w:w="0" w:type="dxa"/>
          <w:left w:w="108" w:type="dxa"/>
          <w:bottom w:w="0" w:type="dxa"/>
          <w:right w:w="108" w:type="dxa"/>
        </w:tblCellMar>
      </w:tblPr>
      <w:tblGrid>
        <w:gridCol w:w="3249"/>
        <w:gridCol w:w="1806"/>
        <w:gridCol w:w="1083"/>
        <w:gridCol w:w="1130"/>
        <w:gridCol w:w="1777"/>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88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交易性金融资产-股票投资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196,110,171.06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9,503,201.00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94.90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交易性金融资产-基金投资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交易性金融资产-债券投资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交易性金融资产-贵金属投资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衍生金融资产－权证投资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196,110,171.06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9,503,201.00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94.90</w:t>
            </w:r>
          </w:p>
        </w:tc>
      </w:tr>
    </w:tbl>
    <w:p>
      <w:pPr>
        <w:pStyle w:val="15"/>
        <w:rPr>
          <w:rFonts w:hint="eastAsia"/>
        </w:rPr>
      </w:pPr>
      <w:r>
        <w:rPr>
          <w:rFonts w:hint="eastAsia"/>
          <w:b/>
          <w:bCs/>
        </w:rPr>
        <w:t>7.4.13.4.3.2 其他价格风险的敏感性分析</w:t>
      </w:r>
    </w:p>
    <w:tbl>
      <w:tblPr>
        <w:tblStyle w:val="7"/>
        <w:tblW w:w="0" w:type="auto"/>
        <w:tblInd w:w="108" w:type="dxa"/>
        <w:tblLayout w:type="autofit"/>
        <w:tblCellMar>
          <w:top w:w="0" w:type="dxa"/>
          <w:left w:w="108" w:type="dxa"/>
          <w:bottom w:w="0" w:type="dxa"/>
          <w:right w:w="108" w:type="dxa"/>
        </w:tblCellMar>
      </w:tblPr>
      <w:tblGrid>
        <w:gridCol w:w="1083"/>
        <w:gridCol w:w="3351"/>
        <w:gridCol w:w="2382"/>
        <w:gridCol w:w="2382"/>
      </w:tblGrid>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分析</w:t>
            </w:r>
          </w:p>
        </w:tc>
        <w:tc>
          <w:tcPr>
            <w:tcW w:w="288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相关风险变量的变动</w:t>
            </w:r>
          </w:p>
        </w:tc>
        <w:tc>
          <w:tcPr>
            <w:tcW w:w="5055"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比较基准上涨5%资产净值变动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8,892,532.64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493,861.81</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比较基准下降5%资产净值变动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-8,892,532.64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-493,861.81</w:t>
            </w:r>
          </w:p>
        </w:tc>
      </w:tr>
    </w:tbl>
    <w:p>
      <w:pPr>
        <w:pStyle w:val="20"/>
        <w:rPr>
          <w:rFonts w:hint="eastAsia"/>
        </w:rPr>
      </w:pPr>
      <w:r>
        <w:rPr>
          <w:rFonts w:hint="eastAsia"/>
        </w:rPr>
        <w:t>本基金的业绩比较基准= 中证1000指数收益率×95%+一年期人民币定期存款利率(税后)×5%</w:t>
      </w:r>
    </w:p>
    <w:p>
      <w:pPr>
        <w:pStyle w:val="15"/>
        <w:rPr>
          <w:rFonts w:hint="eastAsia"/>
        </w:rPr>
      </w:pPr>
      <w:r>
        <w:rPr>
          <w:rFonts w:hint="eastAsia"/>
          <w:b/>
          <w:bCs/>
        </w:rPr>
        <w:t>7.4.14 有助于理解和分析会计报表需要说明的其他事项</w:t>
      </w:r>
    </w:p>
    <w:p>
      <w:pPr>
        <w:pStyle w:val="20"/>
        <w:rPr>
          <w:rFonts w:hint="eastAsia"/>
        </w:rPr>
      </w:pPr>
      <w:r>
        <w:rPr>
          <w:rFonts w:hint="eastAsia"/>
        </w:rPr>
        <w:t>  (1)公允价值</w:t>
      </w:r>
      <w:r>
        <w:rPr>
          <w:rFonts w:hint="eastAsia"/>
        </w:rPr>
        <w:br w:type="textWrapping"/>
      </w:r>
      <w:r>
        <w:rPr>
          <w:rFonts w:hint="eastAsia"/>
        </w:rPr>
        <w:t>  (a)金融工具公允价值计量的方法</w:t>
      </w:r>
      <w:r>
        <w:rPr>
          <w:rFonts w:hint="eastAsia"/>
        </w:rPr>
        <w:br w:type="textWrapping"/>
      </w:r>
      <w:r>
        <w:rPr>
          <w:rFonts w:hint="eastAsia"/>
        </w:rPr>
        <w:t>  公允价值计量结果所属的层次，由对公允价值计量整体而言具有重要意义的输入值所属的最低层次决定：</w:t>
      </w:r>
      <w:r>
        <w:rPr>
          <w:rFonts w:hint="eastAsia"/>
        </w:rPr>
        <w:br w:type="textWrapping"/>
      </w:r>
      <w:r>
        <w:rPr>
          <w:rFonts w:hint="eastAsia"/>
        </w:rPr>
        <w:t>  第一层次：相同资产或负债在活跃市场上未经调整的报价。</w:t>
      </w:r>
      <w:r>
        <w:rPr>
          <w:rFonts w:hint="eastAsia"/>
        </w:rPr>
        <w:br w:type="textWrapping"/>
      </w:r>
      <w:r>
        <w:rPr>
          <w:rFonts w:hint="eastAsia"/>
        </w:rPr>
        <w:t>  第二层次：除第一层次输入值外相关资产或负债直接或间接可观察的输入值。</w:t>
      </w:r>
      <w:r>
        <w:rPr>
          <w:rFonts w:hint="eastAsia"/>
        </w:rPr>
        <w:br w:type="textWrapping"/>
      </w:r>
      <w:r>
        <w:rPr>
          <w:rFonts w:hint="eastAsia"/>
        </w:rPr>
        <w:t>  第三层次：相关资产或负债的不可观察输入值。</w:t>
      </w:r>
      <w:r>
        <w:rPr>
          <w:rFonts w:hint="eastAsia"/>
        </w:rPr>
        <w:br w:type="textWrapping"/>
      </w:r>
      <w:r>
        <w:rPr>
          <w:rFonts w:hint="eastAsia"/>
        </w:rPr>
        <w:t>  (b)持续的以公允价值计量的金融工具</w:t>
      </w:r>
      <w:r>
        <w:rPr>
          <w:rFonts w:hint="eastAsia"/>
        </w:rPr>
        <w:br w:type="textWrapping"/>
      </w:r>
      <w:r>
        <w:rPr>
          <w:rFonts w:hint="eastAsia"/>
        </w:rPr>
        <w:t>  (i)各层次金融工具公允价值</w:t>
      </w:r>
      <w:r>
        <w:rPr>
          <w:rFonts w:hint="eastAsia"/>
        </w:rPr>
        <w:br w:type="textWrapping"/>
      </w:r>
      <w:r>
        <w:rPr>
          <w:rFonts w:hint="eastAsia"/>
        </w:rPr>
        <w:t>  于2017年12月31日，本基金持有的以公允价值计量且其变动计入当期损益的金融资产中属于第一层次的余额为184,733,660.40元，属于第二层次的余额为22,474,371.46元，无属于第三层次的余额(2016年12月31日：第一层次9,379,307.00元，第二层次123,894.00元，无属于第三层次的余额)。</w:t>
      </w:r>
      <w:r>
        <w:rPr>
          <w:rFonts w:hint="eastAsia"/>
        </w:rPr>
        <w:br w:type="textWrapping"/>
      </w:r>
      <w:r>
        <w:rPr>
          <w:rFonts w:hint="eastAsia"/>
        </w:rPr>
        <w:t>  (ii) 公允价值所属层次间的重大变动</w:t>
      </w:r>
      <w:r>
        <w:rPr>
          <w:rFonts w:hint="eastAsia"/>
        </w:rPr>
        <w:br w:type="textWrapping"/>
      </w:r>
      <w:r>
        <w:rPr>
          <w:rFonts w:hint="eastAsia"/>
        </w:rPr>
        <w:t>  对于证券交易所上市的股票和债券，若出现重大事项停牌、交易不活跃(包括涨跌停时的交易不活跃)、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r>
        <w:rPr>
          <w:rFonts w:hint="eastAsia"/>
        </w:rPr>
        <w:br w:type="textWrapping"/>
      </w:r>
      <w:r>
        <w:rPr>
          <w:rFonts w:hint="eastAsia"/>
        </w:rPr>
        <w:t>  (iii)第三层次公允价值余额和本期变动金额</w:t>
      </w:r>
      <w:r>
        <w:rPr>
          <w:rFonts w:hint="eastAsia"/>
        </w:rPr>
        <w:br w:type="textWrapping"/>
      </w:r>
      <w:r>
        <w:rPr>
          <w:rFonts w:hint="eastAsia"/>
        </w:rPr>
        <w:t>  无。</w:t>
      </w:r>
      <w:r>
        <w:rPr>
          <w:rFonts w:hint="eastAsia"/>
        </w:rPr>
        <w:br w:type="textWrapping"/>
      </w:r>
      <w:r>
        <w:rPr>
          <w:rFonts w:hint="eastAsia"/>
        </w:rPr>
        <w:t>  (c)非持续的以公允价值计量的金融工具</w:t>
      </w:r>
      <w:r>
        <w:rPr>
          <w:rFonts w:hint="eastAsia"/>
        </w:rPr>
        <w:br w:type="textWrapping"/>
      </w:r>
      <w:r>
        <w:rPr>
          <w:rFonts w:hint="eastAsia"/>
        </w:rPr>
        <w:t>  于2017年12月31日，本基金未持有非持续的以公允价值计量的金融资产(2016年12月31日：同)。</w:t>
      </w:r>
      <w:r>
        <w:rPr>
          <w:rFonts w:hint="eastAsia"/>
        </w:rPr>
        <w:br w:type="textWrapping"/>
      </w:r>
      <w:r>
        <w:rPr>
          <w:rFonts w:hint="eastAsia"/>
        </w:rPr>
        <w:t>  (d)不以公允价值计量的金融工具</w:t>
      </w:r>
      <w:r>
        <w:rPr>
          <w:rFonts w:hint="eastAsia"/>
        </w:rPr>
        <w:br w:type="textWrapping"/>
      </w:r>
      <w:r>
        <w:rPr>
          <w:rFonts w:hint="eastAsia"/>
        </w:rPr>
        <w:t>  不以公允价值计量的金融资产和负债主要包括应收款项和其他金融负债，其账面价值与公允价值相差很小。</w:t>
      </w:r>
      <w:r>
        <w:rPr>
          <w:rFonts w:hint="eastAsia"/>
        </w:rPr>
        <w:br w:type="textWrapping"/>
      </w:r>
      <w:r>
        <w:rPr>
          <w:rFonts w:hint="eastAsia"/>
        </w:rPr>
        <w:t>  (2)增值税</w:t>
      </w:r>
      <w:r>
        <w:rPr>
          <w:rFonts w:hint="eastAsia"/>
        </w:rPr>
        <w:br w:type="textWrapping"/>
      </w:r>
      <w:r>
        <w:rPr>
          <w:rFonts w:hint="eastAsia"/>
        </w:rPr>
        <w:t>  根据财政部、国家税务总局于2016年12月21日颁布的财税[2016]140号《关于明确金融 房地产开发 教育辅助服务等增值税政策的通知》的规定，资管产品运营过程中发生的增值税应税行为，以资管产品管理人为增值税纳税人。</w:t>
      </w:r>
      <w:r>
        <w:rPr>
          <w:rFonts w:hint="eastAsia"/>
        </w:rPr>
        <w:br w:type="textWrapping"/>
      </w:r>
      <w:r>
        <w:rPr>
          <w:rFonts w:hint="eastAsia"/>
        </w:rPr>
        <w:t>  根据财政部、国家税务总局于2017年6月30日颁布的财税[2017]56号《关于资管产品增值税有关问题的通知》的规定，资管产品管理人运营资管产品过程中发生的增值税应税行为，暂适用简易计税方法，按照3%的征收率缴纳增值税。对资管产品在2018年1月1日前运营过程中发生的增值税应税行为，未缴纳增值税的，不再缴纳；已缴纳增值税的，已纳税额从资管产品管理人以后月份的增值税应纳税额中抵减。</w:t>
      </w:r>
      <w:r>
        <w:rPr>
          <w:rFonts w:hint="eastAsia"/>
        </w:rPr>
        <w:br w:type="textWrapping"/>
      </w:r>
      <w:r>
        <w:rPr>
          <w:rFonts w:hint="eastAsia"/>
        </w:rPr>
        <w:t>  此外，财政部、国家税务总局于2017年12月25日颁布的财税[2017]90号《关于租入固定资产进行税额抵扣等增值税政策的通知》对资管产品管理人自2018年1月1日起运营资管产品提供的贷款服务、发生的部分金融商品转让业务的销售额确定做出规定。</w:t>
      </w:r>
      <w:r>
        <w:rPr>
          <w:rFonts w:hint="eastAsia"/>
        </w:rPr>
        <w:br w:type="textWrapping"/>
      </w:r>
      <w:r>
        <w:rPr>
          <w:rFonts w:hint="eastAsia"/>
        </w:rPr>
        <w:t>  上述税收政策对本基金截至2017年12月31日止的财务状况和经营成果无影响。</w:t>
      </w:r>
      <w:r>
        <w:rPr>
          <w:rFonts w:hint="eastAsia"/>
        </w:rPr>
        <w:br w:type="textWrapping"/>
      </w:r>
      <w:r>
        <w:rPr>
          <w:rFonts w:hint="eastAsia"/>
        </w:rPr>
        <w:t>  (3)除公允价值和增值税外，截至资产负债表日本基金无需要说明的其他重要事项。</w:t>
      </w:r>
    </w:p>
    <w:p>
      <w:pPr>
        <w:pStyle w:val="13"/>
        <w:rPr>
          <w:rFonts w:hint="eastAsia"/>
        </w:rPr>
      </w:pPr>
      <w:bookmarkStart w:id="35" w:name="_Toc510100998"/>
      <w:r>
        <w:rPr>
          <w:rFonts w:hint="eastAsia" w:hAnsi="Calibri"/>
          <w:b/>
          <w:color w:val="000000"/>
        </w:rPr>
        <w:t>§8 投资组合报告</w:t>
      </w:r>
      <w:bookmarkEnd w:id="35"/>
    </w:p>
    <w:p>
      <w:pPr>
        <w:pStyle w:val="14"/>
        <w:rPr>
          <w:rFonts w:hint="eastAsia"/>
        </w:rPr>
      </w:pPr>
      <w:bookmarkStart w:id="36" w:name="_Toc510100999"/>
      <w:r>
        <w:rPr>
          <w:rFonts w:hint="eastAsia"/>
          <w:b/>
          <w:bCs/>
        </w:rPr>
        <w:t>8.1 期末基金资产组合情况</w:t>
      </w:r>
      <w:bookmarkEnd w:id="36"/>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196,110,171.06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90.51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196,110,171.06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90.51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11,097,860.80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11,097,860.80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6,668,000.56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2,784,641.16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216,660,673.58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pStyle w:val="14"/>
        <w:rPr>
          <w:rFonts w:hint="eastAsia"/>
        </w:rPr>
      </w:pPr>
      <w:bookmarkStart w:id="37" w:name="_Toc510101000"/>
      <w:r>
        <w:rPr>
          <w:rFonts w:hint="eastAsia"/>
          <w:b/>
          <w:bCs/>
        </w:rPr>
        <w:t>8.2 报告期末按行业分类的股票投资组合</w:t>
      </w:r>
      <w:bookmarkEnd w:id="37"/>
    </w:p>
    <w:p>
      <w:pPr>
        <w:pStyle w:val="15"/>
        <w:rPr>
          <w:rFonts w:hint="eastAsia"/>
        </w:rPr>
      </w:pPr>
      <w:r>
        <w:rPr>
          <w:rFonts w:hint="eastAsia"/>
          <w:b/>
          <w:bCs/>
        </w:rPr>
        <w:t>8.2.1 报告期末（指数投资）按行业分类的境内股票投资组合</w:t>
      </w:r>
    </w:p>
    <w:tbl>
      <w:tblPr>
        <w:tblStyle w:val="7"/>
        <w:tblW w:w="0" w:type="auto"/>
        <w:tblInd w:w="108" w:type="dxa"/>
        <w:tblLayout w:type="autofit"/>
        <w:tblCellMar>
          <w:top w:w="0" w:type="dxa"/>
          <w:left w:w="108" w:type="dxa"/>
          <w:bottom w:w="0" w:type="dxa"/>
          <w:right w:w="108" w:type="dxa"/>
        </w:tblCellMar>
      </w:tblPr>
      <w:tblGrid>
        <w:gridCol w:w="832"/>
        <w:gridCol w:w="2812"/>
        <w:gridCol w:w="2812"/>
        <w:gridCol w:w="2742"/>
      </w:tblGrid>
      <w:tr>
        <w:tblPrEx>
          <w:tblCellMar>
            <w:top w:w="0" w:type="dxa"/>
            <w:left w:w="108" w:type="dxa"/>
            <w:bottom w:w="0" w:type="dxa"/>
            <w:right w:w="108" w:type="dxa"/>
          </w:tblCellMar>
        </w:tblPrEx>
        <w:trPr>
          <w:wBefore w:w="0" w:type="auto"/>
        </w:trPr>
        <w:tc>
          <w:tcPr>
            <w:tcW w:w="134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代码</w:t>
            </w:r>
          </w:p>
        </w:tc>
        <w:tc>
          <w:tcPr>
            <w:tcW w:w="401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行业类别</w:t>
            </w:r>
          </w:p>
        </w:tc>
        <w:tc>
          <w:tcPr>
            <w:tcW w:w="201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公允价值(元)</w:t>
            </w:r>
          </w:p>
        </w:tc>
        <w:tc>
          <w:tcPr>
            <w:tcW w:w="29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占基金资产净值的比例(%)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A</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农、林、牧、渔业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B</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采矿业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3,338,782.00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制造业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97,255,958.58</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D</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电力、热力、燃气及水生产和供应业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4,086,004.00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E</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建筑业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4,647,248.00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F</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批发和零售业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12,189,329.72</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G</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交通运输、仓储和邮政业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7,684,659.04</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H</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住宿和餐饮业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345,472.00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I</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信息传输、软件和信息技术服务业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12,887,461.20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J</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60,079.00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K</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房地产业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8,133,225.31</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L</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租赁和商务服务业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2,483,502.00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M</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科学研究和技术服务业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N</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水利、环境和公共设施管理业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1,293,989.00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O</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居民服务、修理和其他服务业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P</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教育</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Q</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卫生和社会工作</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R</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文化、体育和娱乐业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5,621,524.00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S</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综合</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合计</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160,027,233.85</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74.33</w:t>
            </w:r>
          </w:p>
        </w:tc>
      </w:tr>
    </w:tbl>
    <w:p>
      <w:pPr>
        <w:widowControl/>
        <w:jc w:val="left"/>
        <w:rPr>
          <w:rFonts w:hint="eastAsia" w:ascii="宋体" w:hAnsi="宋体" w:cs="宋体"/>
          <w:kern w:val="0"/>
          <w:sz w:val="24"/>
          <w:szCs w:val="24"/>
        </w:rPr>
      </w:pPr>
      <w:r>
        <w:rPr>
          <w:rFonts w:hint="eastAsia" w:ascii="宋体" w:hAnsi="宋体" w:cs="宋体"/>
          <w:kern w:val="0"/>
          <w:sz w:val="24"/>
          <w:szCs w:val="24"/>
        </w:rPr>
        <w:t xml:space="preserve">- </w:t>
      </w:r>
    </w:p>
    <w:p>
      <w:pPr>
        <w:widowControl/>
        <w:spacing w:before="100" w:beforeAutospacing="1" w:after="100" w:afterAutospacing="1"/>
        <w:jc w:val="left"/>
        <w:rPr>
          <w:rFonts w:hint="eastAsia" w:ascii="宋体" w:hAnsi="宋体" w:cs="宋体"/>
          <w:kern w:val="0"/>
          <w:sz w:val="24"/>
          <w:szCs w:val="24"/>
        </w:rPr>
      </w:pPr>
      <w:r>
        <w:rPr>
          <w:rFonts w:hint="eastAsia" w:ascii="宋体" w:hAnsi="宋体" w:cs="宋体"/>
          <w:b/>
          <w:bCs/>
          <w:kern w:val="0"/>
          <w:sz w:val="24"/>
          <w:szCs w:val="24"/>
        </w:rPr>
        <w:t>8.2.2 报告期末（积极投资）按行业分类的境内股票投资组合</w:t>
      </w:r>
    </w:p>
    <w:tbl>
      <w:tblPr>
        <w:tblStyle w:val="7"/>
        <w:tblW w:w="0" w:type="auto"/>
        <w:tblInd w:w="108" w:type="dxa"/>
        <w:tblLayout w:type="autofit"/>
        <w:tblCellMar>
          <w:top w:w="0" w:type="dxa"/>
          <w:left w:w="108" w:type="dxa"/>
          <w:bottom w:w="0" w:type="dxa"/>
          <w:right w:w="108" w:type="dxa"/>
        </w:tblCellMar>
      </w:tblPr>
      <w:tblGrid>
        <w:gridCol w:w="832"/>
        <w:gridCol w:w="2812"/>
        <w:gridCol w:w="2812"/>
        <w:gridCol w:w="2742"/>
      </w:tblGrid>
      <w:tr>
        <w:tblPrEx>
          <w:tblCellMar>
            <w:top w:w="0" w:type="dxa"/>
            <w:left w:w="108" w:type="dxa"/>
            <w:bottom w:w="0" w:type="dxa"/>
            <w:right w:w="108" w:type="dxa"/>
          </w:tblCellMar>
        </w:tblPrEx>
        <w:trPr>
          <w:wBefore w:w="0" w:type="auto"/>
        </w:trPr>
        <w:tc>
          <w:tcPr>
            <w:tcW w:w="134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代码</w:t>
            </w:r>
          </w:p>
        </w:tc>
        <w:tc>
          <w:tcPr>
            <w:tcW w:w="401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行业类别</w:t>
            </w:r>
          </w:p>
        </w:tc>
        <w:tc>
          <w:tcPr>
            <w:tcW w:w="201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公允价值(元)</w:t>
            </w:r>
          </w:p>
        </w:tc>
        <w:tc>
          <w:tcPr>
            <w:tcW w:w="29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占基金资产净值的比例(%)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A</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农、林、牧、渔业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1,785,537.60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B</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采矿业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制造业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22,215,863.72</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D</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电力、热力、燃气及水生产和供应业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6,081,127.70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E</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建筑业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F</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批发和零售业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2,249,136.40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G</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交通运输、仓储和邮政业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17,942.76</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H</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住宿和餐饮业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I</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信息传输、软件和信息技术服务业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600,392.55</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J</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K</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房地产业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1,963,349.28</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L</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租赁和商务服务业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M</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科学研究和技术服务业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1,137,264.00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N</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水利、环境和公共设施管理业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32,323.20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O</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居民服务、修理和其他服务业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P</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教育</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Q</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卫生和社会工作</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R</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文化、体育和娱乐业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S</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综合</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合计</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36,082,937.21</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16.76</w:t>
            </w:r>
          </w:p>
        </w:tc>
      </w:tr>
    </w:tbl>
    <w:p>
      <w:pPr>
        <w:widowControl/>
        <w:jc w:val="left"/>
        <w:rPr>
          <w:rFonts w:hint="eastAsia" w:ascii="宋体" w:hAnsi="宋体" w:cs="宋体"/>
          <w:kern w:val="0"/>
          <w:sz w:val="24"/>
          <w:szCs w:val="24"/>
        </w:rPr>
      </w:pPr>
      <w:r>
        <w:rPr>
          <w:rFonts w:hint="eastAsia" w:ascii="宋体" w:hAnsi="宋体" w:cs="宋体"/>
          <w:kern w:val="0"/>
          <w:sz w:val="24"/>
          <w:szCs w:val="24"/>
        </w:rPr>
        <w:t xml:space="preserve">- </w:t>
      </w:r>
    </w:p>
    <w:tbl>
      <w:tblPr>
        <w:tblStyle w:val="7"/>
        <w:tblW w:w="0" w:type="dxa"/>
        <w:tblInd w:w="108" w:type="dxa"/>
        <w:tblLayout w:type="autofit"/>
        <w:tblCellMar>
          <w:top w:w="0" w:type="dxa"/>
          <w:left w:w="0" w:type="dxa"/>
          <w:bottom w:w="0" w:type="dxa"/>
          <w:right w:w="0" w:type="dxa"/>
        </w:tblCellMar>
      </w:tblPr>
      <w:tblGrid>
        <w:gridCol w:w="6"/>
      </w:tblGrid>
      <w:tr>
        <w:tblPrEx>
          <w:tblCellMar>
            <w:top w:w="0" w:type="dxa"/>
            <w:left w:w="0" w:type="dxa"/>
            <w:bottom w:w="0" w:type="dxa"/>
            <w:right w:w="0" w:type="dxa"/>
          </w:tblCellMar>
        </w:tblPrEx>
        <w:trPr>
          <w:wBefore w:w="0" w:type="auto"/>
        </w:trPr>
        <w:tc>
          <w:tcPr>
            <w:tcW w:w="0" w:type="auto"/>
            <w:noWrap w:val="0"/>
            <w:vAlign w:val="center"/>
          </w:tcPr>
          <w:p>
            <w:pPr>
              <w:widowControl/>
              <w:jc w:val="left"/>
              <w:rPr>
                <w:rFonts w:hint="eastAsia" w:ascii="宋体" w:hAnsi="宋体" w:cs="宋体"/>
                <w:kern w:val="0"/>
                <w:sz w:val="24"/>
                <w:szCs w:val="24"/>
              </w:rPr>
            </w:pPr>
          </w:p>
        </w:tc>
      </w:tr>
    </w:tbl>
    <w:p>
      <w:pPr>
        <w:pStyle w:val="14"/>
      </w:pPr>
      <w:bookmarkStart w:id="38" w:name="_Toc510101001"/>
      <w:r>
        <w:rPr>
          <w:rFonts w:hint="eastAsia"/>
          <w:b/>
          <w:bCs/>
        </w:rPr>
        <w:t>8.3 期末按公允价值占基金资产净值比例大小排序的所有股票投资明细</w:t>
      </w:r>
      <w:bookmarkEnd w:id="38"/>
    </w:p>
    <w:p>
      <w:pPr>
        <w:pStyle w:val="15"/>
        <w:rPr>
          <w:rFonts w:hint="eastAsia"/>
        </w:rPr>
      </w:pPr>
      <w:r>
        <w:rPr>
          <w:rFonts w:hint="eastAsia"/>
          <w:b/>
          <w:bCs/>
        </w:rPr>
        <w:t>8.3.1 期末指数投资按公允价值占基金资产净值比例大小排序的所有股票投资明细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6"/>
        <w:gridCol w:w="1650"/>
        <w:gridCol w:w="1650"/>
        <w:gridCol w:w="1731"/>
        <w:gridCol w:w="1650"/>
        <w:gridCol w:w="1691"/>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伟星新材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2,508,210.00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扬农化工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2,489,469.00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北辰实业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2,483,331.00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新洋丰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2,355,024.00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海信科龙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2,281,488.00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科士达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2,227,957.00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中洲控股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136,397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2,213,723.31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禾丰牧业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2,205,792.00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帝龙文化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2,201,580.00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博威合金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2,194,560.00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东百集团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2,187,432.00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四创电子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37,555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2,181,569.95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137,636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2,178,777.88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金龙汽车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2,178,616.00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拓邦股份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2,147,145.00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鸿利智汇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2,137,069.00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沙隆达Ａ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2,128,655.00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联创互联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2,125,179.00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吴通控股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2,123,982.00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东方日升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175,086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2,123,793.18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永鼎股份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2,107,264.00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超图软件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2,098,296.00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交运股份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2,096,576.00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特发信息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2,082,820.00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羚锐制药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2,081,340.00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润和软件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2,079,232.00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230,678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2,071,488.44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卧龙地产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2,052,040.00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美克家居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2,038,245.00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葵花药业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65,768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2,026,969.76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聚飞光电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2,017,917.00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四川成渝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2,009,324.00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力源信息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2,002,644.00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福安药业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2,000,425.00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润邦股份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363,980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1,983,691.00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石大胜华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1,982,139.00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实达集团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1,981,520.00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科陆电子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1,980,635.00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603299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井神股份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1,952,697.00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润达医疗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1,935,500.00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天翔环境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1,919,912.00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运达科技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193,768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1,918,303.20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长高集团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311,465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1,909,280.45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齐峰新材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1,907,257.00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1,907,140.00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全信股份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100,890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1,899,758.70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南方传媒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1,875,204.00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益民集团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387,544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1,871,837.52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大地传媒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1,839,180.00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灵康药业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1,787,940.00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远东传动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1,674,008.00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新北洋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1,672,055.00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继峰股份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1,665,142.50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海联金汇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1,556,610.00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瀚蓝环境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1,548,745.00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华灿光电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1,538,720.00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经纬纺机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1,400,182.00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联建光电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1,384,838.00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万通地产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1,384,131.00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龙元建设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1,355,130.00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603421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鼎信通讯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1,334,696.00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维宏股份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1,333,632.00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鹏辉能源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1,331,904.00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平煤股份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1,309,140.00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美尚生态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1,293,989.00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明星电力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1,293,123.00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富祥股份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1,287,391.00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方大集团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1,259,268.00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柳州医药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1,213,983.20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赛升药业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1,209,600.00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洲明科技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1,176,890.00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北方国际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1,170,260.00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康欣新材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1,151,280.00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天康生物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140,620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1,141,834.40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文山电力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1,106,560.00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1,076,224.00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宏达股份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1,063,431.00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阳光照明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1,042,176.00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奇信股份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1,019,952.00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国星光电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994,168.00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953,418.00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红 太 阳</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46,428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936,452.76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凯撒旅游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910,976.00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天源迪科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851,955.00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神州数码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773,280.00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劲胜智能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710,424.00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唐人神</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688,086.00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凯盛科技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686,147.00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旗滨集团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672,672.00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世纪鼎利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661,080.00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索菱股份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655,145.00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好莱客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650,948.00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思维列控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649,320.00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杭萧钢构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554,840.00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安徽水利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547,066.00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山鹰纸业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520,366.00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福建高速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140,204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511,744.60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中原高速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507,870.00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好想你</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507,780.00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楚天高速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487,656.00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华宇软件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485,088.00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浙江鼎力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385,336.00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金禾实业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360,288.00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首旅酒店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345,472.00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一汽富维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331,851.00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301,148.00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象屿股份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187,688.00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国睿科技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170,471.00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山煤国际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166,408.00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模塑科技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162,162.00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四方股份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142,506.00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天瑞仪器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141,605.00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赣能股份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137,576.00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华舟应急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88,257.00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吴江银行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银轮股份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45,080.00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bl>
    <w:p>
      <w:pPr>
        <w:pStyle w:val="15"/>
        <w:rPr>
          <w:rFonts w:hint="eastAsia"/>
        </w:rPr>
      </w:pPr>
      <w:r>
        <w:rPr>
          <w:rFonts w:hint="eastAsia"/>
          <w:b/>
          <w:bCs/>
        </w:rPr>
        <w:t>8.3.2 期末积极投资按公允价值占基金资产净值比例大小排序的所有股票投资明细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9"/>
        <w:gridCol w:w="1666"/>
        <w:gridCol w:w="1666"/>
        <w:gridCol w:w="1666"/>
        <w:gridCol w:w="1666"/>
        <w:gridCol w:w="1705"/>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3,062,016.00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南山铝业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2,521,904.00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桂冠电力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426,346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2,451,489.50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天地科技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2,212,005.00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江苏国信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1,982,216.00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苏州高新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332,208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1,963,349.28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歌力思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1,830,800.00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百洋股份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96,620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1,785,537.60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长江润发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1,626,900.00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双汇发展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1,605,900.00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广汇汽车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189,020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1,515,940.40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华自科技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1,514,370.00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滨化股份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1,453,480.00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桃李面包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30,790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1,199,886.30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中衡设计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1,137,264.00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944,754.00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青岛海尔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917,508.00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827,964.00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海螺水泥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756,714.00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方直科技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566,280.00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广信股份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525,626.00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朗姿股份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500,640.00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黔源电力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473,665.00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宁波联合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413,034.00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博汇纸业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380,400.00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 希 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368,030.00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深南电路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267,621.64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重庆百货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243,082.00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国投电力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212,860.00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德赛西威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178,784.97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依顿电子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109,060.00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603737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三棵树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85,068.00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首商股份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77,080.00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300735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光弘科技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54,163.96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中欣氟材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38,181.15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603477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振静股份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37,027.70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300730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科创信息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34,112.55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300664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鹏鹞环保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32,323.20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名臣健康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28,948.46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伊戈尔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22,248.15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科华控股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20,753.25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19,912.00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赛腾股份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19,614.46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上海雅仕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17,942.76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新疆火炬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16,143.20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300684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中石科技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11,528.38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浙江富润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朗博科技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8,193.30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bl>
    <w:p>
      <w:pPr>
        <w:pStyle w:val="14"/>
        <w:rPr>
          <w:rFonts w:hint="eastAsia"/>
        </w:rPr>
      </w:pPr>
      <w:bookmarkStart w:id="39" w:name="_Toc510101002"/>
      <w:r>
        <w:rPr>
          <w:rFonts w:hint="eastAsia"/>
          <w:b/>
          <w:bCs/>
        </w:rPr>
        <w:t>8.4 报告期内股票投资组合的重大变动</w:t>
      </w:r>
      <w:bookmarkEnd w:id="39"/>
    </w:p>
    <w:p>
      <w:pPr>
        <w:pStyle w:val="15"/>
        <w:rPr>
          <w:rFonts w:hint="eastAsia"/>
        </w:rPr>
      </w:pPr>
      <w:r>
        <w:rPr>
          <w:rFonts w:hint="eastAsia"/>
          <w:b/>
          <w:bCs/>
        </w:rPr>
        <w:t>8.4.1 累计买入金额超出期初基金资产净值2%或前20名的股票明细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49"/>
        <w:gridCol w:w="2059"/>
        <w:gridCol w:w="2059"/>
        <w:gridCol w:w="2059"/>
        <w:gridCol w:w="2072"/>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本期累计买入金额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20,208,158.81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旗滨集团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18,337,276.39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四创电子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17,214,875.17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171.91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海亮股份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16,455,060.30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扬农化工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16,362,191.70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163.40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葵花药业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16,298,627.16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新联电子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16,125,870.62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一汽富维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16,074,146.60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现代制药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15,805,419.41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华宇软件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15,763,771.82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赣粤高速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15,506,325.40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154.85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南京医药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15,102,252.69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伟星新材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14,992,620.62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149.72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天康生物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14,975,227.61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149.55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红 太 阳</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14,556,030.12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沙隆达Ａ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14,378,897.77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广汇汽车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14,332,295.54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14,150,694.72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歌力思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14,070,247.62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楚天高速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13,902,013.80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威海广泰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13,789,705.52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振华科技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13,466,897.48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柳州医药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13,452,936.68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山鹰纸业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13,279,268.00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中材科技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13,184,743.96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润和软件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12,987,495.79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聚飞光电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12,812,004.03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永鼎股份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12,684,979.85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江苏国信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12,680,317.05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博威合金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12,589,075.00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12,535,960.99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通威股份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12,524,084.30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宁沪高速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12,483,315.10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12,415,493.00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方大集团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12,317,317.50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洲明科技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12,193,486.00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创意信息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12,156,316.88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江海股份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12,060,233.20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阳光照明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11,970,289.41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苏州高新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11,795,141.10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合兴包装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11,736,499.00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慈星股份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11,679,756.96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美克家居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11,660,170.90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科士达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11,579,998.51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大地传媒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11,558,160.87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四方精创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11,491,548.73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鼎龙股份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11,443,030.36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康欣新材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11,407,421.00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宁夏建材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11,372,898.35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交运股份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11,325,146.00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宝信软件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11,140,798.16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世纪鼎利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11,081,114.41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华西股份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11,009,059.72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德展健康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10,811,692.50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金禾实业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10,712,295.31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10,655,082.00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国星光电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10,609,840.53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绿城水务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10,567,026.20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云赛智联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10,482,052.86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帝龙文化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10,472,591.12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四方股份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10,456,887.53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劲胜智能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10,450,704.87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唐人神</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10,431,826.80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首钢股份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10,396,221.00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凯撒旅游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10,350,821.62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瀚蓝环境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10,313,167.67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好莱客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10,297,607.86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武汉控股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10,295,091.83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10,268,551.03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长高集团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10,247,650.55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宁波热电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10,216,451.87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北辰实业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10,134,021.00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泛海控股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9,996,996.52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 利 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9,932,356.50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英飞拓</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9,915,381.90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中洲控股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9,874,121.71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六国化工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9,801,981.06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力源信息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9,783,408.00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久远银海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9,771,288.96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林洋能源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9,751,962.06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海联金汇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9,662,164.13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青岛金王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9,592,654.78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太安堂</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9,569,578.00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金地集团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9,567,468.86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中原高速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9,560,339.90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新北洋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9,536,471.39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大亚圣象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9,520,150.63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交大昂立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9,461,201.50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长江润发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9,436,385.93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宝通科技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9,386,763.00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鸿利智汇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9,285,688.58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南山控股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9,240,921.10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骅威文化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9,196,215.16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双环传动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9,163,488.91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格力地产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9,142,512.03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浙江鼎力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9,121,410.50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灵康药业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9,082,615.20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小天鹅Ａ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9,057,370.70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乾照光电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9,033,193.11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北方国际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9,018,894.00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中利集团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9,010,107.00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朗姿股份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8,967,151.16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经纬纺机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8,920,470.00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溢多利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8,907,118.79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日海通讯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8,886,652.73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凯利泰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8,856,553.59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索菱股份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8,842,828.78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特发信息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8,838,728.28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联美控股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8,823,822.38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穗恒运Ａ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8,744,645.00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南山铝业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8,720,544.00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象屿股份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8,712,466.86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海螺水泥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8,689,230.28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福建高速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8,651,495.60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太阳能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8,633,203.68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联建光电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8,561,015.22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三星医疗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8,547,044.67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万里扬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8,515,915.05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齐峰新材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8,503,321.00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奥佳华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8,493,545.00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中南文化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8,463,142.00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华灿光电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8,452,905.00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8,390,382.44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全信股份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8,340,545.50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广信股份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8,309,726.59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同济堂</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8,298,370.99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本钢板材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8,267,031.94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科华恒盛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8,260,254.40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8,135,775.00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京新药业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8,068,201.00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益民集团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8,046,446.55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神州数码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7,980,954.04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江南水务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7,975,291.00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国脉科技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7,947,752.61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三友化工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7,927,654.00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福安药业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7,924,366.02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恒泰艾普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7,924,208.35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韶能股份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7,920,434.00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龙元建设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7,875,977.56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百隆东方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7,865,043.22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百洋股份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7,841,564.80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盛屯矿业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7,829,532.00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粤宏远Ａ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7,800,747.00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银河电子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7,775,536.10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创业软件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7,770,279.00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星宇股份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7,753,499.97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宏发股份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7,742,685.44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汉得信息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7,739,714.66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怡球资源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7,717,867.05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安徽水利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7,696,114.00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科陆电子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7,515,432.00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金卡智能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7,466,686.55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辉丰股份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7,416,022.20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凌云股份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7,398,452.00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众业达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7,345,862.39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桂冠电力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7,326,900.58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平煤股份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7,315,891.00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兴森科技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7,315,765.43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中顺洁柔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7,273,756.05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哈投股份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7,267,018.67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浙江富润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7,246,051.00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兰花科创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7,202,486.00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国药股份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7,166,873.00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维宏股份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7,151,133.00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万业企业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7,147,984.54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炬华科技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7,140,334.24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渤海活塞</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7,134,185.25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四川成渝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7,133,551.00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青松股份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7,108,454.00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金达威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7,107,416.20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利源精制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7,060,714.00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露笑科技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7,059,477.00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城市传媒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7,042,474.37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岳阳林纸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7,038,853.33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6,955,884.45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佳士科技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6,955,212.32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舒泰神</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6,951,202.71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中衡设计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6,886,152.83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天顺风能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6,879,559.60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羚锐制药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6,859,870.97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山东路桥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6,859,291.33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广弘控股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6,852,200.41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赛升药业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6,795,919.00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天地科技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6,768,724.00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嘉化能源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6,734,369.99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全柴动力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6,728,662.95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6,689,994.60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远东传动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6,688,233.00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卫星石化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6,648,162.96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天虹股份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6,626,312.00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天翔环境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6,610,344.50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安妮股份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6,593,550.79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6,578,558.00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华西能源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6,545,660.00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禾丰牧业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6,508,070.00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冰轮环境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6,478,164.50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603737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三棵树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6,441,719.00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广汇物流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6,426,055.58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华贸物流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6,416,697.00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林州重机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6,398,353.75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凯撒文化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6,395,410.00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振东制药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6,393,725.62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思美传媒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6,387,515.65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东方日升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6,371,696.70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广东明珠</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6,367,968.94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赣能股份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6,192,604.00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惠而浦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6,159,877.99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九牧王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6,127,649.60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奇信股份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6,119,217.54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科远股份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6,088,490.10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丰原药业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6,059,292.00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拓邦股份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6,032,596.00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三湘印象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6,030,634.00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三元股份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5,972,887.00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辉煌科技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5,929,851.00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闰土股份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5,924,336.77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梦舟股份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5,912,801.00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拓尔思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5,902,601.49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保龄宝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5,892,723.98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蓝焰控股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5,856,901.38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卓翼科技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5,853,484.71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润邦股份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5,839,575.98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金安国纪</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5,818,411.25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中设集团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5,809,271.00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和而泰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5,798,426.50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泰格医药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5,779,629.00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运达科技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5,758,655.00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梅泰诺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5,747,152.04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新时达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5,743,458.84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文山电力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5,742,345.00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栋梁新材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5,697,405.00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邦讯技术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5,671,173.66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川投能源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5,655,298.00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新洋丰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5,654,089.00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明牌珠宝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5,637,233.78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天源迪科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5,613,574.71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通裕重工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5,576,779.00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铜峰电子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5,573,947.00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银轮股份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5,549,893.27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茂业商业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5,527,135.02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宜华健康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5,525,570.60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宁波华翔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5,520,702.64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建新矿业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5,486,097.96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万年青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5,483,982.00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新开普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5,474,004.04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黄山旅游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5,471,352.00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耐威科技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5,470,046.93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赤峰黄金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5,466,744.00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智度股份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5,454,067.50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南京熊猫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5,438,952.92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中电鑫龙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5,432,283.36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广东榕泰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5,381,590.99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重庆路桥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5,369,636.00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金陵饭店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5,359,606.64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珠江实业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5,334,824.80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5,300,855.00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华意压缩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5,299,389.00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风范股份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5,296,983.00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理工环科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5,230,425.23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联创光电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5,223,227.69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继峰股份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5,167,620.50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5,161,682.67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科达洁能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5,158,783.44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冠福股份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5,122,674.84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楚江新材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5,108,166.00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桃李面包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5,083,870.90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海航基础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5,077,699.99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603456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九洲药业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5,070,692.00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京山轻机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5,064,665.00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赛轮金宇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5,059,334.80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雪榕生物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5,057,511.20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瑞尔特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5,037,016.24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5,017,649.38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钱江水利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5,009,121.00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泰禾集团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5,001,845.62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北斗星通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4,988,780.00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大立科技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4,945,239.00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共进股份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4,890,662.80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高升控股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4,879,061.04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豫光金铅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4,861,699.80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英唐智控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4,859,781.00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龙马环卫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4,851,882.93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汉威科技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4,849,260.04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坚朗五金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4,829,796.50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博彦科技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4,765,674.00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恩华药业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4,751,772.40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普洛药业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4,712,031.84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力生制药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4,701,410.83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海信科龙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4,694,323.00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江南化工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4,689,540.00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华峰氨纶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4,683,076.74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华帝股份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4,664,969.08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北部湾旅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4,654,336.82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滨江集团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4,632,737.25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 力 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4,611,327.00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精达股份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4,559,618.00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康盛股份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4,554,282.00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正泰电器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4,537,811.30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新国都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4,521,294.86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仁和药业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4,515,259.00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双塔食品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4,514,513.00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中远海科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4,513,307.66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盛达矿业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4,511,320.00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岭南园林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4,501,641.56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万和电气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4,498,845.56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宁波东力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4,476,072.00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新疆天业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4,452,086.20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江苏国泰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4,391,932.44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上工申贝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4,391,863.01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润达医疗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4,367,483.40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涪陵电力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4,365,904.69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苏交科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4,357,128.00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扬杰科技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4,335,360.51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天海防务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4,314,278.50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鹏辉能源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4,287,668.12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海天味业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4,285,737.00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中广核技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4,265,626.00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柯利达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4,261,114.88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4,260,203.00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文科园林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4,258,466.00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粤 水 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4,241,370.00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华菱星马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4,217,276.00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吴通控股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4,190,283.00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南方传媒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4,188,903.00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黔源电力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4,176,842.00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海大集团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4,124,084.00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闻泰科技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4,105,489.00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博敏电子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4,101,444.00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司尔特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4,096,032.00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腾达建设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4,093,644.00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北讯集团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4,088,402.00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三维工程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4,058,516.00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石大胜华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4,054,202.00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易见股份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4,012,236.86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天奇股份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4,005,502.00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茂化实华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4,003,953.48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凯龙股份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3,993,914.50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东方创业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3,983,149.99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京东方Ａ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3,973,471.00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齐心集团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3,967,102.00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晶盛机电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3,965,154.82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豫金刚石</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3,949,915.42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奥普光电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3,928,967.50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国睿科技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3,916,887.80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捷顺科技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3,895,532.06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中钨高新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3,891,513.00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3,884,721.44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通润装备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3,880,056.00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华铁股份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3,876,598.00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百花村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3,852,701.00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华舟应急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3,838,515.30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亚太药业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3,769,171.21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中航电测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3,759,669.00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太极实业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3,756,211.00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联创互联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3,754,658.00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长青股份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3,742,066.00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久其软件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3,716,357.75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中天能源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3,712,639.50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盛天网络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3,699,806.10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供销大集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3,692,932.64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普利特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3,680,792.54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安琪酵母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3,657,037.25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新光圆成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3,648,974.90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3,602,013.00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浙江广厦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3,592,019.00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模塑科技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3,554,716.00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华天科技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3,535,517.00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盘江股份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3,524,049.99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苏常柴Ａ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3,494,499.69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滨化股份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3,491,033.00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汤臣倍健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3,459,673.00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伊力特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3,458,688.00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厦门信达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3,418,271.70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宏润建设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3,401,249.24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通富微电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3,399,907.20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天舟文化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3,399,099.10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3,383,295.00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南洋股份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3,366,016.00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雅本化学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3,364,733.00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粤泰股份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3,356,546.00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中国重汽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3,304,516.25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重庆百货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3,288,860.00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超图软件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3,274,989.00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中新科技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3,257,664.00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通程控股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3,243,856.00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东旭蓝天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3,232,613.00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楚天科技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3,203,358.32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湖北广电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3,157,526.98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五矿资本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3,157,513.00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永利股份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3,129,440.00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智慧松德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3,126,640.00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东土科技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3,119,036.00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3,117,090.00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恒逸石化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3,095,184.00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新潮能源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3,062,877.00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浙江美大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3,042,492.00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美尚生态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3,035,454.70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卧龙地产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3,009,372.00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兖州煤业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2,985,543.97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鲁 泰Ａ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2,985,328.00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星普医科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2,976,619.00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2,970,529.00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鲍斯股份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2,967,203.80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金龙汽车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2,954,435.00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光明地产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2,947,160.00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富奥股份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2,941,059.82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紫江企业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2,931,072.00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龙力生物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2,930,921.00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众合科技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2,904,745.00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华鲁恒升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2,881,020.00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广博股份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2,849,791.38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深大通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2,847,666.14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中天科技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2,846,722.49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重庆啤酒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2,845,235.58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新华百货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2,832,598.46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捷成股份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2,827,052.70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三毛派神</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2,826,162.50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方直科技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2,819,715.00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蓝盾股份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2,811,638.98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首旅酒店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2,810,528.00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完美世界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2,809,773.80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飞乐音响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2,789,664.00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宏大爆破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2,776,624.20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飞马国际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2,766,081.22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恒顺醋业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2,736,945.00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王府井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2,734,015.80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洽洽食品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2,722,727.00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鞍钢股份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2,701,271.28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达实智能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2,684,795.05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红豆股份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2,684,792.30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金圆股份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2,669,737.00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和晶科技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2,667,501.64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诚志股份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2,665,596.00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华泰股份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2,664,349.90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奥维通信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2,663,772.27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天龙集团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2,648,564.50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桐昆股份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2,648,496.20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海泰发展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2,647,927.00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旋极信息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2,646,855.90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老凤祥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2,634,480.10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宋都股份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2,616,643.65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宝馨科技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2,614,431.00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富瑞特装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2,611,546.40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浩丰科技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2,600,269.00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江山股份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2,587,727.13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沪电股份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2,583,684.00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宜华生活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2,580,715.00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宏图高科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2,577,856.00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正业科技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2,573,109.00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民盛金科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2,572,543.85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凤凰传媒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2,562,150.00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兆驰股份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2,551,061.00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鼎捷软件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2,541,265.00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603299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井神股份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2,532,349.00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方大化工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2,503,977.99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华邦健康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2,489,744.00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建研集团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2,487,385.34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赤天化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2,466,965.00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创元科技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2,465,505.76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四川美丰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2,463,643.98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杭萧钢构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2,457,289.67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中元股份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2,450,581.00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兴化股份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2,441,776.00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光明乳业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2,405,021.00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天银机电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2,404,261.46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思维列控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2,402,785.00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青岛啤酒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2,393,721.00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明家联合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2,387,980.00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华峰超纤</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2,375,816.21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四方达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2,374,632.00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江南高纤</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2,372,373.00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盛路通信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2,369,624.30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四环生物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2,368,083.75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万通地产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2,367,162.00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巴安水务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2,359,102.80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浩云科技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2,348,311.12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白云电器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2,347,085.51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青岛海尔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2,323,992.00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宝胜股份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2,316,366.00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南都电源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2,306,860.00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金雷风电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2,306,820.00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胜宏科技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2,306,386.00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珠江钢琴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2,305,919.00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美晨生态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2,287,502.00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*ST华菱</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2,287,048.08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鲁银投资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2,281,368.06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正源股份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2,262,003.00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兰州黄河</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2,260,340.00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梅花生物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2,258,073.00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2,257,715.00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中金环境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2,252,549.80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博汇纸业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2,242,981.00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青海春天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2,241,679.00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华谊嘉信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2,234,499.54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姚记扑克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2,226,796.00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深圳燃气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2,221,368.00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超华科技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2,213,550.00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广电电气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2,208,825.04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天健集团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2,205,640.70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汉鼎宇佑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2,201,224.00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华建集团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2,197,620.65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大名城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2,191,706.00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恒康医疗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2,190,320.50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顺鑫农业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2,165,203.00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东百集团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2,153,445.00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博晖创新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2,151,769.57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珈伟股份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2,130,026.00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桂东电力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2,126,105.00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天玑科技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2,112,074.00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浪潮软件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2,106,741.00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新南洋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2,105,971.00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精华制药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2,102,008.00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2,101,587.00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久联发展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2,089,076.06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巴士在线</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2,086,778.00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中央商场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2,065,038.00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 希 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2,058,396.00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火炬电子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2,049,369.00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华资实业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2,046,646.98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狮头股份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2,043,436.00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佳讯飞鸿</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2,040,788.00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南天信息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2,039,596.00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华星创业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2,024,332.00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亿利达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2,021,633.00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实达集团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2,018,675.00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现代投资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2,012,201.00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景嘉微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2,005,939.00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世名科技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2,003,511.00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日发精机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2,001,602.00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海源机械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1,994,266.00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迈克生物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1,993,714.00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神农基因</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1,989,864.00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鞍重股份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1,987,046.00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603421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鼎信通讯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1,983,250.00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中捷资源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1,980,546.00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黑芝麻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1,978,153.00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森源电气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1,976,886.00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美康生物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1,973,296.51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北纬科技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1,971,393.63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合康新能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1,967,823.16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德尔股份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1,967,653.00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 赛 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1,967,252.00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海洋王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1,948,323.00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天瑞仪器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1,943,544.00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富祥股份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1,932,750.00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恒力股份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1,932,095.00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中原内配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1,912,236.00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东富龙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1,911,318.33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九安医疗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1,902,184.00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京蓝科技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1,893,404.00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浦东建设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1,889,014.00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金智科技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1,885,230.46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洋河股份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1,880,924.00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会稽山</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1,877,035.00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扬子新材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1,865,723.00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四方冷链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1,854,503.00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浙江震元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1,851,303.00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华茂股份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1,847,262.00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锦州港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1,842,169.00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时代出版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1,840,224.87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维尔利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1,838,450.00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雷曼股份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1,837,276.00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秦川机床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1,829,514.88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聚光科技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1,818,634.04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晨光生物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1,813,365.02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甘肃电投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1,813,316.00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长荣股份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天目药业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1,797,791.00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口子窖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1,797,106.00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凯发电气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1,782,597.00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回天新材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1,782,105.00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耀皮玻璃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1,780,940.00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京威股份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1,779,015.20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菲达环保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1,753,638.00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汇洁股份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1,753,484.72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太阳鸟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1,748,680.00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华平股份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1,744,112.00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烽火电子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1,744,037.96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真视通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1,740,641.00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明星电力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1,729,744.00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凯盛科技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1,724,000.22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长生生物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1,719,457.00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香江控股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1,716,123.10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宏达高科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1,712,333.00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长园集团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1,706,355.00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海鸥卫浴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1,700,871.57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天音控股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1,700,411.00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东方铁塔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1,692,344.00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华自科技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1,687,439.00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603738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泰晶科技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1,678,960.00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鸿路钢构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1,673,291.00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天润曲轴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1,644,365.00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松芝股份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1,641,454.12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中海达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1,638,860.00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乐金健康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1,631,713.00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002802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洪汇新材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1,630,064.00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杭电股份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1,623,355.00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双汇发展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1,621,020.00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1,610,055.00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宏达股份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1,609,828.00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依顿电子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1,580,395.00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宝硕股份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1,568,615.00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大北农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1,566,960.50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振华重工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1,565,983.00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飞利信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1,561,444.00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黄河旋风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1,559,717.18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嘉事堂</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1,558,641.11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达 意 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1,539,973.00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广誉远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1,536,527.00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永贵电器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1,531,555.00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必康股份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1,523,918.00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伟星股份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1,485,911.64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1,484,048.00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深天地Ａ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1,477,439.00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佳都科技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1,473,486.39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南宁糖业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1,460,765.00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永艺股份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1,456,347.87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1,446,464.00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洪城水业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1,442,982.00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亚太科技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1,433,541.00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海兰信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1,431,135.94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中华企业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1,424,543.00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国恩股份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1,421,329.00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金正大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1,420,892.00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宜通世纪</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1,419,055.00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美亚柏科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1,415,086.00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神奇制药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1,407,964.28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华联控股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1,390,751.00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劲嘉股份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1,388,487.00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英洛华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1,370,984.00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亚威股份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1,360,785.25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鹿港文化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1,345,147.00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普莱柯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1,345,136.28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新湖中宝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1,345,100.00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陕西煤业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1,338,479.00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山煤国际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1,337,569.00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动力源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1,330,535.00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海能达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1,326,624.00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高新兴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1,326,134.00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海特高新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1,322,674.00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九洲电气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1,313,247.00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云铝股份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1,312,980.00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泰合健康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1,299,457.27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北京利尔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1,298,153.92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粤高速Ａ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1,297,958.00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吉药控股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1,295,272.00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瑞丰光电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1,294,994.00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1,285,233.94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东诚药业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1,268,046.00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光大嘉宝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1,256,161.00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涪陵榨菜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1,249,167.40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国瓷材料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1,249,012.71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金信诺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1,238,295.16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英威腾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1,219,422.00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中孚实业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1,212,819.99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西藏药业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1,207,343.00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恒信东方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1,203,917.30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东软载波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1,202,483.00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杭钢股份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1,199,793.00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汉王科技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1,199,214.00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山大华特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1,178,395.50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1,167,133.30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金山股份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1,164,578.00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同济科技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1,160,152.58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皖维高新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1,158,928.00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国药一致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1,156,829.00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京投发展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1,154,998.06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初灵信息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1,152,188.00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华银电力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1,149,273.00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中牧股份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1,145,440.95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黑牛食品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1,142,064.24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泰豪科技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1,140,609.00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欧比特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1,138,296.00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远兴能源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1,128,263.00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漳泽电力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1,125,120.00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吉鑫科技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1,124,437.62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电子城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1,123,691.00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未名医药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1,116,909.00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好想你</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1,110,373.87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海南高速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1,107,700.00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尤夫股份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1,099,992.00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晓程科技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1,098,074.01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雅化集团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1,089,304.00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广聚能源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1,086,673.85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赛象科技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1,083,029.00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星湖科技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1,080,832.00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证通电子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1,080,613.00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山河智能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1,074,987.00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申通快递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1,074,390.00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南风股份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1,073,045.00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中航机电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1,072,345.00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曲美家居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1,069,252.00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002801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微光股份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1,068,713.00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东方海洋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1,067,615.00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东方电热</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1,063,535.00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正海磁材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1,055,602.77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航天晨光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1,054,970.00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升达林业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1,052,128.86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浙江交科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1,047,374.00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兆新股份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1,046,791.00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拓日新能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1,046,110.00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日科化学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1,042,742.00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吉艾科技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1,020,546.00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艾格拉斯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1,020,382.00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茂业通信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1,019,344.00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尖峰集团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1,016,309.00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常山药业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1,008,743.00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华昌化工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998,949.05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法拉电子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998,841.00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有研新材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995,410.00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中国长城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990,549.00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华电能源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988,349.67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兴业矿业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987,234.00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双星新材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985,053.00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东南网架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978,454.00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益丰药房</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969,993.00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江苏神通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969,285.80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苏州固锝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969,145.00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福瑞股份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961,777.00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罗平锌电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958,142.00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艾比森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956,776.80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金浦钛业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954,817.00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云海金属</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954,256.00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广汽集团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953,310.00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喜临门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951,555.28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创力集团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947,159.00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合众思壮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942,058.93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三维通信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937,811.00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仟源医药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935,328.69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弘业股份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934,761.56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广宇发展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932,523.00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宜安科技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929,113.92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九州通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927,158.00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川仪股份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927,150.12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黔轮胎Ａ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926,111.00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星星科技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925,150.25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当代明诚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916,452.00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围海股份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910,283.00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中联重科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903,772.00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蓝海华腾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901,509.00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青龙管业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900,077.00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中环装备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897,214.03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603227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雪峰科技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894,181.00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三诺生物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894,061.00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八菱科技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889,463.94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安居宝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888,579.00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三联虹普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881,316.07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广泽股份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880,073.00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兰州民百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874,790.00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辽宁成大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868,163.00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*ST弘高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867,339.00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中国国贸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865,516.00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启明信息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863,828.64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华远地产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854,891.00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杭锅股份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848,290.00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保变电气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846,463.00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一拖股份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841,847.00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中亚股份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837,801.00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昌红科技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837,058.50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东易日盛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835,574.10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悦心健康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831,519.00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明泰铝业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822,724.00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光一科技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817,596.56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双杰电气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813,015.10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银信科技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810,111.00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800,217.00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新光药业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797,719.00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苏奥传感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794,288.00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791,508.00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京天利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783,888.71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红蜻蜓</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779,566.00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龙津药业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774,528.00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福日电子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774,411.00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永太科技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767,022.00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云煤能源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763,910.00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天保基建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763,492.00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蓝英装备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761,807.10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惠泉啤酒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758,913.00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莲花健康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756,502.00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广安爱众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754,670.00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海南瑞泽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751,600.00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华孚时尚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751,240.00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中国中铁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748,704.00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宝莱特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740,814.00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中船防务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730,055.00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海陆重工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726,633.00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安阳钢铁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726,312.00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珍宝岛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725,554.00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603788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宁波高发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721,749.76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高能环境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719,586.02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美都能源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718,522.00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上实发展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716,660.00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国机汽车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709,567.07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加加食品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709,529.00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常铝股份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706,568.00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康跃科技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702,321.00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鲁阳节能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700,987.00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广日股份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698,895.00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新华传媒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698,551.98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丰林集团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697,931.00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申华控股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697,814.00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天夏智慧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696,364.93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大港股份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695,728.84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哈尔斯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694,486.00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长城影视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691,252.00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艾华集团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690,496.00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木林森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689,238.00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687,385.00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686,639.00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天桥起重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686,243.00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雅百特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682,770.00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哈药股份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680,837.00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高新发展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680,081.00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泰胜风能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678,831.00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荣盛石化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678,231.99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天茂集团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678,201.00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潍柴重机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677,040.00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摩恩电气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672,536.00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华铭智能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669,505.00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厦门国贸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667,346.00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郴电国际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665,892.90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菲利华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660,003.26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毅昌股份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658,671.00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新美星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657,946.00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东湖高新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657,930.00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荣盛发展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657,015.00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阳谷华泰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656,805.00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紫光股份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656,541.94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日出东方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656,171.00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蓝帆医疗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656,077.00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横店东磁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652,158.59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博思软件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650,706.35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亚夏汽车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650,650.80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克明面业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650,033.00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精艺股份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649,143.31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键桥通讯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648,523.00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汇冠股份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647,993.76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成飞集成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647,985.00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中炬高新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647,835.00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红 宝 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647,638.00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华北制药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647,578.00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大同煤业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642,192.00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赞宇科技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642,095.00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粤 传 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641,748.00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山东高速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641,460.00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北京科锐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641,310.00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ST明科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641,223.00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三德科技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641,173.00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安诺其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641,154.00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民丰特纸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641,142.35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广电网络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641,119.00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广田集团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641,002.50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天威视讯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639,227.00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山东药玻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639,128.16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哈森股份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638,233.00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高科石化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637,129.00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利尔化学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637,106.00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西泵股份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636,901.00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新乡化纤</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635,983.00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江南嘉捷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635,445.49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中国神华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633,803.01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德美化工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633,802.94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鄂武商Ａ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632,659.40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森马服饰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631,569.00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标准股份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631,358.00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631,157.00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日上集团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630,698.00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三花智控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629,972.00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新野纺织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628,795.00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清水源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627,548.00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醋化股份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627,376.00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三峡新材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626,632.00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金新农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623,669.00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萃华珠宝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623,150.00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新元科技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622,729.70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新莱应材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619,543.00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新宝股份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618,509.00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远方信息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618,219.00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申能股份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618,111.00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龙宇燃油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617,789.00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陕天然气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617,322.82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沧州明珠</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616,939.00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万讯自控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616,804.24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千金药业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616,129.00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金运激光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615,402.85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南兴装备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614,575.16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鹏翎股份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613,255.53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 海 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610,905.00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昊华能源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609,937.00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裕兴股份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609,622.25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广东鸿图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609,524.00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鲁北化工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608,520.00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奥克股份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605,596.00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焦点科技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603,532.80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云南城投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603,191.00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人人乐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601,246.00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长鹰信质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601,105.00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华侨城Ａ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598,762.00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海联讯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596,914.48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龙泉股份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590,329.00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瑞贝卡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590,157.00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华东电脑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589,995.00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新华联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588,978.00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隧道股份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583,151.00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银星能源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581,215.20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603268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松发股份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580,027.00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华明装备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573,142.99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冀东装备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564,685.00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腾邦国际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560,246.00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金一文化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559,901.00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温氏股份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557,163.00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深振业Ａ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554,666.00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露天煤业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554,105.97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东方银星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547,563.00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贵糖股份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536,384.00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*ST大有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535,848.30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中工国际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521,846.00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越秀金控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509,248.00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靖远煤电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504,940.00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章源钨业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495,264.00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道氏技术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487,291.00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大秦铁路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485,763.00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兔 宝 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470,961.00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皖新传媒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468,079.00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阳光电源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463,250.00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江河集团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457,762.00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西水股份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449,242.00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易世达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446,453.00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信维通信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445,357.00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我武生物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432,637.00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江苏舜天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430,979.00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佛慈制药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424,478.00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银宝山新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414,917.00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太阳纸业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414,645.00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道森股份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412,785.00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宁波联合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409,865.00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福成股份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407,995.70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惠伦晶体</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399,843.50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开滦股份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399,637.00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利亚德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393,941.00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晨光文具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392,551.00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中国太保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391,429.00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柏堡龙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391,377.00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京运通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390,585.00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开创国际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385,483.00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壹桥股份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383,872.00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创业环保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378,505.00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海南椰岛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366,060.68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东风股份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361,238.00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龙蟒佰利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359,884.00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迪森股份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358,988.00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诺德股份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351,194.50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马钢股份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344,960.00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台基股份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343,595.00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深康佳Ａ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340,766.00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良信电器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336,834.00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603799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华友钴业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320,083.00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沃森生物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313,080.00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江粉磁材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290,395.00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渤海金控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287,689.00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欢瑞世纪</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270,101.00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富控互动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262,568.00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中国建筑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243,010.00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爱施德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230,570.00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莎普爱思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228,536.00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丽江旅游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219,441.00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德联集团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215,440.91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国投电力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212,762.00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永新股份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210,831.00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孚日股份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209,722.00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全新好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207,591.00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*ST海润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205,492.00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国联水产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202,025.00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鹏欣资源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201,107.00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w:t>
            </w:r>
          </w:p>
        </w:tc>
      </w:tr>
    </w:tbl>
    <w:p>
      <w:pPr>
        <w:pStyle w:val="20"/>
        <w:rPr>
          <w:rFonts w:hint="eastAsia"/>
        </w:rPr>
      </w:pPr>
      <w:r>
        <w:rPr>
          <w:rFonts w:hint="eastAsia"/>
        </w:rPr>
        <w:t>注：本期累计买入金额按买卖成交金额,不考虑相关交易费用。</w:t>
      </w:r>
    </w:p>
    <w:p>
      <w:pPr>
        <w:pStyle w:val="15"/>
        <w:rPr>
          <w:rFonts w:hint="eastAsia"/>
        </w:rPr>
      </w:pPr>
      <w:r>
        <w:rPr>
          <w:rFonts w:hint="eastAsia"/>
          <w:b/>
          <w:bCs/>
        </w:rPr>
        <w:t>8.4.2 累计卖出金额超出期初基金资产净值2%或前20名的股票明细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49"/>
        <w:gridCol w:w="2059"/>
        <w:gridCol w:w="2059"/>
        <w:gridCol w:w="2059"/>
        <w:gridCol w:w="2072"/>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本期累计卖出金额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18,262,112.44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182.37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旗滨集团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17,949,830.11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海亮股份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16,967,238.99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169.44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一汽富维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16,114,562.91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新联电子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15,824,344.56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现代制药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15,755,084.07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赣粤高速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15,658,096.97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156.36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华宇软件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15,443,215.66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154.22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四创电子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14,799,164.37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南京医药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14,664,662.64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葵花药业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14,337,152.09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扬农化工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14,199,786.55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威海广泰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13,932,478.24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天康生物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13,759,647.12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红 太 阳</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13,696,619.65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中材科技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13,608,610.98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振华科技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13,503,708.00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楚天高速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13,144,704.99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山鹰纸业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13,074,826.00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通威股份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13,059,129.82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广汇汽车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12,940,430.79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伟星新材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12,704,814.76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沙隆达Ａ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12,674,545.51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12,544,800.40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宁沪高速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12,522,344.00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12,315,182.28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12,296,223.00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歌力思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12,202,556.30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江海股份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12,149,043.39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柳州医药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12,113,076.60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慈星股份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11,874,383.59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宁夏建材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11,813,058.98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合兴包装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11,757,375.92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创意信息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11,697,099.32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鼎龙股份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11,537,182.40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四方精创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11,393,715.30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宝信软件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11,229,349.80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方大集团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11,001,866.50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洲明科技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10,822,943.00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华西股份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10,808,585.00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金禾实业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10,765,546.60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江苏国信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10,745,856.12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德展健康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10,711,616.34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阳光照明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10,670,244.61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博威合金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10,621,445.46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世纪鼎利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10,576,308.67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润和软件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10,542,306.42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10,535,737.00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云赛智联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10,524,581.57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永鼎股份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10,517,197.68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绿城水务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10,474,950.47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聚飞光电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10,427,413.22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林洋能源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10,310,984.08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首钢股份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10,239,596.86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四方股份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10,218,411.75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武汉控股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10,168,840.10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宁波热电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10,059,797.31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凯撒旅游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10,020,525.27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泛海控股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10,020,176.97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大亚圣象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9,989,093.62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美克家居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9,977,644.04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劲胜智能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9,908,842.07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康欣新材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9,871,958.00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唐人神</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9,870,105.50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久远银海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9,854,279.72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好莱客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9,766,737.17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青岛金王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9,727,392.21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 利 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9,693,387.03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六国化工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9,644,570.50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大地传媒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9,636,376.30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英飞拓</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9,615,359.27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小天鹅Ａ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9,614,150.91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国星光电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9,601,876.00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太安堂</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9,591,148.07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金地集团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9,569,583.35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苏州高新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9,528,288.48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宝通科技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9,490,404.62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科士达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9,485,079.51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交大昂立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9,428,833.72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9,374,141.20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浙江鼎力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9,255,426.78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南山控股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9,185,353.16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乾照光电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9,147,483.00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交运股份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9,147,433.00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格力地产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9,140,298.62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日海通讯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9,125,292.74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双环传动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9,067,443.69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骅威文化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9,063,040.16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联美控股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9,007,234.99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中利集团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8,980,886.62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中原高速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8,979,098.50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瀚蓝环境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8,948,330.86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溢多利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8,795,945.00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太阳能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8,742,273.16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穗恒运Ａ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8,736,502.38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凯利泰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8,725,421.00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三星医疗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8,541,794.66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中南文化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8,452,636.31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朗姿股份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8,420,264.54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奥佳华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8,308,389.00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本钢板材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8,302,857.69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8,302,502.99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象屿股份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8,292,153.49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万里扬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8,257,294.00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韶能股份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8,235,919.35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长高集团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8,222,454.00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福建高速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8,215,102.00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同济堂</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8,210,714.65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国脉科技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8,182,844.28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怡球资源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8,134,732.00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科华恒盛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8,085,967.99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索菱股份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8,085,922.38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创业软件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7,995,861.97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京新药业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7,994,377.49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恒泰艾普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7,955,209.02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星宇股份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7,949,305.89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海联金汇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7,938,141.80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帝龙文化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7,931,796.38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三友化工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7,927,566.00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海螺水泥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7,900,529.83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广信股份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7,884,076.21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宏发股份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7,877,353.60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新北洋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7,871,628.43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百隆东方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7,858,248.05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辉丰股份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7,778,679.61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江南水务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7,778,078.00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长江润发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7,748,427.14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中洲控股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7,747,087.36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粤宏远Ａ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7,698,038.19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汉得信息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7,655,558.80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金卡智能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7,648,691.85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北方国际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7,634,051.12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北辰实业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7,510,452.82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盛屯矿业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7,451,735.00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力源信息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7,403,558.70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中顺洁柔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7,394,776.83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经纬纺机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7,374,306.60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众业达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7,337,570.34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神州数码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7,332,183.00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银河电子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7,329,310.14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7,306,144.79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兴森科技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7,298,002.00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凌云股份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7,265,764.36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华灿光电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7,251,002.65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露笑科技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7,234,477.00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哈投股份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7,219,551.85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灵康药业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7,215,964.30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青松股份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7,212,089.14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国药股份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7,209,167.18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金达威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7,170,248.53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兰花科创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7,144,340.00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渤海活塞</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7,119,382.07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万业企业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7,109,700.62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7,080,127.16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岳阳林纸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7,022,945.00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浙江富润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7,020,702.98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安徽水利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6,998,308.00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舒泰神</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6,930,610.87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城市传媒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6,921,084.72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利源精制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6,919,514.10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嘉化能源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6,824,189.00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天顺风能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6,820,355.57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鸿利智汇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6,796,245.00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安妮股份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6,769,147.99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全柴动力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6,726,587.03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佳士科技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6,705,920.00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炬华科技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6,698,184.90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特发信息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6,673,614.30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6,671,966.21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平煤股份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6,657,201.00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广弘控股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6,651,837.04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广汇物流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6,611,180.63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齐峰新材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6,597,285.00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天虹股份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6,592,442.00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冰轮环境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6,584,473.00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华西能源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6,565,471.00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山东路桥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6,563,553.53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卫星石化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6,553,480.50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华贸物流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6,541,581.50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6,525,261.92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龙元建设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6,460,929.08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广东明珠</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6,350,832.09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林州重机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6,304,497.70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603737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三棵树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6,223,775.00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凯撒文化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6,223,488.47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梅泰诺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6,214,487.57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全信股份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6,189,399.70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振东制药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6,186,778.60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赣能股份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6,179,110.35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九牧王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6,172,039.64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联建光电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6,149,012.00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南山铝业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6,142,082.00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拓尔思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6,140,196.00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辉煌科技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6,125,951.00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思美传媒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6,074,369.12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益民集团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6,069,556.39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金安国纪</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6,038,420.39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三元股份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6,012,515.00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百洋股份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6,001,876.00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惠而浦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5,976,072.83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蓝焰控股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5,971,181.85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卓翼科技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5,938,951.20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中设集团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5,917,812.96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三湘印象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5,913,713.00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和而泰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5,859,440.00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闰土股份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5,853,094.00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维宏股份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5,839,833.00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丰原药业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5,773,086.00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科远股份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5,767,940.60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保龄宝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5,764,130.00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新时达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5,755,561.02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宜华健康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5,743,766.04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川投能源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5,729,380.00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建新矿业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5,726,634.88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泰格医药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5,697,970.85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梦舟股份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5,681,364.00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明牌珠宝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5,678,137.14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中衡设计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5,656,956.23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万年青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5,634,475.00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栋梁新材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5,633,884.00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通裕重工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5,597,158.00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邦讯技术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5,587,954.00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福安药业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5,557,847.00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赛升药业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5,555,393.50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智度股份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5,530,178.50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赤峰黄金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5,522,630.00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银轮股份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5,495,754.00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风范股份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5,485,610.00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茂业商业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5,479,911.65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铜峰电子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5,446,732.00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重庆路桥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5,439,247.40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宁波华翔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5,400,676.00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新开普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5,391,493.92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金陵饭店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5,379,788.04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珠江实业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5,363,195.54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联创光电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5,358,877.96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黄山旅游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5,357,072.94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华意压缩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5,348,764.47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耐威科技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5,346,931.20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科陆电子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5,336,634.50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理工环科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5,308,341.84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中电鑫龙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5,302,481.00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广东榕泰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5,286,679.00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京山轻机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5,269,219.60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南京熊猫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5,252,390.50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科达洁能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5,218,269.80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楚江新材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5,199,585.85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奇信股份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5,186,848.60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海航基础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5,176,330.31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四川成渝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5,146,202.00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603456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九洲药业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5,078,525.00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钱江水利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5,076,794.00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瑞尔特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5,015,468.61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羚锐制药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5,010,897.00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英唐智控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5,002,715.00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龙马环卫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4,971,764.99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北斗星通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4,931,315.95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赛轮金宇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4,923,523.04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桂冠电力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4,914,230.40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博彦科技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4,896,601.00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高升控股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4,895,571.76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泰禾集团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4,875,366.04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远东传动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4,872,652.00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大立科技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4,847,064.00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汉威科技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4,834,677.12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冠福股份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4,807,802.20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华帝股份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4,790,823.00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4,771,082.00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力生制药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4,744,167.00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江南化工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4,743,085.72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豫光金铅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4,735,852.00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共进股份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4,729,318.80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天源迪科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4,726,186.90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岭南园林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4,704,942.00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坚朗五金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4,687,148.50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滨江集团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4,672,195.00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天翔环境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4,672,012.00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恩华药业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4,668,746.40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文山电力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4,662,418.00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康盛股份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4,658,943.00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华峰氨纶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4,647,606.00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雪榕生物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4,642,701.00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 力 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4,640,204.00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仁和药业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4,611,265.75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精达股份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4,597,581.00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天地科技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4,544,810.98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正泰电器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4,536,937.04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北部湾旅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4,509,697.00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万和电气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4,506,295.90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晶盛机电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4,495,733.34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涪陵电力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4,490,737.93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江苏国泰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4,475,407.13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上工申贝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4,469,338.72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新疆天业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4,399,207.05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普洛药业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4,378,119.75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粤 水 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4,378,106.00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中远海科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4,361,675.25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双塔食品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4,357,446.00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天奇股份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4,337,931.00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文科园林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4,310,097.96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宁波东力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4,291,558.00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盛达矿业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4,276,683.80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海天味业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4,276,671.54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扬杰科技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4,274,019.46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柯利达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4,246,383.54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4,230,212.00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禾丰牧业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4,227,612.58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司尔特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4,215,204.00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华菱星马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4,191,890.00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海大集团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4,177,739.00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4,167,002.02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北讯集团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4,134,614.16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苏交科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4,129,253.00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易见股份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4,103,482.00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新国都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4,087,386.36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京东方Ａ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4,082,471.00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博敏电子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4,073,213.91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闻泰科技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4,070,730.00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中广核技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4,059,209.82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拓邦股份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4,058,752.00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茂化实华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4,033,137.00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天海防务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4,032,472.68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腾达建设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4,008,658.00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豫金刚石</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3,997,451.00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东方创业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3,977,888.00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三维工程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3,955,119.90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华铁股份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3,938,515.00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中钨高新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3,931,107.80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通润装备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3,917,331.52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凯龙股份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3,913,018.00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齐心集团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3,905,299.96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太极实业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3,901,190.00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捷顺科技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3,889,758.16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华天科技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3,888,130.20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东方日升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3,869,489.40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桃李面包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3,844,759.97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百花村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3,837,326.00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久其软件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3,837,018.00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亚太药业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3,768,495.49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安琪酵母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3,763,630.44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运达科技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3,728,245.00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中天能源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3,718,594.00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华舟应急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3,694,847.65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长青股份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3,692,962.00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新光圆成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3,672,317.00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普利特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3,667,635.61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通富微电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3,660,518.94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盛天网络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3,654,004.75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3,644,818.08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黔源电力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3,642,086.55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中航电测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3,631,562.75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润邦股份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3,619,084.00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国睿科技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3,552,789.60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新洋丰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3,534,942.00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盘江股份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3,496,365.62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汤臣倍健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3,496,182.00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雅本化学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3,464,028.00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粤泰股份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3,430,296.00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宏润建设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3,414,146.79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供销大集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3,408,896.65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南洋股份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3,406,087.44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奥普光电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3,392,003.60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诚志股份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3,386,099.19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继峰股份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3,345,215.00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苏常柴Ａ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3,343,443.04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伊力特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3,334,632.00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天舟文化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3,286,550.20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楚天科技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3,262,785.90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浙江广厦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3,259,175.34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东旭蓝天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3,252,826.00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中新科技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3,247,256.50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3,224,667.00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模塑科技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3,209,656.00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通程控股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3,196,505.00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龙力生物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3,185,997.00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中国重汽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3,185,251.80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厦门信达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3,172,594.80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智慧松德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3,156,104.00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五矿资本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3,143,839.55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永利股份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3,130,107.00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兖州煤业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3,101,323.32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浩丰科技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3,100,028.00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新潮能源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3,096,265.80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湖北广电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3,092,594.04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恒逸石化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3,090,386.00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完美世界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3,070,328.12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星普医科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3,021,797.07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重庆百货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3,008,566.00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东土科技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3,008,375.00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众合科技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3,006,896.16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鲁 泰Ａ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2,992,795.60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浙江美大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2,988,002.00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2,983,328.00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富奥股份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2,955,013.72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鲍斯股份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2,943,991.40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华鲁恒升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2,939,658.51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广博股份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2,915,281.60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捷成股份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2,914,851.80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中天科技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2,900,899.16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三毛派神</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2,894,710.45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光明地产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2,886,124.75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鹏辉能源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2,882,190.75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重庆啤酒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2,874,507.00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红豆股份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2,854,843.20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新华百货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2,845,235.98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蓝盾股份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2,842,849.96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飞乐音响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2,839,053.00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奥维通信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2,832,078.00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王府井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2,824,820.52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洽洽食品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2,822,800.00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和晶科技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2,817,994.67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金圆股份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2,805,775.00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紫江企业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2,796,983.00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达实智能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2,784,797.88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江山股份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2,778,344.40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海泰发展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2,776,962.99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恒顺醋业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2,775,817.00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宏大爆破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2,755,053.75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飞马国际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2,744,756.16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桐昆股份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2,728,349.00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富瑞特装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2,728,131.60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旋极信息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2,704,829.22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天龙集团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2,695,263.00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沪电股份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2,663,199.00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老凤祥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2,648,513.70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深大通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2,639,522.60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鞍钢股份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2,597,744.00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宏图高科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2,588,624.00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宝馨科技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2,578,480.55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凤凰传媒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2,575,217.00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宜华生活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2,571,450.00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兴化股份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2,569,970.00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方大化工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2,545,321.00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四环生物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2,524,037.76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光明乳业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2,519,865.00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华泰股份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2,519,157.00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华邦健康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2,518,864.00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首旅酒店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2,507,450.53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赤天化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2,492,476.00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正业科技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2,486,886.30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宋都股份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2,483,858.00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建研集团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2,478,964.00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四川美丰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2,478,779.00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民盛金科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2,473,193.24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青岛啤酒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2,453,674.02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兆驰股份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2,426,628.00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天银机电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2,414,487.37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美晨生态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2,409,085.98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巴安水务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2,403,591.20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华峰超纤</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2,400,152.58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四方达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2,375,011.50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汉鼎宇佑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2,373,532.00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南方传媒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2,372,404.00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白云电器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2,366,869.00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中元股份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2,365,003.00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珠江钢琴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2,364,906.00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兰州黄河</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2,360,699.00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*ST华菱</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2,353,189.00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海信科龙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2,340,384.00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盛路通信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2,339,049.00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宝胜股份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2,336,206.00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创元科技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2,324,153.84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江南高纤</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2,323,402.00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正源股份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2,320,751.00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方直科技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2,315,712.05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浩云科技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2,310,742.42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珈伟股份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2,302,857.08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梅花生物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2,299,958.93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2,297,608.00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南都电源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2,292,413.00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润达医疗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2,291,621.00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超华科技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2,286,512.00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2,286,138.00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鲁银投资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2,284,908.00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深圳燃气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2,272,694.00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青海春天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2,271,213.00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姚记扑克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2,270,455.12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天健集团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2,245,292.58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2,234,820.00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中金环境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2,224,826.60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鼎捷软件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2,223,100.88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景嘉微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2,216,330.00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胜宏科技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2,203,143.00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华星创业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2,186,462.00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华谊嘉信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2,186,019.53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华建集团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2,169,728.58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恒康医疗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2,169,726.00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大名城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2,158,867.00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滨化股份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2,158,374.00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明家联合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2,140,141.00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天玑科技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2,127,616.92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华资实业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2,125,366.00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2,125,313.53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金雷风电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2,122,918.00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广电电气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2,119,568.74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精华制药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2,117,052.00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顺鑫农业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2,115,397.00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中央商场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2,114,935.00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恒力股份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2,110,926.44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浪潮软件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2,108,435.00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石大胜华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2,100,021.00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火炬电子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2,092,813.50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吴通控股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2,083,745.00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锦州港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2,063,670.00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亿利达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2,047,825.00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京蓝科技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2,046,471.00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狮头股份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2,036,881.21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巴士在线</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2,029,055.00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扬子新材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2,027,858.00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鞍重股份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2,025,930.00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桂东电力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2,018,795.00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现代投资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2,017,378.00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中原内配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2,016,389.00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新南洋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2,016,363.00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博晖创新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2,012,634.79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日发精机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1,999,440.66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神农基因</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1,991,294.00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德尔股份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1,989,497.00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迈克生物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1,983,593.00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森源电气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1,979,504.10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海洋王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1,979,132.65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中捷资源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1,964,753.00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北纬科技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1,960,133.66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海源机械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1,950,806.00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黑芝麻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1,944,645.00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杭萧钢构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1,924,716.00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久联发展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1,923,114.08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 赛 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1,919,319.00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秦川机床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1,910,513.00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合康新能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1,908,370.00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甘肃电投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1,903,856.00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四方冷链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1,900,209.00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洋河股份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1,896,251.00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博汇纸业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1,895,854.98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天音控股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1,880,717.00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浦东建设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1,880,476.00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美尚生态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1,870,928.84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金智科技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1,868,302.78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华茂股份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1,857,713.00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南天信息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1,852,642.96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会稽山</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1,846,899.00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烽火电子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1,846,671.56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太阳鸟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1,839,886.12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时代出版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1,833,786.98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维尔利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1,833,035.47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凯发电气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1,832,718.00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世名科技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1,831,200.40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京威股份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1,817,404.00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回天新材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1,813,750.00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美康生物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1,812,788.26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晨光生物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1,812,587.57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汇洁股份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1,804,054.52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天目药业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1,801,719.00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口子窖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1,791,829.62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九安医疗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1,788,686.00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东富龙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1,787,865.54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天瑞仪器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1,787,362.00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浙江震元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1,783,762.49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雷曼股份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1,781,752.00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长荣股份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1,774,209.00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香江控股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1,768,619.75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长生生物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1,746,602.00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华平股份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1,740,339.00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聚光科技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1,710,867.07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603738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泰晶科技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1,709,303.30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思维列控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1,706,410.00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佳讯飞鸿</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1,705,595.00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耀皮玻璃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1,697,765.00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海鸥卫浴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1,673,608.00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联创互联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1,672,919.00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菲达环保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1,672,471.00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 希 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1,670,387.00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黄河旋风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1,667,243.77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东方铁塔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1,666,918.70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宝硕股份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1,654,845.00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长园集团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1,643,053.00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天润曲轴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1,642,588.00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杭电股份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1,631,087.00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松芝股份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1,617,766.72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乐金健康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1,615,503.00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达 意 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1,608,967.00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宏达高科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1,607,001.00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1,594,578.13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必康股份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1,582,916.00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振华重工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1,581,793.00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大北农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1,580,380.00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永贵电器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1,572,070.00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鸿路钢构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1,542,815.17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雅化集团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1,537,649.00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嘉事堂</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1,528,934.00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永艺股份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1,528,898.00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广誉远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1,527,799.23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佳都科技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1,521,895.00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中海达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1,521,677.84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真视通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1,509,830.00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宜通世纪</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1,508,452.52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英洛华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1,501,622.00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依顿电子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1,496,255.00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伟星股份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1,483,661.68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002802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洪汇新材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1,476,478.60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飞利信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1,461,466.00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1,459,507.00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南宁糖业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1,445,453.00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华联控股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1,441,610.44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金正大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1,440,503.00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1,440,287.41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云铝股份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1,428,347.63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深天地Ａ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1,427,329.22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海能达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1,425,886.00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青岛海尔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1,422,438.00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普莱柯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1,420,427.00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洪城水业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1,418,556.00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亚威股份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1,415,234.00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美亚柏科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1,414,065.00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新湖中宝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1,412,043.00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中华企业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1,411,130.00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海兰信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1,405,636.00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神奇制药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1,401,042.06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恒信东方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1,396,569.00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高新兴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1,383,001.00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1,380,530.81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国恩股份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1,368,947.72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陕西煤业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1,366,811.00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劲嘉股份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1,363,450.00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华银电力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1,360,153.00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光大嘉宝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1,342,750.70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亚太科技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1,340,835.00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粤高速Ａ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1,328,479.36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国瓷材料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1,283,517.00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吉药控股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1,281,123.00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九洲电气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1,280,752.56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北京利尔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1,276,881.00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1,275,925.16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涪陵榨菜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1,269,802.13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山煤国际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1,267,267.00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尤夫股份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1,263,017.00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海特高新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1,254,126.00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东诚药业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1,246,804.00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杭钢股份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1,245,298.14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西藏药业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1,236,221.00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英威腾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1,221,261.00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汉王科技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1,210,202.00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中孚实业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1,204,059.00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黑牛食品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1,192,110.00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远兴能源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1,189,073.00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动力源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1,187,812.70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漳泽电力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1,178,910.50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拓日新能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1,176,339.00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初灵信息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1,166,209.00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中牧股份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1,165,927.00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鹿港文化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1,158,288.00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金浦钛业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1,155,228.37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金山股份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1,153,622.00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星湖科技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1,148,522.00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电子城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1,144,320.99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正海磁材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1,141,847.00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山大华特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1,141,649.35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国药一致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1,140,886.00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泰合健康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1,139,341.00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京投发展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1,138,947.16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皖维高新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1,132,599.00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未名医药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1,131,475.00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申通快递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1,127,069.00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瑞丰光电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1,126,893.00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吉鑫科技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1,113,993.40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广聚能源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1,091,296.00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东软载波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1,082,080.16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002801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微光股份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1,079,333.00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中航机电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1,077,295.00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日科化学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1,067,252.00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欧比特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1,059,818.94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中国长城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1,057,114.00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法拉电子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1,053,532.00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超图软件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1,052,662.36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凯盛科技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1,051,808.26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福瑞股份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1,049,805.12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山河智能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1,049,013.00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浙江交科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1,047,066.00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同济科技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1,046,003.42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东方电热</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1,042,618.00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云海金属</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1,034,891.00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尖峰集团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1,032,234.00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升达林业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1,029,635.00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东方海洋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1,027,919.00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双星新材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1,027,700.00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南风股份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1,013,057.88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常山药业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1,011,706.00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海南高速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1,007,453.00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兆新股份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星星科技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999,159.21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曲美家居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989,794.13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984,907.12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艾格拉斯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983,598.00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合众思壮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977,964.26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广宇发展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975,501.00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泰豪科技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972,105.00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华昌化工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969,844.22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兴业矿业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969,686.00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有研新材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968,633.00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金信诺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967,155.48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益丰药房</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965,231.00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喜临门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964,631.00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三诺生物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961,549.90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昌红科技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961,104.21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苏州固锝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953,863.00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江苏神通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939,835.70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吉艾科技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932,140.00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东南网架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930,270.00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东易日盛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929,299.00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杭锅股份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928,704.00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光一科技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928,220.38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中环装备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927,842.95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九州通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926,511.00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宜安科技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926,345.00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广汽集团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924,920.00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围海股份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922,166.00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启明信息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921,653.40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华电能源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920,984.00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中国国贸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915,243.00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赛象科技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904,785.26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603227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雪峰科技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900,635.00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航天晨光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897,806.00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安居宝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897,201.00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双杰电气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896,535.00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晓程科技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890,864.00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中联重科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888,455.00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当代明诚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884,642.24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青龙管业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882,970.66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创力集团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875,759.00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万通地产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873,311.00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广泽股份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872,711.00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川仪股份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872,026.00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八菱科技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865,986.74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辽宁成大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864,259.00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黔轮胎Ａ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863,592.63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三维通信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858,437.99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证通电子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858,264.34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仟源医药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854,577.00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罗平锌电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851,191.00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银信科技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849,769.00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明泰铝业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842,663.00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悦心健康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835,790.80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保变电气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834,543.00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卧龙地产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833,294.00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华远地产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828,884.00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三联虹普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825,308.00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国机汽车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823,535.26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艾比森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822,762.44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珍宝岛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815,659.00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茂业通信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812,319.98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金龙汽车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811,097.00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龙津药业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804,114.00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*ST弘高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799,959.00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雅百特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792,896.00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蓝海华腾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792,586.00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蓝英装备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791,618.00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红蜻蜓</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784,938.00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永太科技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780,270.00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华孚时尚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775,284.00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中船防务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772,987.22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兰州民百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770,229.96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海陆重工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763,233.00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京天利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761,674.95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云煤能源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760,516.00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中国中铁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760,416.00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荣盛发展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759,938.00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天保基建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758,843.00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莲花健康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758,109.00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757,746.00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中亚股份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757,280.00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603788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宁波高发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751,861.29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弘业股份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746,456.87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中国神华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743,456.00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横店东磁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738,125.00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737,508.89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高能环境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735,744.15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安阳钢铁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732,702.00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利尔化学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729,801.00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广安爱众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728,660.30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宝莱特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728,639.00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美都能源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723,904.00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苏奥传感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719,263.00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新华传媒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718,897.00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加加食品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714,347.00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木林森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714,274.00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鲁阳节能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713,510.00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德美化工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711,179.00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福日电子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709,302.72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海南瑞泽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709,084.00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三花智控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708,244.00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富祥股份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706,230.00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菲利华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703,373.78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潍柴重机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695,499.14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丰林集团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694,647.71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一拖股份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693,905.00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摩恩电气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692,607.00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天夏智慧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691,943.63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上实发展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691,424.60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新光药业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689,896.00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申华控股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682,377.00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艾华集团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682,092.00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克明面业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681,173.00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哈药股份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679,276.42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泰胜风能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677,696.00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中炬高新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675,478.00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惠泉啤酒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674,673.00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哈尔斯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672,861.00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广日股份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670,792.00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博思软件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670,670.85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奥克股份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669,096.00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厦门国贸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664,605.00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新宝股份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664,382.00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天桥起重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664,216.00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山东高速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661,815.00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华侨城Ａ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661,102.00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安诺其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660,294.00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粤 传 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658,400.00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亚夏汽车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653,763.20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人人乐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653,604.00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万讯自控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653,456.41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键桥通讯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652,963.00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西泵股份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652,924.00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652,133.00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新乡化纤</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650,380.00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华北制药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649,961.50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新莱应材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648,514.00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646,431.00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金运激光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643,681.00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鹏翎股份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643,535.00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紫光股份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642,492.00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鄂武商Ａ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637,586.32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华明装备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635,641.00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华铭智能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635,383.00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广田集团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635,257.00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635,147.00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新元科技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634,690.00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东湖高新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633,209.00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南兴装备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631,809.00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萃华珠宝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631,031.00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ST明科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630,952.00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鲁北化工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630,272.00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天威视讯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629,038.20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蓝帆医疗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628,919.00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千金药业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627,180.00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醋化股份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626,914.00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云南城投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625,855.10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焦点科技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624,497.00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大同煤业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622,179.00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毅昌股份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621,716.00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日出东方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621,638.00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大港股份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620,772.68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山东药玻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620,478.96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阳谷华泰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619,904.72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江南嘉捷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619,127.00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天茂集团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617,804.00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广电网络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616,367.00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成飞集成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616,357.00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603421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鼎信通讯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615,622.00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北京科锐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614,555.94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 海 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614,150.00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海联讯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610,589.00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荣盛石化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609,207.00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沧州明珠</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608,761.00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裕兴股份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608,191.00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长城影视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607,701.00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龙泉股份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603,275.00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冀东装备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602,610.00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高新发展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601,518.58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红 宝 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601,067.00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三峡新材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597,593.74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森马服饰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597,137.00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银星能源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594,231.00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民丰特纸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594,012.20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603268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松发股份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593,042.00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常铝股份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592,505.00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精艺股份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592,030.00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申能股份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591,518.00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长鹰信质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590,910.00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华东电脑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589,740.00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赞宇科技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585,664.34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隧道股份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584,575.00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昊华能源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584,568.54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603299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井神股份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580,684.00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金一文化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575,685.00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龙宇燃油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570,513.00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宏达股份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569,844.00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康跃科技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569,577.57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腾邦国际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569,522.00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广东鸿图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568,922.00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章源钨业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568,612.00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远方信息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568,361.25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汇冠股份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567,753.00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好想你</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565,953.80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新野纺织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563,390.00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创业环保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563,083.00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露天煤业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560,717.00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哈森股份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560,715.00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陕天然气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558,759.00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郴电国际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558,232.00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温氏股份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557,269.00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金新农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555,355.00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新美星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553,809.00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高科石化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548,159.00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三德科技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544,417.00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新华联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541,521.00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深振业Ａ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541,358.00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清水源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539,869.00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东方银星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538,121.00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瑞贝卡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525,084.14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中工国际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514,527.00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日上集团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512,548.00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贵糖股份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508,571.00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道氏技术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505,841.00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标准股份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501,347.34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靖远煤电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490,538.00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*ST大有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489,991.70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兔 宝 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486,366.00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大秦铁路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483,772.00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皖新传媒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472,759.00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阳光电源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468,721.74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明星电力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458,720.00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越秀金控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453,825.00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信维通信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453,511.00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西水股份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445,712.00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江河集团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442,531.99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银宝山新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423,540.00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佛慈制药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420,308.00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福成股份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413,580.00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惠伦晶体</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413,545.00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道森股份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412,356.00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江粉磁材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411,964.00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我武生物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410,060.54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江苏舜天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408,926.00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中国太保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404,160.00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太阳纸业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402,789.00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易世达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402,644.00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京运通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399,738.00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晨光文具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397,073.00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壹桥股份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395,893.00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利亚德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391,062.00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柏堡龙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390,711.00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开创国际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387,150.00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海南椰岛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386,817.20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诺德股份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385,734.00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龙蟒佰利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台基股份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364,887.00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迪森股份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362,711.00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东风股份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358,804.00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603799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华友钴业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350,939.00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开滦股份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348,442.00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深康佳Ａ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334,905.00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良信电器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326,529.00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300699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光威复材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324,642.48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马钢股份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324,550.00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沃森生物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300,757.00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渤海金控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282,739.00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财通证券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278,274.80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中国建筑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274,972.00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欢瑞世纪</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272,960.00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华自科技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269,603.00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富控互动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252,037.00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丽江旅游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233,110.00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全新好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232,212.00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爱施德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229,174.00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永新股份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227,693.00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合盛硅业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218,792.72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鹏欣资源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214,944.00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莎普爱思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214,187.00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孚日股份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213,490.00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华能水电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208,672.20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常山北明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207,238.00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西部建设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206,259.00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国联水产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203,233.00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300676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华大基因</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201,323.00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巨轮智能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201,074.00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w:t>
            </w:r>
          </w:p>
        </w:tc>
      </w:tr>
    </w:tbl>
    <w:p>
      <w:pPr>
        <w:pStyle w:val="20"/>
        <w:rPr>
          <w:rFonts w:hint="eastAsia"/>
        </w:rPr>
      </w:pPr>
      <w:r>
        <w:rPr>
          <w:rFonts w:hint="eastAsia"/>
        </w:rPr>
        <w:t>注：本期累计卖出金额按买卖成交金额,不考虑相关交易费用。</w:t>
      </w:r>
    </w:p>
    <w:p>
      <w:pPr>
        <w:pStyle w:val="15"/>
        <w:rPr>
          <w:rFonts w:hint="eastAsia"/>
        </w:rPr>
      </w:pPr>
      <w:r>
        <w:rPr>
          <w:rFonts w:hint="eastAsia"/>
          <w:b/>
          <w:bCs/>
        </w:rPr>
        <w:t>8.4.3 买入股票的成本总额及卖出股票的收入总额</w:t>
      </w:r>
    </w:p>
    <w:p>
      <w:pPr>
        <w:pStyle w:val="19"/>
        <w:rPr>
          <w:rFonts w:hint="eastAsia"/>
        </w:rPr>
      </w:pPr>
      <w:r>
        <w:rPr>
          <w:rFonts w:hint="eastAsia" w:hAnsi="Calibri"/>
          <w:color w:val="000000"/>
        </w:rPr>
        <w:t>单位：人民币元</w:t>
      </w:r>
    </w:p>
    <w:tbl>
      <w:tblPr>
        <w:tblStyle w:val="7"/>
        <w:tblW w:w="0" w:type="auto"/>
        <w:tblInd w:w="226" w:type="dxa"/>
        <w:tblLayout w:type="autofit"/>
        <w:tblCellMar>
          <w:top w:w="0" w:type="dxa"/>
          <w:left w:w="108" w:type="dxa"/>
          <w:bottom w:w="0" w:type="dxa"/>
          <w:right w:w="108" w:type="dxa"/>
        </w:tblCellMar>
      </w:tblPr>
      <w:tblGrid>
        <w:gridCol w:w="3944"/>
        <w:gridCol w:w="5018"/>
      </w:tblGrid>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买入股票成本（成交）总额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3,623,219,587.07</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卖出股票收入（成交）总额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3,437,366,302.03</w:t>
            </w:r>
          </w:p>
        </w:tc>
      </w:tr>
    </w:tbl>
    <w:p>
      <w:pPr>
        <w:pStyle w:val="20"/>
        <w:rPr>
          <w:rFonts w:hint="eastAsia"/>
        </w:rPr>
      </w:pPr>
      <w:r>
        <w:rPr>
          <w:rFonts w:hint="eastAsia"/>
        </w:rPr>
        <w:t>注：买入股票成本、卖出股票收入均按买卖成交金额填列，不考虑相关交易费用。</w:t>
      </w:r>
    </w:p>
    <w:p>
      <w:pPr>
        <w:pStyle w:val="14"/>
        <w:rPr>
          <w:rFonts w:hint="eastAsia"/>
        </w:rPr>
      </w:pPr>
      <w:bookmarkStart w:id="40" w:name="_Toc510101003"/>
      <w:r>
        <w:rPr>
          <w:rFonts w:hint="eastAsia"/>
          <w:b/>
          <w:bCs/>
        </w:rPr>
        <w:t>8.5 期末按债券品种分类的债券投资组合</w:t>
      </w:r>
      <w:bookmarkEnd w:id="40"/>
    </w:p>
    <w:p>
      <w:pPr>
        <w:pStyle w:val="19"/>
        <w:rPr>
          <w:rFonts w:hint="eastAsia"/>
        </w:rPr>
      </w:pPr>
      <w:r>
        <w:rPr>
          <w:rFonts w:hint="eastAsia" w:hAnsi="Calibri"/>
          <w:color w:val="000000"/>
        </w:rPr>
        <w:t>金额单位：人民币元</w:t>
      </w:r>
    </w:p>
    <w:tbl>
      <w:tblPr>
        <w:tblStyle w:val="7"/>
        <w:tblW w:w="0" w:type="auto"/>
        <w:tblInd w:w="226" w:type="dxa"/>
        <w:tblLayout w:type="autofit"/>
        <w:tblCellMar>
          <w:top w:w="0" w:type="dxa"/>
          <w:left w:w="108" w:type="dxa"/>
          <w:bottom w:w="0" w:type="dxa"/>
          <w:right w:w="108" w:type="dxa"/>
        </w:tblCellMar>
      </w:tblPr>
      <w:tblGrid>
        <w:gridCol w:w="718"/>
        <w:gridCol w:w="2511"/>
        <w:gridCol w:w="2508"/>
        <w:gridCol w:w="3225"/>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债券品种</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国家债券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10,575,620.00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央行票据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其中：政策性金融债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企业短期融资券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中期票据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可转债(可交换债)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522,240.80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同业存单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11,097,860.80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5.15</w:t>
            </w:r>
          </w:p>
        </w:tc>
      </w:tr>
    </w:tbl>
    <w:p>
      <w:pPr>
        <w:pStyle w:val="14"/>
        <w:rPr>
          <w:rFonts w:hint="eastAsia"/>
        </w:rPr>
      </w:pPr>
      <w:bookmarkStart w:id="41" w:name="_Toc510101004"/>
      <w:r>
        <w:rPr>
          <w:rFonts w:hint="eastAsia"/>
          <w:b/>
          <w:bCs/>
        </w:rPr>
        <w:t>8.6 期末按公允价值占基金资产净值比例大小排序的前五名债券投资明细</w:t>
      </w:r>
      <w:bookmarkEnd w:id="41"/>
    </w:p>
    <w:p>
      <w:pPr>
        <w:pStyle w:val="19"/>
        <w:rPr>
          <w:rFonts w:hint="eastAsia"/>
        </w:rPr>
      </w:pPr>
      <w:r>
        <w:rPr>
          <w:rFonts w:hint="eastAsia" w:hAnsi="Calibri"/>
          <w:color w:val="000000"/>
        </w:rPr>
        <w:t>金额单位：人民币元</w:t>
      </w:r>
    </w:p>
    <w:tbl>
      <w:tblPr>
        <w:tblStyle w:val="7"/>
        <w:tblW w:w="0" w:type="auto"/>
        <w:tblInd w:w="226" w:type="dxa"/>
        <w:tblLayout w:type="autofit"/>
        <w:tblCellMar>
          <w:top w:w="0" w:type="dxa"/>
          <w:left w:w="108" w:type="dxa"/>
          <w:bottom w:w="0" w:type="dxa"/>
          <w:right w:w="108" w:type="dxa"/>
        </w:tblCellMar>
      </w:tblPr>
      <w:tblGrid>
        <w:gridCol w:w="807"/>
        <w:gridCol w:w="1586"/>
        <w:gridCol w:w="1586"/>
        <w:gridCol w:w="1766"/>
        <w:gridCol w:w="1586"/>
        <w:gridCol w:w="1631"/>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019579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17国债24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10,575,620.00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132013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17宝武EB</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490,240.80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113503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泰晶转债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bl>
    <w:p>
      <w:pPr>
        <w:pStyle w:val="14"/>
        <w:rPr>
          <w:rFonts w:hint="eastAsia"/>
        </w:rPr>
      </w:pPr>
      <w:bookmarkStart w:id="42" w:name="_Toc510101005"/>
      <w:r>
        <w:rPr>
          <w:rFonts w:hint="eastAsia"/>
          <w:b/>
          <w:bCs/>
        </w:rPr>
        <w:t>8.7 期末按公允价值占基金资产净值比例大小排序的所有资产支持证券投资明细</w:t>
      </w:r>
      <w:bookmarkEnd w:id="42"/>
    </w:p>
    <w:tbl>
      <w:tblPr>
        <w:tblStyle w:val="7"/>
        <w:tblW w:w="0" w:type="auto"/>
        <w:tblInd w:w="216"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本基金本报告期末未持有资产支持证券。</w:t>
      </w:r>
    </w:p>
    <w:p>
      <w:pPr>
        <w:pStyle w:val="14"/>
        <w:rPr>
          <w:rFonts w:hint="eastAsia"/>
        </w:rPr>
      </w:pPr>
      <w:bookmarkStart w:id="43" w:name="_Toc510101006"/>
      <w:r>
        <w:rPr>
          <w:rFonts w:hint="eastAsia"/>
          <w:b/>
          <w:bCs/>
        </w:rPr>
        <w:t>8.8 报告期末按公允价值占基金资产净值比例大小排序的前五名贵金属投资明细</w:t>
      </w:r>
      <w:bookmarkEnd w:id="43"/>
    </w:p>
    <w:tbl>
      <w:tblPr>
        <w:tblStyle w:val="7"/>
        <w:tblW w:w="0" w:type="auto"/>
        <w:tblInd w:w="216" w:type="dxa"/>
        <w:tblLayout w:type="autofit"/>
        <w:tblCellMar>
          <w:top w:w="0" w:type="dxa"/>
          <w:left w:w="108" w:type="dxa"/>
          <w:bottom w:w="0" w:type="dxa"/>
          <w:right w:w="108" w:type="dxa"/>
        </w:tblCellMar>
      </w:tblPr>
      <w:tblGrid>
        <w:gridCol w:w="222"/>
      </w:tblGrid>
      <w:tr>
        <w:trPr>
          <w:wBefore w:w="0" w:type="auto"/>
        </w:trPr>
        <w:tc>
          <w:tcPr>
            <w:tcW w:w="0" w:type="auto"/>
            <w:noWrap w:val="0"/>
            <w:vAlign w:val="center"/>
          </w:tcPr>
          <w:p>
            <w:pPr>
              <w:rPr>
                <w:rFonts w:hint="eastAsia"/>
              </w:rPr>
            </w:pPr>
          </w:p>
        </w:tc>
      </w:tr>
    </w:tbl>
    <w:p>
      <w:pPr>
        <w:pStyle w:val="20"/>
      </w:pPr>
      <w:r>
        <w:rPr>
          <w:rFonts w:hint="eastAsia"/>
        </w:rPr>
        <w:t>本基金本报告期末未持有贵金属。</w:t>
      </w:r>
    </w:p>
    <w:p>
      <w:pPr>
        <w:pStyle w:val="14"/>
        <w:rPr>
          <w:rFonts w:hint="eastAsia"/>
        </w:rPr>
      </w:pPr>
      <w:bookmarkStart w:id="44" w:name="_Toc510101007"/>
      <w:r>
        <w:rPr>
          <w:rFonts w:hint="eastAsia"/>
          <w:b/>
          <w:bCs/>
        </w:rPr>
        <w:t>8.9 期末按公允价值占基金资产净值比例大小排序的前五名权证投资明细</w:t>
      </w:r>
      <w:bookmarkEnd w:id="44"/>
    </w:p>
    <w:tbl>
      <w:tblPr>
        <w:tblStyle w:val="7"/>
        <w:tblW w:w="0" w:type="auto"/>
        <w:tblInd w:w="216"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本基金本报告期末未持有权证。</w:t>
      </w:r>
    </w:p>
    <w:p>
      <w:pPr>
        <w:pStyle w:val="14"/>
        <w:rPr>
          <w:rFonts w:hint="eastAsia"/>
        </w:rPr>
      </w:pPr>
      <w:bookmarkStart w:id="45" w:name="_Toc510101008"/>
      <w:r>
        <w:rPr>
          <w:rFonts w:hint="eastAsia"/>
          <w:b/>
          <w:bCs/>
        </w:rPr>
        <w:t>8.10 报告期末本基金投资的股指期货交易情况说明</w:t>
      </w:r>
      <w:bookmarkEnd w:id="45"/>
    </w:p>
    <w:tbl>
      <w:tblPr>
        <w:tblStyle w:val="7"/>
        <w:tblW w:w="0" w:type="auto"/>
        <w:tblInd w:w="216"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本基金本报告期未投资股指期货。</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4"/>
        <w:rPr>
          <w:rFonts w:hint="eastAsia"/>
        </w:rPr>
      </w:pPr>
      <w:bookmarkStart w:id="46" w:name="_Toc510101009"/>
      <w:r>
        <w:rPr>
          <w:rFonts w:hint="eastAsia"/>
          <w:b/>
          <w:bCs/>
        </w:rPr>
        <w:t>8.11 报告期末本基金投资的国债期货交易情况说明</w:t>
      </w:r>
      <w:bookmarkEnd w:id="46"/>
    </w:p>
    <w:p>
      <w:pPr>
        <w:widowControl/>
        <w:jc w:val="left"/>
        <w:rPr>
          <w:rFonts w:hint="eastAsia" w:ascii="宋体" w:hAnsi="宋体" w:cs="宋体"/>
          <w:kern w:val="0"/>
          <w:sz w:val="24"/>
          <w:szCs w:val="24"/>
        </w:rPr>
      </w:pPr>
    </w:p>
    <w:tbl>
      <w:tblPr>
        <w:tblStyle w:val="7"/>
        <w:tblW w:w="0" w:type="auto"/>
        <w:tblInd w:w="216"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widowControl/>
              <w:jc w:val="left"/>
              <w:rPr>
                <w:rFonts w:hint="eastAsia" w:ascii="宋体" w:hAnsi="宋体" w:cs="宋体"/>
                <w:kern w:val="0"/>
                <w:sz w:val="24"/>
                <w:szCs w:val="24"/>
              </w:rPr>
            </w:pPr>
          </w:p>
        </w:tc>
      </w:tr>
    </w:tbl>
    <w:p>
      <w:pPr>
        <w:pStyle w:val="20"/>
      </w:pPr>
      <w:r>
        <w:rPr>
          <w:rFonts w:hint="eastAsia"/>
        </w:rPr>
        <w:t>本基金本报告期未投资国债期货。</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4"/>
        <w:rPr>
          <w:rFonts w:hint="eastAsia"/>
        </w:rPr>
      </w:pPr>
      <w:bookmarkStart w:id="47" w:name="_Toc510101010"/>
      <w:r>
        <w:rPr>
          <w:rFonts w:hint="eastAsia"/>
          <w:b/>
          <w:bCs/>
        </w:rPr>
        <w:t>8.12 投资组合报告附注</w:t>
      </w:r>
      <w:bookmarkEnd w:id="47"/>
    </w:p>
    <w:p>
      <w:pPr>
        <w:pStyle w:val="15"/>
        <w:rPr>
          <w:rFonts w:hint="eastAsia"/>
        </w:rPr>
      </w:pPr>
      <w:r>
        <w:rPr>
          <w:rFonts w:hint="eastAsia"/>
          <w:b/>
          <w:bCs/>
        </w:rPr>
        <w:t>8.12.1 本报告期内，未出现基金投资前十名证券的发行主体被监管部门立案调查或编制日前一年内受到公开谴责、处罚的情况。</w:t>
      </w:r>
    </w:p>
    <w:p>
      <w:pPr>
        <w:widowControl/>
        <w:jc w:val="left"/>
        <w:rPr>
          <w:rFonts w:hint="eastAsia" w:ascii="宋体" w:hAnsi="宋体" w:cs="宋体"/>
          <w:kern w:val="0"/>
          <w:sz w:val="24"/>
          <w:szCs w:val="24"/>
        </w:rPr>
      </w:pPr>
    </w:p>
    <w:p>
      <w:pPr>
        <w:pStyle w:val="15"/>
        <w:rPr>
          <w:rFonts w:hint="eastAsia"/>
        </w:rPr>
      </w:pPr>
      <w:r>
        <w:rPr>
          <w:rFonts w:hint="eastAsia"/>
          <w:b/>
          <w:bCs/>
        </w:rPr>
        <w:t>8.12.2 本报告期内，未出现基金投资的前十名股票超出基金合同规定的备选股票库的情况。</w:t>
      </w:r>
    </w:p>
    <w:p>
      <w:pPr>
        <w:widowControl/>
        <w:jc w:val="left"/>
        <w:rPr>
          <w:rFonts w:hint="eastAsia" w:ascii="宋体" w:hAnsi="宋体" w:cs="宋体"/>
          <w:kern w:val="0"/>
          <w:sz w:val="24"/>
          <w:szCs w:val="24"/>
        </w:rPr>
      </w:pPr>
    </w:p>
    <w:p>
      <w:pPr>
        <w:pStyle w:val="15"/>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226" w:type="dxa"/>
        <w:tblLayout w:type="autofit"/>
        <w:tblCellMar>
          <w:top w:w="0" w:type="dxa"/>
          <w:left w:w="108" w:type="dxa"/>
          <w:bottom w:w="0" w:type="dxa"/>
          <w:right w:w="108" w:type="dxa"/>
        </w:tblCellMar>
      </w:tblPr>
      <w:tblGrid>
        <w:gridCol w:w="709"/>
        <w:gridCol w:w="3785"/>
        <w:gridCol w:w="4468"/>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110,107.64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1,993,099.38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65,650.24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615,783.90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2,784,641.16</w:t>
            </w:r>
          </w:p>
        </w:tc>
      </w:tr>
    </w:tbl>
    <w:p>
      <w:pPr>
        <w:widowControl/>
        <w:jc w:val="left"/>
        <w:rPr>
          <w:rFonts w:hint="eastAsia" w:ascii="宋体" w:hAnsi="宋体" w:cs="宋体"/>
          <w:kern w:val="0"/>
          <w:sz w:val="24"/>
          <w:szCs w:val="24"/>
        </w:rPr>
      </w:pPr>
    </w:p>
    <w:p>
      <w:pPr>
        <w:pStyle w:val="15"/>
        <w:rPr>
          <w:rFonts w:hint="eastAsia"/>
        </w:rPr>
      </w:pPr>
      <w:r>
        <w:rPr>
          <w:rFonts w:hint="eastAsia"/>
          <w:b/>
          <w:bCs/>
        </w:rPr>
        <w:t>8.12.4 期末持有的处于转股期的可转换债券明细</w:t>
      </w:r>
    </w:p>
    <w:tbl>
      <w:tblPr>
        <w:tblStyle w:val="7"/>
        <w:tblW w:w="0" w:type="auto"/>
        <w:tblInd w:w="216"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本基金本报告期末未持有处于转股期的可转换债券。</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bookmarkStart w:id="48" w:name="_Toc510101011"/>
      <w:r>
        <w:rPr>
          <w:rFonts w:hint="eastAsia"/>
          <w:b/>
          <w:bCs/>
        </w:rPr>
        <w:t>8.12.5 期末前十名股票中存在流通受限情况的说明</w:t>
      </w:r>
      <w:bookmarkEnd w:id="48"/>
    </w:p>
    <w:p>
      <w:pPr>
        <w:pStyle w:val="15"/>
        <w:rPr>
          <w:rFonts w:hint="eastAsia"/>
        </w:rPr>
      </w:pPr>
      <w:r>
        <w:rPr>
          <w:rFonts w:hint="eastAsia"/>
          <w:b/>
          <w:bCs/>
        </w:rPr>
        <w:t>8.12.5.1 期末指数投资前十名股票中存在流通受限情况的说明</w:t>
      </w:r>
    </w:p>
    <w:tbl>
      <w:tblPr>
        <w:tblStyle w:val="7"/>
        <w:tblW w:w="0" w:type="auto"/>
        <w:tblInd w:w="216"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本基金本报告期末指数投资前十名股票不存在流通受限的情况。</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8.12.5.2 期末积极投资前五名股票中存在流通受限情况的说明</w:t>
      </w:r>
    </w:p>
    <w:tbl>
      <w:tblPr>
        <w:tblStyle w:val="7"/>
        <w:tblW w:w="0" w:type="auto"/>
        <w:tblInd w:w="216"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本基金本报告期末积极投资前五名股票不存在流通受限的情况。</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r>
        <w:rPr>
          <w:rFonts w:hint="eastAsia" w:ascii="宋体" w:hAnsi="宋体" w:cs="宋体"/>
          <w:kern w:val="0"/>
          <w:sz w:val="24"/>
          <w:szCs w:val="24"/>
        </w:rPr>
        <w:br w:type="textWrapping"/>
      </w:r>
      <w:r>
        <w:rPr>
          <w:rFonts w:hint="eastAsia" w:ascii="宋体" w:hAnsi="宋体" w:cs="宋体"/>
          <w:kern w:val="0"/>
          <w:sz w:val="24"/>
          <w:szCs w:val="24"/>
        </w:rPr>
        <w:br w:type="textWrapping"/>
      </w:r>
    </w:p>
    <w:p>
      <w:pPr>
        <w:pStyle w:val="13"/>
        <w:rPr>
          <w:rFonts w:hint="eastAsia"/>
        </w:rPr>
      </w:pPr>
      <w:bookmarkStart w:id="49" w:name="_Toc510101012"/>
      <w:r>
        <w:rPr>
          <w:rFonts w:hint="eastAsia" w:hAnsi="Calibri"/>
          <w:b/>
          <w:color w:val="000000"/>
        </w:rPr>
        <w:t>§9  基金份额持有人信息</w:t>
      </w:r>
      <w:bookmarkEnd w:id="49"/>
    </w:p>
    <w:p>
      <w:pPr>
        <w:pStyle w:val="14"/>
        <w:rPr>
          <w:rFonts w:hint="eastAsia"/>
        </w:rPr>
      </w:pPr>
      <w:bookmarkStart w:id="50" w:name="_Toc510101013"/>
      <w:r>
        <w:rPr>
          <w:rFonts w:hint="eastAsia"/>
          <w:b/>
          <w:bCs/>
        </w:rPr>
        <w:t>9.1 期末基金份额持有人户数及持有人结构</w:t>
      </w:r>
      <w:bookmarkEnd w:id="50"/>
    </w:p>
    <w:p>
      <w:pPr>
        <w:pStyle w:val="19"/>
        <w:rPr>
          <w:rFonts w:hint="eastAsia"/>
        </w:rPr>
      </w:pPr>
      <w:r>
        <w:rPr>
          <w:rFonts w:hint="eastAsia" w:hAnsi="Calibri"/>
          <w:color w:val="000000"/>
        </w:rPr>
        <w:t>份额单位：份</w:t>
      </w:r>
    </w:p>
    <w:tbl>
      <w:tblPr>
        <w:tblStyle w:val="7"/>
        <w:tblW w:w="9045" w:type="dxa"/>
        <w:jc w:val="center"/>
        <w:tblLayout w:type="autofit"/>
        <w:tblCellMar>
          <w:top w:w="0" w:type="dxa"/>
          <w:left w:w="108" w:type="dxa"/>
          <w:bottom w:w="0" w:type="dxa"/>
          <w:right w:w="108" w:type="dxa"/>
        </w:tblCellMar>
      </w:tblPr>
      <w:tblGrid>
        <w:gridCol w:w="904"/>
        <w:gridCol w:w="904"/>
        <w:gridCol w:w="1809"/>
        <w:gridCol w:w="1809"/>
        <w:gridCol w:w="905"/>
        <w:gridCol w:w="1809"/>
        <w:gridCol w:w="905"/>
      </w:tblGrid>
      <w:tr>
        <w:tblPrEx>
          <w:tblCellMar>
            <w:top w:w="0" w:type="dxa"/>
            <w:left w:w="108" w:type="dxa"/>
            <w:bottom w:w="0" w:type="dxa"/>
            <w:right w:w="108" w:type="dxa"/>
          </w:tblCellMar>
        </w:tblPrEx>
        <w:trPr>
          <w:wBefore w:w="0" w:type="auto"/>
          <w:jc w:val="center"/>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持有人户数(户)</w:t>
            </w:r>
          </w:p>
        </w:tc>
        <w:tc>
          <w:tcPr>
            <w:tcW w:w="10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户均持有的基金份额</w:t>
            </w:r>
          </w:p>
        </w:tc>
        <w:tc>
          <w:tcPr>
            <w:tcW w:w="3000" w:type="pct"/>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机构投资者</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创金合信中证1000增强A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444,853.48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203,777,990.55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6,637,704.21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3.15%</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创金合信中证1000增强C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19,347.03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5,000,166.66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5,253,761.27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51.24%</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225,633.56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208,778,157.21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11,891,465.48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5.39%</w:t>
            </w:r>
          </w:p>
        </w:tc>
      </w:tr>
    </w:tbl>
    <w:p>
      <w:pPr>
        <w:widowControl/>
        <w:jc w:val="left"/>
        <w:rPr>
          <w:rFonts w:hint="eastAsia" w:ascii="宋体" w:hAnsi="宋体" w:cs="宋体"/>
          <w:kern w:val="0"/>
          <w:sz w:val="24"/>
          <w:szCs w:val="24"/>
        </w:rPr>
      </w:pPr>
    </w:p>
    <w:p>
      <w:pPr>
        <w:pStyle w:val="14"/>
        <w:rPr>
          <w:rFonts w:hint="eastAsia"/>
        </w:rPr>
      </w:pPr>
      <w:bookmarkStart w:id="51" w:name="_Toc510101014"/>
      <w:r>
        <w:rPr>
          <w:rFonts w:hint="eastAsia" w:hAnsi="Calibri"/>
          <w:b/>
          <w:color w:val="000000"/>
        </w:rPr>
        <w:t>9.2期末基金管理人的从业人员持有本基金的情况</w:t>
      </w:r>
      <w:bookmarkEnd w:id="51"/>
    </w:p>
    <w:tbl>
      <w:tblPr>
        <w:tblStyle w:val="7"/>
        <w:tblW w:w="9045" w:type="dxa"/>
        <w:jc w:val="center"/>
        <w:tblLayout w:type="autofit"/>
        <w:tblCellMar>
          <w:top w:w="0" w:type="dxa"/>
          <w:left w:w="108" w:type="dxa"/>
          <w:bottom w:w="0" w:type="dxa"/>
          <w:right w:w="108" w:type="dxa"/>
        </w:tblCellMar>
      </w:tblPr>
      <w:tblGrid>
        <w:gridCol w:w="3048"/>
        <w:gridCol w:w="2103"/>
        <w:gridCol w:w="1924"/>
        <w:gridCol w:w="1970"/>
      </w:tblGrid>
      <w:tr>
        <w:tblPrEx>
          <w:tblCellMar>
            <w:top w:w="0" w:type="dxa"/>
            <w:left w:w="108" w:type="dxa"/>
            <w:bottom w:w="0" w:type="dxa"/>
            <w:right w:w="108" w:type="dxa"/>
          </w:tblCellMar>
        </w:tblPrEx>
        <w:trPr>
          <w:wBefore w:w="0" w:type="auto"/>
          <w:jc w:val="center"/>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99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jc w:val="center"/>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创金合信中证1000增强A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66,924.66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0.0300%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创金合信中证1000增强C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376,579.85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3.6700%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443,504.51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0.2000%</w:t>
            </w:r>
          </w:p>
        </w:tc>
      </w:tr>
    </w:tbl>
    <w:p>
      <w:pPr>
        <w:widowControl/>
        <w:jc w:val="left"/>
        <w:rPr>
          <w:rFonts w:hint="eastAsia" w:ascii="宋体" w:hAnsi="宋体" w:cs="宋体"/>
          <w:kern w:val="0"/>
          <w:sz w:val="24"/>
          <w:szCs w:val="24"/>
        </w:rPr>
      </w:pPr>
    </w:p>
    <w:p>
      <w:pPr>
        <w:pStyle w:val="14"/>
        <w:rPr>
          <w:rFonts w:hint="eastAsia"/>
        </w:rPr>
      </w:pPr>
      <w:bookmarkStart w:id="52" w:name="_Toc510101015"/>
      <w:r>
        <w:rPr>
          <w:rFonts w:hint="eastAsia"/>
          <w:b/>
          <w:bCs/>
        </w:rPr>
        <w:t>9.3期末基金管理人的从业人员持有本开放式基金份额总量区间情况</w:t>
      </w:r>
      <w:bookmarkEnd w:id="52"/>
    </w:p>
    <w:tbl>
      <w:tblPr>
        <w:tblStyle w:val="7"/>
        <w:tblW w:w="9045" w:type="dxa"/>
        <w:jc w:val="center"/>
        <w:tblLayout w:type="autofit"/>
        <w:tblCellMar>
          <w:top w:w="0" w:type="dxa"/>
          <w:left w:w="108" w:type="dxa"/>
          <w:bottom w:w="0" w:type="dxa"/>
          <w:right w:w="108" w:type="dxa"/>
        </w:tblCellMar>
      </w:tblPr>
      <w:tblGrid>
        <w:gridCol w:w="3618"/>
        <w:gridCol w:w="2261"/>
        <w:gridCol w:w="3166"/>
      </w:tblGrid>
      <w:tr>
        <w:tblPrEx>
          <w:tblCellMar>
            <w:top w:w="0" w:type="dxa"/>
            <w:left w:w="108" w:type="dxa"/>
            <w:bottom w:w="0" w:type="dxa"/>
            <w:right w:w="108" w:type="dxa"/>
          </w:tblCellMar>
        </w:tblPrEx>
        <w:trPr>
          <w:wBefore w:w="0" w:type="auto"/>
          <w:jc w:val="center"/>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jc w:val="center"/>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创金合信中证1000增强A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创金合信中证1000增强C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jc w:val="center"/>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创金合信中证1000增强A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创金合信中证1000增强C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bl>
    <w:p>
      <w:pPr>
        <w:pStyle w:val="14"/>
        <w:rPr>
          <w:rFonts w:hint="eastAsia"/>
        </w:rPr>
      </w:pPr>
      <w:bookmarkStart w:id="53" w:name="_Toc510101016"/>
      <w:r>
        <w:rPr>
          <w:rFonts w:hint="eastAsia"/>
          <w:b/>
          <w:bCs/>
        </w:rPr>
        <w:t>9.4发起式基金发起资金持有份额情况</w:t>
      </w:r>
      <w:bookmarkEnd w:id="53"/>
    </w:p>
    <w:tbl>
      <w:tblPr>
        <w:tblStyle w:val="7"/>
        <w:tblW w:w="9045" w:type="dxa"/>
        <w:tblInd w:w="226" w:type="dxa"/>
        <w:tblLayout w:type="autofit"/>
        <w:tblCellMar>
          <w:top w:w="0" w:type="dxa"/>
          <w:left w:w="108" w:type="dxa"/>
          <w:bottom w:w="0" w:type="dxa"/>
          <w:right w:w="108" w:type="dxa"/>
        </w:tblCellMar>
      </w:tblPr>
      <w:tblGrid>
        <w:gridCol w:w="2808"/>
        <w:gridCol w:w="1757"/>
        <w:gridCol w:w="1126"/>
        <w:gridCol w:w="1757"/>
        <w:gridCol w:w="1126"/>
        <w:gridCol w:w="471"/>
      </w:tblGrid>
      <w:tr>
        <w:tblPrEx>
          <w:tblCellMar>
            <w:top w:w="0" w:type="dxa"/>
            <w:left w:w="108" w:type="dxa"/>
            <w:bottom w:w="0" w:type="dxa"/>
            <w:right w:w="108" w:type="dxa"/>
          </w:tblCellMar>
        </w:tblPrEx>
        <w:trPr>
          <w:wBefore w:w="0" w:type="auto"/>
        </w:trPr>
        <w:tc>
          <w:tcPr>
            <w:tcW w:w="24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持有份额总数</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持有份额占基金总份额比例(%)</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发起份额总数</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发起份额承诺持有期限</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基金管理人固有资金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10,000,333.36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10,000,333.36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36月</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基金管理人高级管理人员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基金经理等人员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基金管理人股东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10,000,333.36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10,000,333.36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36月</w:t>
            </w:r>
          </w:p>
        </w:tc>
      </w:tr>
    </w:tbl>
    <w:p>
      <w:pPr>
        <w:pStyle w:val="13"/>
        <w:rPr>
          <w:rFonts w:hint="eastAsia"/>
        </w:rPr>
      </w:pPr>
      <w:bookmarkStart w:id="54" w:name="_Toc510101017"/>
      <w:r>
        <w:rPr>
          <w:rFonts w:hint="eastAsia" w:hAnsi="Calibri"/>
          <w:b/>
          <w:color w:val="000000"/>
        </w:rPr>
        <w:t>§10  开放式基金份额变动</w:t>
      </w:r>
      <w:bookmarkEnd w:id="54"/>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单位：份</w:t>
      </w:r>
    </w:p>
    <w:tbl>
      <w:tblPr>
        <w:tblStyle w:val="7"/>
        <w:tblW w:w="9045" w:type="dxa"/>
        <w:tblInd w:w="226" w:type="dxa"/>
        <w:tblLayout w:type="autofit"/>
        <w:tblCellMar>
          <w:top w:w="0" w:type="dxa"/>
          <w:left w:w="108" w:type="dxa"/>
          <w:bottom w:w="0" w:type="dxa"/>
          <w:right w:w="108" w:type="dxa"/>
        </w:tblCellMar>
      </w:tblPr>
      <w:tblGrid>
        <w:gridCol w:w="3617"/>
        <w:gridCol w:w="2714"/>
        <w:gridCol w:w="2714"/>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hAnsi="Calibri"/>
                <w:color w:val="000000"/>
              </w:rPr>
              <w:t>创金合信中证1000增强A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创金合信中证1000增强C</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基金合同生效日(2016年12月22日)基金份额总额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5,023,647.81</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5,092,069.61</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本报告期期初基金份额总额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5,022,559.69</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5,106,272.27</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本报告期基金总申购份额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207,633,428.57</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12,737,207.18</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减：本报告期基金总赎回份额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2,240,293.50</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7,589,551.52</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本报告期基金拆分变动份额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本报告期期末基金份额总额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210,415,694.76</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10,253,927.93</w:t>
            </w:r>
          </w:p>
        </w:tc>
      </w:tr>
    </w:tbl>
    <w:p>
      <w:pPr>
        <w:pStyle w:val="13"/>
        <w:rPr>
          <w:rFonts w:hint="eastAsia"/>
        </w:rPr>
      </w:pPr>
      <w:bookmarkStart w:id="55" w:name="_Toc510101018"/>
      <w:r>
        <w:rPr>
          <w:rFonts w:hint="eastAsia" w:hAnsi="Calibri"/>
          <w:b/>
          <w:color w:val="000000"/>
        </w:rPr>
        <w:t>§11  重大事件揭示</w:t>
      </w:r>
      <w:bookmarkEnd w:id="55"/>
    </w:p>
    <w:p>
      <w:pPr>
        <w:widowControl/>
        <w:jc w:val="left"/>
        <w:rPr>
          <w:rFonts w:hint="eastAsia" w:ascii="宋体" w:hAnsi="宋体" w:cs="宋体"/>
          <w:kern w:val="0"/>
          <w:sz w:val="24"/>
          <w:szCs w:val="24"/>
        </w:rPr>
      </w:pPr>
    </w:p>
    <w:p>
      <w:pPr>
        <w:pStyle w:val="14"/>
        <w:rPr>
          <w:rFonts w:hint="eastAsia"/>
        </w:rPr>
      </w:pPr>
      <w:bookmarkStart w:id="56" w:name="_Toc510101019"/>
      <w:r>
        <w:rPr>
          <w:rFonts w:hint="eastAsia"/>
          <w:b/>
          <w:bCs/>
        </w:rPr>
        <w:t>11.1 基金份额持有人大会决议</w:t>
      </w:r>
      <w:bookmarkEnd w:id="56"/>
    </w:p>
    <w:p>
      <w:pPr>
        <w:pStyle w:val="20"/>
        <w:rPr>
          <w:rFonts w:hint="eastAsia"/>
        </w:rPr>
      </w:pPr>
      <w:r>
        <w:rPr>
          <w:rFonts w:hint="eastAsia"/>
        </w:rPr>
        <w:t>  本报告期内未召开基金份额持有人大会。</w:t>
      </w:r>
    </w:p>
    <w:p>
      <w:pPr>
        <w:pStyle w:val="14"/>
        <w:rPr>
          <w:rFonts w:hint="eastAsia"/>
        </w:rPr>
      </w:pPr>
      <w:bookmarkStart w:id="57" w:name="_Toc510101020"/>
      <w:r>
        <w:rPr>
          <w:rFonts w:hint="eastAsia"/>
          <w:b/>
          <w:bCs/>
        </w:rPr>
        <w:t>11.2 基金管理人、基金托管人的专门基金托管部门的重大人事变动</w:t>
      </w:r>
      <w:bookmarkEnd w:id="57"/>
    </w:p>
    <w:p>
      <w:pPr>
        <w:pStyle w:val="20"/>
        <w:rPr>
          <w:rFonts w:hint="eastAsia"/>
        </w:rPr>
      </w:pPr>
      <w:r>
        <w:rPr>
          <w:rFonts w:hint="eastAsia"/>
        </w:rPr>
        <w:t>  本报告期内基金管理人无重大人事变动。</w:t>
      </w:r>
      <w:r>
        <w:rPr>
          <w:rFonts w:hint="eastAsia"/>
        </w:rPr>
        <w:br w:type="textWrapping"/>
      </w:r>
      <w:r>
        <w:rPr>
          <w:rFonts w:hint="eastAsia"/>
        </w:rPr>
        <w:t>  本基金托管人于2016年8月29日任命史静欣女士为中国农业银行股份有限公司托管业务部/养老金管理中心副总经理，负责管理证券投资基金托管业务。因工作需要，余晓晨先生于2017年3月8日不再担任中国农业银行股份有限公司托管业务部/养老金管理中心副总经理职务。</w:t>
      </w:r>
    </w:p>
    <w:p>
      <w:pPr>
        <w:pStyle w:val="14"/>
        <w:rPr>
          <w:rFonts w:hint="eastAsia"/>
        </w:rPr>
      </w:pPr>
      <w:bookmarkStart w:id="58" w:name="_Toc510101021"/>
      <w:r>
        <w:rPr>
          <w:rFonts w:hint="eastAsia"/>
          <w:b/>
          <w:bCs/>
        </w:rPr>
        <w:t>11.3 涉及基金管理人、基金财产、基金托管业务的诉讼</w:t>
      </w:r>
      <w:bookmarkEnd w:id="58"/>
    </w:p>
    <w:p>
      <w:pPr>
        <w:pStyle w:val="20"/>
        <w:rPr>
          <w:rFonts w:hint="eastAsia"/>
        </w:rPr>
      </w:pPr>
      <w:r>
        <w:rPr>
          <w:rFonts w:hint="eastAsia"/>
        </w:rPr>
        <w:t>  本报告期内，未出现涉及基金管理人、基金财产、基金托管业务的诉讼。</w:t>
      </w:r>
    </w:p>
    <w:p>
      <w:pPr>
        <w:pStyle w:val="14"/>
        <w:rPr>
          <w:rFonts w:hint="eastAsia"/>
        </w:rPr>
      </w:pPr>
      <w:bookmarkStart w:id="59" w:name="_Toc510101022"/>
      <w:r>
        <w:rPr>
          <w:rFonts w:hint="eastAsia"/>
          <w:b/>
          <w:bCs/>
        </w:rPr>
        <w:t>11.4 基金投资策略的改变</w:t>
      </w:r>
      <w:bookmarkEnd w:id="59"/>
    </w:p>
    <w:p>
      <w:pPr>
        <w:pStyle w:val="20"/>
        <w:rPr>
          <w:rFonts w:hint="eastAsia"/>
        </w:rPr>
      </w:pPr>
      <w:r>
        <w:rPr>
          <w:rFonts w:hint="eastAsia"/>
        </w:rPr>
        <w:t>  本报告期内基金投资策略无重大改变。</w:t>
      </w:r>
    </w:p>
    <w:p>
      <w:pPr>
        <w:pStyle w:val="14"/>
        <w:rPr>
          <w:rFonts w:hint="eastAsia"/>
        </w:rPr>
      </w:pPr>
      <w:bookmarkStart w:id="60" w:name="_Toc510101023"/>
      <w:r>
        <w:rPr>
          <w:rFonts w:hint="eastAsia"/>
          <w:b/>
          <w:bCs/>
        </w:rPr>
        <w:t>11.5 为基金进行审计的会计师事务所情况</w:t>
      </w:r>
      <w:bookmarkEnd w:id="60"/>
    </w:p>
    <w:p>
      <w:pPr>
        <w:pStyle w:val="20"/>
        <w:rPr>
          <w:rFonts w:hint="eastAsia"/>
        </w:rPr>
      </w:pPr>
      <w:r>
        <w:rPr>
          <w:rFonts w:hint="eastAsia"/>
        </w:rPr>
        <w:t>  本报告期内本基金未更换会计师事务所,本年度支付给普华永道中天会计师事务所(特殊普通合伙)审计费用35,000.00元,该审计机构连续提供审计服务的年限为1年。 </w:t>
      </w:r>
    </w:p>
    <w:p>
      <w:pPr>
        <w:pStyle w:val="14"/>
        <w:rPr>
          <w:rFonts w:hint="eastAsia"/>
        </w:rPr>
      </w:pPr>
      <w:bookmarkStart w:id="61" w:name="_Toc510101024"/>
      <w:r>
        <w:rPr>
          <w:rFonts w:hint="eastAsia"/>
          <w:b/>
          <w:bCs/>
        </w:rPr>
        <w:t>11.6 管理人、托管人及其高级管理人员受稽查或处罚等情况</w:t>
      </w:r>
      <w:bookmarkEnd w:id="61"/>
    </w:p>
    <w:p>
      <w:pPr>
        <w:pStyle w:val="20"/>
        <w:rPr>
          <w:rFonts w:hint="eastAsia"/>
        </w:rPr>
      </w:pPr>
      <w:r>
        <w:rPr>
          <w:rFonts w:hint="eastAsia"/>
        </w:rPr>
        <w:t>  本报告期内，未出现管理人、托管人及其高级管理人员受监管部门稽查或处罚的情况。</w:t>
      </w:r>
    </w:p>
    <w:p>
      <w:pPr>
        <w:pStyle w:val="14"/>
        <w:rPr>
          <w:rFonts w:hint="eastAsia"/>
        </w:rPr>
      </w:pPr>
      <w:bookmarkStart w:id="62" w:name="_Toc510101025"/>
      <w:r>
        <w:rPr>
          <w:rFonts w:hint="eastAsia"/>
          <w:b/>
          <w:bCs/>
        </w:rPr>
        <w:t>11.7 基金租用证券公司交易单元的有关情况</w:t>
      </w:r>
      <w:bookmarkEnd w:id="62"/>
    </w:p>
    <w:p>
      <w:pPr>
        <w:pStyle w:val="15"/>
        <w:rPr>
          <w:rFonts w:hint="eastAsia"/>
        </w:rPr>
      </w:pPr>
      <w:r>
        <w:rPr>
          <w:rFonts w:hint="eastAsia"/>
          <w:b/>
          <w:bCs/>
        </w:rPr>
        <w:t>11.7.1 基金租用证券公司交易单元进行股票投资及佣金支付情况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226" w:type="dxa"/>
        <w:tblLayout w:type="autofit"/>
        <w:tblCellMar>
          <w:top w:w="0" w:type="dxa"/>
          <w:left w:w="108" w:type="dxa"/>
          <w:bottom w:w="0" w:type="dxa"/>
          <w:right w:w="108" w:type="dxa"/>
        </w:tblCellMar>
      </w:tblPr>
      <w:tblGrid>
        <w:gridCol w:w="1671"/>
        <w:gridCol w:w="1080"/>
        <w:gridCol w:w="1976"/>
        <w:gridCol w:w="1050"/>
        <w:gridCol w:w="1532"/>
        <w:gridCol w:w="1050"/>
        <w:gridCol w:w="686"/>
      </w:tblGrid>
      <w:tr>
        <w:tblPrEx>
          <w:tblCellMar>
            <w:top w:w="0" w:type="dxa"/>
            <w:left w:w="108" w:type="dxa"/>
            <w:bottom w:w="0" w:type="dxa"/>
            <w:right w:w="108" w:type="dxa"/>
          </w:tblCellMar>
        </w:tblPrEx>
        <w:trPr>
          <w:wBefore w:w="0" w:type="auto"/>
        </w:trPr>
        <w:tc>
          <w:tcPr>
            <w:tcW w:w="15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券商名称</w:t>
            </w:r>
          </w:p>
        </w:tc>
        <w:tc>
          <w:tcPr>
            <w:tcW w:w="108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交易单元数量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股票交易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佣金</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金元证券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2,851,677,224.15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40.42%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622,178.82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26.07%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4,202,818,751.90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59.58%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1,764,418.52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20"/>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本基金在报告期新增第一创业证券的2个交易单元。</w:t>
      </w:r>
    </w:p>
    <w:p>
      <w:pPr>
        <w:widowControl/>
        <w:jc w:val="left"/>
        <w:rPr>
          <w:rFonts w:hint="eastAsia" w:ascii="宋体" w:hAnsi="宋体" w:cs="宋体"/>
          <w:kern w:val="0"/>
          <w:sz w:val="24"/>
          <w:szCs w:val="24"/>
        </w:rPr>
      </w:pPr>
    </w:p>
    <w:p>
      <w:pPr>
        <w:pStyle w:val="15"/>
        <w:rPr>
          <w:rFonts w:hint="eastAsia"/>
        </w:rPr>
      </w:pPr>
      <w:r>
        <w:rPr>
          <w:rFonts w:hint="eastAsia"/>
          <w:b/>
          <w:bCs/>
        </w:rPr>
        <w:t>11.7.2 基金租用证券公司交易单元进行其他证券投资的情况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226" w:type="dxa"/>
        <w:tblLayout w:type="autofit"/>
        <w:tblCellMar>
          <w:top w:w="0" w:type="dxa"/>
          <w:left w:w="108" w:type="dxa"/>
          <w:bottom w:w="0" w:type="dxa"/>
          <w:right w:w="108" w:type="dxa"/>
        </w:tblCellMar>
      </w:tblPr>
      <w:tblGrid>
        <w:gridCol w:w="1670"/>
        <w:gridCol w:w="952"/>
        <w:gridCol w:w="1071"/>
        <w:gridCol w:w="734"/>
        <w:gridCol w:w="1050"/>
        <w:gridCol w:w="734"/>
        <w:gridCol w:w="1050"/>
        <w:gridCol w:w="734"/>
        <w:gridCol w:w="1050"/>
      </w:tblGrid>
      <w:tr>
        <w:tblPrEx>
          <w:tblCellMar>
            <w:top w:w="0" w:type="dxa"/>
            <w:left w:w="108" w:type="dxa"/>
            <w:bottom w:w="0" w:type="dxa"/>
            <w:right w:w="108" w:type="dxa"/>
          </w:tblCellMar>
        </w:tblPrEx>
        <w:trPr>
          <w:wBefore w:w="0" w:type="auto"/>
        </w:trPr>
        <w:tc>
          <w:tcPr>
            <w:tcW w:w="15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券商名称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金元证券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11,469,138.01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bookmarkStart w:id="63" w:name="_Toc510101026"/>
      <w:r>
        <w:rPr>
          <w:rFonts w:hint="eastAsia"/>
          <w:b/>
          <w:bCs/>
        </w:rPr>
        <w:t>11.8 其他重大事件</w:t>
      </w:r>
      <w:bookmarkEnd w:id="63"/>
    </w:p>
    <w:tbl>
      <w:tblPr>
        <w:tblStyle w:val="7"/>
        <w:tblW w:w="9045" w:type="dxa"/>
        <w:tblInd w:w="226" w:type="dxa"/>
        <w:tblLayout w:type="autofit"/>
        <w:tblCellMar>
          <w:top w:w="0" w:type="dxa"/>
          <w:left w:w="108" w:type="dxa"/>
          <w:bottom w:w="0" w:type="dxa"/>
          <w:right w:w="108" w:type="dxa"/>
        </w:tblCellMar>
      </w:tblPr>
      <w:tblGrid>
        <w:gridCol w:w="904"/>
        <w:gridCol w:w="3166"/>
        <w:gridCol w:w="3166"/>
        <w:gridCol w:w="1809"/>
      </w:tblGrid>
      <w:tr>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公告事项</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法定披露方式</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法定披露日期</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创金合信基金管理有限公司关于调整旗下部分开放式证券投资基金申购及赎回金额的公告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创金合信基金管理有限公司旗下部分开放式证券投资基金增加代销机构的公告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创金合信中证1000指数增强型发起式证券投资基金暂停大额申购公告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创金合信基金管理有限公司旗下部分开放式证券投资基金增加蛋卷基金为代销机构的公告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创金合信基金管理有限公司旗下部分开放式证券投资基金增加平安证券为代销机构的公告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2017-02-09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创金合信基金管理有限公司关于旗下部分基金估值方法变更的提示性公告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2017-02-11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2017-02-16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创金合信基金管理有限公司关于直销柜台申购费率优惠政策调整的公告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创金合信中证1000指数增强型发起式证券投资基金暂停大额申购业务的公告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2017-03-01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创金合信基金管理有限公司旗下部分开放式证券投资基金增加上海基煜为代销机构的公告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2017-03-16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创金合信基金管理有限公司关于旗下部分开放式证券投资基金增加汇成基金为代销机构的公告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2017-03-24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创金合信中证1000指数增强型发起式证券投资基金增加大泰金石为代销机构的公告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2017-04-14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创金合信中证1000指数增强型发起式证券投资基金2017年第1季度报告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2017-04-21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创金合信基金管理有限公司旗下部分开放式证券投资基金增加安信证券为代销机构的公告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2017-04-26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创金合信基金管理有限公司关于旗下部分开放式证券投资基金增加前海凯恩斯为代销机构的公告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创金合信基金管理有限公司关于开通旗下部分开放式基金转换业务的公告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创金合信基金管理有限公司关于旗下部分基金及其代销机构一览表的公告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创金合信基金管理有限公司关于旗下部分开放式基金增加代销机构暨参加代销机构费率优惠活动的公告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关于创金合信基金管理有限公司旗下部分开放式基金开通在代销机构转换业务的公告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关于创金合信基金管理有限公司关于旗下部分基金开通在微信直销平台转换业务的公告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创金合信基金管理有限公司关于旗下部分开放式基金增加东莞证券为代销机构的公告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创金合信基金管理有限公司关于旗下部分开放式基金增加凯石财富为代销机构的公告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创金合信中证1000指数增强型发起式证券投资基金2017年第二季度报告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创金合信基金管理有限公司关于旗下部分开放式基金增加唐鼎耀华为代销机构的公告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创金合信基金管理有限公司关于旗下部分开放式基金增加凤凰金融为代销机构的公告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创金合信中证1000指数增强型发起式证券投资基金（2017年第1号）招募说明书（更新）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创金合信中证1000指数增强型发起式证券投资基金（2017年第1号）招募说明书（摘要）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创金合信基金管理有限公司关于旗下部分开放式基金增加平安银行为代销机构的公告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创金合信基金管理有限公司关于旗下部分开放式基金增加挖财基金为代销机构的公告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创金合信中证1000指数增强型发起式证券投资基金2017年半年度报告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创金合信中证1000指数增强型发起式证券投资基金2017年半年度报告摘要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创金合信基金管理有限公司关于旗下部分开放式基金增加万家财富为代销机构的公告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创金合信基金管理有限公司关于旗下部分开放式基金增加大智慧为代销机构的公告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创金合信基金管理有限公司关于旗下部分开放式基金增加中泰证券为代销机构暨参加中泰证券费率优惠活动的公告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2017-09-08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创金合信基金管理有限公司关于旗下部分开放式基金增加光大证券为代销机构的公告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2017-09-13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创金合信基金管理有限公司关于旗下部分开放式基金增加世纪证券为代销机构的公告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创金合信基金管理有限公司关于旗下部分开放式基金增加包商银行为代销机构的公告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关于创金合信中证1000指数增强型发起式证券投资基金恢复大额申购、大额转换转入业务的公告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创金合信中证1000指数增强型发起式证券投资基金2017年第3季度报告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创金合信基金管理有限公司关于增值税对资产管理产品影响告投资者通知书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2017-12-30</w:t>
            </w:r>
          </w:p>
        </w:tc>
      </w:tr>
    </w:tbl>
    <w:p>
      <w:pPr>
        <w:widowControl/>
        <w:jc w:val="left"/>
        <w:rPr>
          <w:rFonts w:hint="eastAsia" w:ascii="宋体" w:hAnsi="宋体" w:cs="宋体"/>
          <w:kern w:val="0"/>
          <w:sz w:val="24"/>
          <w:szCs w:val="24"/>
        </w:rPr>
      </w:pPr>
    </w:p>
    <w:p>
      <w:pPr>
        <w:pStyle w:val="13"/>
        <w:rPr>
          <w:rFonts w:hint="eastAsia"/>
        </w:rPr>
      </w:pPr>
      <w:bookmarkStart w:id="64" w:name="_Toc510101027"/>
      <w:r>
        <w:rPr>
          <w:rFonts w:hint="eastAsia" w:hAnsi="Calibri"/>
          <w:b/>
          <w:color w:val="000000"/>
        </w:rPr>
        <w:t>§12  影响投资者决策的其他重要信息</w:t>
      </w:r>
      <w:bookmarkEnd w:id="64"/>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bookmarkStart w:id="65" w:name="_Toc510101028"/>
      <w:r>
        <w:rPr>
          <w:rFonts w:hint="eastAsia"/>
          <w:b/>
          <w:bCs/>
        </w:rPr>
        <w:t>12.1 报告期内单一投资者持有基金份额比例达到或超过20%的情况</w:t>
      </w:r>
      <w:bookmarkEnd w:id="65"/>
    </w:p>
    <w:tbl>
      <w:tblPr>
        <w:tblStyle w:val="7"/>
        <w:tblW w:w="10200" w:type="dxa"/>
        <w:tblInd w:w="226" w:type="dxa"/>
        <w:tblLayout w:type="autofit"/>
        <w:tblCellMar>
          <w:top w:w="0" w:type="dxa"/>
          <w:left w:w="108" w:type="dxa"/>
          <w:bottom w:w="0" w:type="dxa"/>
          <w:right w:w="108" w:type="dxa"/>
        </w:tblCellMar>
      </w:tblPr>
      <w:tblGrid>
        <w:gridCol w:w="472"/>
        <w:gridCol w:w="546"/>
        <w:gridCol w:w="1278"/>
        <w:gridCol w:w="1810"/>
        <w:gridCol w:w="1694"/>
        <w:gridCol w:w="1694"/>
        <w:gridCol w:w="1865"/>
        <w:gridCol w:w="841"/>
      </w:tblGrid>
      <w:tr>
        <w:trPr>
          <w:wBefore w:w="0" w:type="auto"/>
        </w:trPr>
        <w:tc>
          <w:tcPr>
            <w:tcW w:w="1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b/>
                <w:color w:val="000000"/>
              </w:rPr>
              <w:t>投资者类别</w:t>
            </w:r>
          </w:p>
        </w:tc>
        <w:tc>
          <w:tcPr>
            <w:tcW w:w="3500" w:type="pct"/>
            <w:gridSpan w:val="5"/>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报告期内持有基金份额变化情况</w:t>
            </w:r>
          </w:p>
        </w:tc>
        <w:tc>
          <w:tcPr>
            <w:tcW w:w="13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报告期末持有基金情况</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0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12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持有基金份额比例达到或者超过20%的时间区间</w:t>
            </w:r>
          </w:p>
        </w:tc>
        <w:tc>
          <w:tcPr>
            <w:tcW w:w="32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期初份额</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申购份额</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赎回份额</w:t>
            </w:r>
          </w:p>
        </w:tc>
        <w:tc>
          <w:tcPr>
            <w:tcW w:w="24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11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份额占比</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机构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20170101-20170105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10,000,333.36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10,000,333.36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4.53%</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20170106-20171231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158,930,244.65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158,930,244.65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72.02%</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产品特有风险</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本基金在报告期内，存在报告期间单一投资者持有基金份额达到或超过20%的情形，可能会存在以下风险：</w:t>
            </w:r>
            <w:r>
              <w:rPr>
                <w:rFonts w:hint="eastAsia"/>
              </w:rPr>
              <w:br w:type="textWrapping"/>
            </w:r>
            <w:r>
              <w:rPr>
                <w:rFonts w:hint="eastAsia"/>
              </w:rPr>
              <w:t>  1、大额申购风险</w:t>
            </w:r>
            <w:r>
              <w:rPr>
                <w:rFonts w:hint="eastAsia"/>
              </w:rPr>
              <w:br w:type="textWrapping"/>
            </w:r>
            <w:r>
              <w:rPr>
                <w:rFonts w:hint="eastAsia"/>
              </w:rPr>
              <w:t>  在发生投资者大额申购时，若本基金所投资的标的资产未及时准备，则可能降低基金净值涨幅。</w:t>
            </w:r>
            <w:r>
              <w:rPr>
                <w:rFonts w:hint="eastAsia"/>
              </w:rPr>
              <w:br w:type="textWrapping"/>
            </w:r>
            <w:r>
              <w:rPr>
                <w:rFonts w:hint="eastAsia"/>
              </w:rPr>
              <w:t>  2、大额赎回风险</w:t>
            </w:r>
            <w:r>
              <w:rPr>
                <w:rFonts w:hint="eastAsia"/>
              </w:rPr>
              <w:br w:type="textWrapping"/>
            </w:r>
            <w:r>
              <w:rPr>
                <w:rFonts w:hint="eastAsia"/>
              </w:rPr>
              <w:t>  （1）若本基金在短时间内难以变现足够的资产予以应对，可能导致流动性风险；</w:t>
            </w:r>
            <w:r>
              <w:rPr>
                <w:rFonts w:hint="eastAsia"/>
              </w:rPr>
              <w:br w:type="textWrapping"/>
            </w:r>
            <w:r>
              <w:rPr>
                <w:rFonts w:hint="eastAsia"/>
              </w:rPr>
              <w:t>  （2）若持有基金份额比例达到或超过基金份额总额20%的单一投资者大额赎回引发巨额赎回，将可能对基金管理人的管理造成影响；</w:t>
            </w:r>
            <w:r>
              <w:rPr>
                <w:rFonts w:hint="eastAsia"/>
              </w:rPr>
              <w:br w:type="textWrapping"/>
            </w:r>
            <w:r>
              <w:rPr>
                <w:rFonts w:hint="eastAsia"/>
              </w:rPr>
              <w:t>  （3）基金管理人被迫大量卖出基金投资标的以赎回现金，可能使基金资产净值受到不利影响，影响基金的投资运作；</w:t>
            </w:r>
            <w:r>
              <w:rPr>
                <w:rFonts w:hint="eastAsia"/>
              </w:rPr>
              <w:br w:type="textWrapping"/>
            </w:r>
            <w:r>
              <w:rPr>
                <w:rFonts w:hint="eastAsia"/>
              </w:rPr>
              <w:t>  （4）因基金净值精度计算问题，可能因赎回费归入基金资产，导致基金净值有较大波动；</w:t>
            </w:r>
            <w:r>
              <w:rPr>
                <w:rFonts w:hint="eastAsia"/>
              </w:rPr>
              <w:br w:type="textWrapping"/>
            </w:r>
            <w:r>
              <w:rPr>
                <w:rFonts w:hint="eastAsia"/>
              </w:rPr>
              <w:t>  （5）大额赎回导致基金资产规模过小，不能满足存续条件，可能导致基金合同终止、清算等风险。</w:t>
            </w:r>
            <w:r>
              <w:rPr>
                <w:rFonts w:hint="eastAsia"/>
              </w:rPr>
              <w:br w:type="textWrapping"/>
            </w:r>
            <w:r>
              <w:rPr>
                <w:rFonts w:hint="eastAsia"/>
              </w:rPr>
              <w:t>  本基金管理人将建立完善的风险管理机制，以有效防止上述风险，最大限度的保护基金份额持有人的合法权益。</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bookmarkStart w:id="66" w:name="_Toc510101029"/>
      <w:r>
        <w:rPr>
          <w:rFonts w:hint="eastAsia"/>
          <w:b/>
          <w:bCs/>
        </w:rPr>
        <w:t>12.2 影响投资者决策的其他重要信息</w:t>
      </w:r>
      <w:bookmarkEnd w:id="66"/>
    </w:p>
    <w:p>
      <w:pPr>
        <w:pStyle w:val="17"/>
        <w:rPr>
          <w:rFonts w:hint="eastAsia"/>
        </w:rPr>
      </w:pPr>
      <w:r>
        <w:rPr>
          <w:rFonts w:hint="eastAsia"/>
        </w:rPr>
        <w:t>  本报告期，未出现影响投资者决策的其他重要信息。</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3"/>
        <w:rPr>
          <w:rFonts w:hint="eastAsia"/>
        </w:rPr>
      </w:pPr>
      <w:bookmarkStart w:id="67" w:name="_Toc510101030"/>
      <w:r>
        <w:rPr>
          <w:rFonts w:hint="eastAsia" w:hAnsi="Calibri"/>
          <w:b/>
          <w:color w:val="000000"/>
        </w:rPr>
        <w:t>§13  备查文件目录</w:t>
      </w:r>
      <w:bookmarkEnd w:id="67"/>
    </w:p>
    <w:p>
      <w:pPr>
        <w:widowControl/>
        <w:jc w:val="left"/>
        <w:rPr>
          <w:rFonts w:hint="eastAsia" w:ascii="宋体" w:hAnsi="宋体" w:cs="宋体"/>
          <w:kern w:val="0"/>
          <w:sz w:val="24"/>
          <w:szCs w:val="24"/>
        </w:rPr>
      </w:pPr>
    </w:p>
    <w:p>
      <w:pPr>
        <w:pStyle w:val="14"/>
        <w:rPr>
          <w:rFonts w:hint="eastAsia"/>
        </w:rPr>
      </w:pPr>
      <w:bookmarkStart w:id="68" w:name="_Toc510101031"/>
      <w:r>
        <w:rPr>
          <w:rFonts w:hint="eastAsia"/>
          <w:b/>
          <w:bCs/>
        </w:rPr>
        <w:t>13.1 备查文件目录</w:t>
      </w:r>
      <w:r>
        <w:rPr>
          <w:rFonts w:hint="eastAsia"/>
        </w:rPr>
        <w:t>.</w:t>
      </w:r>
      <w:bookmarkEnd w:id="68"/>
    </w:p>
    <w:p>
      <w:pPr>
        <w:pStyle w:val="20"/>
        <w:rPr>
          <w:rFonts w:hint="eastAsia"/>
        </w:rPr>
      </w:pPr>
      <w:r>
        <w:rPr>
          <w:rFonts w:hint="eastAsia"/>
        </w:rPr>
        <w:t>  1、《创金合信中证1000指数增强型发起式证券投资基金基金合同》；</w:t>
      </w:r>
      <w:r>
        <w:rPr>
          <w:rFonts w:hint="eastAsia"/>
        </w:rPr>
        <w:br w:type="textWrapping"/>
      </w:r>
      <w:r>
        <w:rPr>
          <w:rFonts w:hint="eastAsia"/>
        </w:rPr>
        <w:t>  2、《创金合信中证1000指数增强型发起式证券投资基金托管协议》；</w:t>
      </w:r>
      <w:r>
        <w:rPr>
          <w:rFonts w:hint="eastAsia"/>
        </w:rPr>
        <w:br w:type="textWrapping"/>
      </w:r>
      <w:r>
        <w:rPr>
          <w:rFonts w:hint="eastAsia"/>
        </w:rPr>
        <w:t>  3、创金合信中证1000指数增强型发起式证券投资基金2017年年度报告</w:t>
      </w:r>
    </w:p>
    <w:p>
      <w:pPr>
        <w:pStyle w:val="14"/>
        <w:rPr>
          <w:rFonts w:hint="eastAsia"/>
        </w:rPr>
      </w:pPr>
      <w:bookmarkStart w:id="69" w:name="_Toc510101032"/>
      <w:r>
        <w:rPr>
          <w:rFonts w:hint="eastAsia"/>
          <w:b/>
          <w:bCs/>
        </w:rPr>
        <w:t>13.2 存放地点</w:t>
      </w:r>
      <w:bookmarkEnd w:id="69"/>
    </w:p>
    <w:p>
      <w:pPr>
        <w:pStyle w:val="20"/>
        <w:rPr>
          <w:rFonts w:hint="eastAsia"/>
        </w:rPr>
      </w:pPr>
      <w:r>
        <w:rPr>
          <w:rFonts w:hint="eastAsia"/>
        </w:rPr>
        <w:t>  深圳市福田中心区福华一路115号投行大厦15楼</w:t>
      </w:r>
    </w:p>
    <w:p>
      <w:pPr>
        <w:pStyle w:val="14"/>
        <w:rPr>
          <w:rFonts w:hint="eastAsia"/>
        </w:rPr>
      </w:pPr>
      <w:bookmarkStart w:id="70" w:name="_Toc510101033"/>
      <w:r>
        <w:rPr>
          <w:rFonts w:hint="eastAsia"/>
          <w:b/>
          <w:bCs/>
        </w:rPr>
        <w:t>13.3 查阅方式</w:t>
      </w:r>
      <w:bookmarkEnd w:id="70"/>
    </w:p>
    <w:p>
      <w:pPr>
        <w:pStyle w:val="20"/>
        <w:rPr>
          <w:rFonts w:hint="eastAsia"/>
        </w:rPr>
      </w:pPr>
      <w:r>
        <w:rPr>
          <w:rFonts w:hint="eastAsia"/>
        </w:rPr>
        <w:t>  www.cjhxfund.com</w:t>
      </w:r>
    </w:p>
    <w:p>
      <w:pPr>
        <w:widowControl/>
        <w:spacing w:after="240"/>
        <w:jc w:val="left"/>
        <w:rPr>
          <w:rFonts w:hint="eastAsia" w:ascii="宋体" w:hAnsi="宋体" w:cs="宋体"/>
          <w:kern w:val="0"/>
          <w:sz w:val="24"/>
          <w:szCs w:val="24"/>
        </w:rPr>
      </w:pPr>
      <w:r>
        <w:rPr>
          <w:rFonts w:hint="eastAsia" w:ascii="宋体" w:hAnsi="宋体" w:cs="宋体"/>
          <w:kern w:val="0"/>
          <w:sz w:val="24"/>
          <w:szCs w:val="24"/>
        </w:rPr>
        <w:br w:type="textWrapping"/>
      </w:r>
    </w:p>
    <w:p>
      <w:pPr>
        <w:pStyle w:val="19"/>
        <w:rPr>
          <w:rFonts w:hint="eastAsia"/>
        </w:rPr>
      </w:pPr>
      <w:r>
        <w:rPr>
          <w:rFonts w:hint="eastAsia" w:hAnsi="Calibri"/>
          <w:b/>
          <w:bCs/>
          <w:color w:val="000000"/>
        </w:rPr>
        <w:t>创金合信基金管理有限公司</w:t>
      </w:r>
    </w:p>
    <w:p>
      <w:pPr>
        <w:pStyle w:val="19"/>
        <w:rPr>
          <w:rFonts w:hint="eastAsia"/>
        </w:rPr>
      </w:pPr>
      <w:r>
        <w:rPr>
          <w:rFonts w:hint="eastAsia" w:hAnsi="Calibri"/>
          <w:b/>
          <w:bCs/>
          <w:color w:val="000000"/>
        </w:rPr>
        <w:t>二〇一八年三月三十一日</w:t>
      </w:r>
    </w:p>
    <w:p>
      <w:pPr>
        <w:pStyle w:val="26"/>
        <w:autoSpaceDE w:val="0"/>
        <w:autoSpaceDN w:val="0"/>
        <w:adjustRightInd w:val="0"/>
        <w:spacing w:before="145" w:beforeAutospacing="0" w:after="0" w:afterAutospacing="0" w:line="288" w:lineRule="auto"/>
        <w:ind w:left="15"/>
        <w:jc w:val="right"/>
        <w:rPr>
          <w:rFonts w:hint="eastAsia"/>
          <w:b/>
        </w:rPr>
      </w:pPr>
    </w:p>
    <w:sectPr>
      <w:headerReference r:id="rId5" w:type="first"/>
      <w:footerReference r:id="rId8" w:type="first"/>
      <w:headerReference r:id="rId3" w:type="default"/>
      <w:footerReference r:id="rId6" w:type="default"/>
      <w:headerReference r:id="rId4" w:type="even"/>
      <w:footerReference r:id="rId7" w:type="even"/>
      <w:pgSz w:w="11926" w:h="15840"/>
      <w:pgMar w:top="1418" w:right="1418" w:bottom="853" w:left="1418"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lang/>
      </w:rPr>
      <w:t>122</w:t>
    </w:r>
    <w:r>
      <w:rPr>
        <w:rStyle w:val="10"/>
      </w:rPr>
      <w:fldChar w:fldCharType="end"/>
    </w:r>
  </w:p>
  <w:p>
    <w:pPr>
      <w:pStyle w:val="2"/>
      <w:jc w:val="center"/>
    </w:pPr>
    <w:r>
      <w:rPr>
        <w:rFonts w:hint="eastAsia"/>
      </w:rPr>
      <w:t xml:space="preserve">                   第       页，共141页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pPr>
    <w:r>
      <w:rPr>
        <w:rFonts w:hint="eastAsia"/>
      </w:rPr>
      <w:t>创金合信中证1000指数增强型发起式证券投资基金2017年年度报告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noPunctuationKerning w:val="1"/>
  <w:characterSpacingControl w:val="compressPunctuation"/>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60D55"/>
    <w:rsid w:val="00060D55"/>
    <w:rsid w:val="002C010F"/>
    <w:rsid w:val="003641D7"/>
    <w:rsid w:val="00556502"/>
    <w:rsid w:val="6C2D140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Style w:val="7"/>
      <w:tblCellMar>
        <w:top w:w="0" w:type="dxa"/>
        <w:left w:w="108" w:type="dxa"/>
        <w:bottom w:w="0" w:type="dxa"/>
        <w:right w:w="108" w:type="dxa"/>
      </w:tblCellMar>
    </w:tblPr>
    <w:trPr>
      <w:wBefore w:w="0" w:type="dxa"/>
    </w:trPr>
  </w:style>
  <w:style w:type="paragraph" w:styleId="2">
    <w:name w:val="footer"/>
    <w:basedOn w:val="1"/>
    <w:link w:val="28"/>
    <w:unhideWhenUsed/>
    <w:uiPriority w:val="99"/>
    <w:pPr>
      <w:tabs>
        <w:tab w:val="center" w:pos="4153"/>
        <w:tab w:val="right" w:pos="8306"/>
      </w:tabs>
      <w:snapToGrid w:val="0"/>
      <w:jc w:val="left"/>
    </w:pPr>
    <w:rPr>
      <w:sz w:val="18"/>
      <w:szCs w:val="18"/>
    </w:rPr>
  </w:style>
  <w:style w:type="paragraph" w:styleId="3">
    <w:name w:val="header"/>
    <w:basedOn w:val="1"/>
    <w:link w:val="27"/>
    <w:unhideWhenUsed/>
    <w:uiPriority w:val="99"/>
    <w:pPr>
      <w:pBdr>
        <w:bottom w:val="single" w:color="auto" w:sz="6" w:space="1"/>
      </w:pBdr>
      <w:tabs>
        <w:tab w:val="center" w:pos="4153"/>
        <w:tab w:val="right" w:pos="8306"/>
      </w:tabs>
      <w:snapToGrid w:val="0"/>
      <w:jc w:val="center"/>
    </w:pPr>
    <w:rPr>
      <w:sz w:val="18"/>
      <w:szCs w:val="18"/>
    </w:rPr>
  </w:style>
  <w:style w:type="paragraph" w:styleId="4">
    <w:name w:val="toc 1"/>
    <w:basedOn w:val="1"/>
    <w:next w:val="1"/>
    <w:unhideWhenUsed/>
    <w:uiPriority w:val="39"/>
  </w:style>
  <w:style w:type="paragraph" w:styleId="5">
    <w:name w:val="toc 2"/>
    <w:basedOn w:val="1"/>
    <w:next w:val="1"/>
    <w:unhideWhenUsed/>
    <w:uiPriority w:val="39"/>
    <w:pPr>
      <w:ind w:left="420" w:leftChars="200"/>
    </w:p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qFormat/>
    <w:uiPriority w:val="22"/>
    <w:rPr>
      <w:b/>
      <w:bCs/>
    </w:rPr>
  </w:style>
  <w:style w:type="character" w:styleId="10">
    <w:name w:val="page number"/>
    <w:semiHidden/>
    <w:unhideWhenUsed/>
    <w:uiPriority w:val="99"/>
  </w:style>
  <w:style w:type="character" w:styleId="11">
    <w:name w:val="Hyperlink"/>
    <w:unhideWhenUsed/>
    <w:uiPriority w:val="99"/>
    <w:rPr>
      <w:color w:val="0563C1"/>
      <w:u w:val="single"/>
    </w:rPr>
  </w:style>
  <w:style w:type="paragraph" w:customStyle="1" w:styleId="12">
    <w:name w:val="msonormal1"/>
    <w:qFormat/>
    <w:uiPriority w:val="0"/>
    <w:pPr>
      <w:widowControl w:val="0"/>
      <w:jc w:val="both"/>
    </w:pPr>
    <w:rPr>
      <w:kern w:val="2"/>
      <w:sz w:val="21"/>
      <w:szCs w:val="22"/>
      <w:lang w:val="en-US" w:eastAsia="zh-CN" w:bidi="ar-SA"/>
    </w:rPr>
  </w:style>
  <w:style w:type="paragraph" w:customStyle="1" w:styleId="13">
    <w:name w:val="dazhangjie"/>
    <w:basedOn w:val="1"/>
    <w:uiPriority w:val="0"/>
    <w:pPr>
      <w:widowControl/>
      <w:autoSpaceDE w:val="0"/>
      <w:autoSpaceDN w:val="0"/>
      <w:adjustRightInd w:val="0"/>
      <w:spacing w:before="30" w:line="288" w:lineRule="auto"/>
      <w:ind w:left="15"/>
      <w:jc w:val="center"/>
      <w:outlineLvl w:val="0"/>
    </w:pPr>
    <w:rPr>
      <w:rFonts w:ascii="宋体" w:hAnsi="宋体" w:eastAsia="宋体" w:cs="宋体"/>
      <w:kern w:val="0"/>
      <w:sz w:val="24"/>
      <w:szCs w:val="24"/>
    </w:rPr>
  </w:style>
  <w:style w:type="paragraph" w:customStyle="1" w:styleId="14">
    <w:name w:val="zhangjie_p"/>
    <w:basedOn w:val="1"/>
    <w:uiPriority w:val="0"/>
    <w:pPr>
      <w:widowControl/>
      <w:autoSpaceDE w:val="0"/>
      <w:autoSpaceDN w:val="0"/>
      <w:adjustRightInd w:val="0"/>
      <w:spacing w:before="30" w:line="288" w:lineRule="auto"/>
      <w:ind w:left="15"/>
      <w:jc w:val="left"/>
      <w:outlineLvl w:val="1"/>
    </w:pPr>
    <w:rPr>
      <w:rFonts w:ascii="宋体" w:hAnsi="宋体" w:eastAsia="宋体" w:cs="宋体"/>
      <w:kern w:val="0"/>
      <w:sz w:val="24"/>
      <w:szCs w:val="24"/>
    </w:rPr>
  </w:style>
  <w:style w:type="paragraph" w:customStyle="1" w:styleId="15">
    <w:name w:val="zhangjie_p2"/>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6">
    <w:name w:val="zhongyaotishi"/>
    <w:basedOn w:val="1"/>
    <w:uiPriority w:val="0"/>
    <w:pPr>
      <w:widowControl/>
      <w:autoSpaceDE w:val="0"/>
      <w:autoSpaceDN w:val="0"/>
      <w:adjustRightInd w:val="0"/>
      <w:spacing w:before="30" w:line="288" w:lineRule="auto"/>
      <w:ind w:left="15" w:firstLine="482"/>
      <w:jc w:val="left"/>
    </w:pPr>
    <w:rPr>
      <w:rFonts w:ascii="宋体" w:hAnsi="宋体" w:eastAsia="宋体" w:cs="宋体"/>
      <w:kern w:val="0"/>
      <w:sz w:val="24"/>
      <w:szCs w:val="24"/>
    </w:rPr>
  </w:style>
  <w:style w:type="paragraph" w:customStyle="1" w:styleId="17">
    <w:name w:val="biaoge_left"/>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8">
    <w:name w:val="biaoge_center"/>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19">
    <w:name w:val="biaoge_right"/>
    <w:basedOn w:val="1"/>
    <w:uiPriority w:val="0"/>
    <w:pPr>
      <w:widowControl/>
      <w:autoSpaceDE w:val="0"/>
      <w:autoSpaceDN w:val="0"/>
      <w:adjustRightInd w:val="0"/>
      <w:spacing w:before="29" w:line="288" w:lineRule="auto"/>
      <w:ind w:left="15"/>
      <w:jc w:val="right"/>
    </w:pPr>
    <w:rPr>
      <w:rFonts w:ascii="宋体" w:hAnsi="宋体" w:eastAsia="宋体" w:cs="宋体"/>
      <w:kern w:val="0"/>
      <w:sz w:val="24"/>
      <w:szCs w:val="24"/>
    </w:rPr>
  </w:style>
  <w:style w:type="paragraph" w:customStyle="1" w:styleId="20">
    <w:name w:val="neirong"/>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1">
    <w:name w:val="hide"/>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2">
    <w:name w:val="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3">
    <w:name w:val="biaoge_center1"/>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4">
    <w:name w:val="$2465_is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5">
    <w:name w:val="$2474_is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6">
    <w:name w:val="align=righ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7">
    <w:name w:val="页眉 Char"/>
    <w:link w:val="3"/>
    <w:locked/>
    <w:uiPriority w:val="99"/>
    <w:rPr>
      <w:rFonts w:hint="default" w:ascii="Times New Roman" w:hAnsi="Times New Roman" w:cs="Times New Roman"/>
      <w:sz w:val="18"/>
      <w:szCs w:val="18"/>
    </w:rPr>
  </w:style>
  <w:style w:type="character" w:customStyle="1" w:styleId="28">
    <w:name w:val="页脚 Char"/>
    <w:link w:val="2"/>
    <w:locked/>
    <w:uiPriority w:val="99"/>
    <w:rPr>
      <w:rFonts w:hint="default" w:ascii="Times New Roman" w:hAnsi="Times New Roman" w:cs="Times New Roman"/>
      <w:sz w:val="18"/>
      <w:szCs w:val="18"/>
    </w:rPr>
  </w:style>
  <w:style w:type="character" w:customStyle="1" w:styleId="29">
    <w:name w:val="biaoge_left1"/>
    <w:basedOn w:val="8"/>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4.jpeg"/><Relationship Id="rId12" Type="http://schemas.openxmlformats.org/officeDocument/2006/relationships/image" Target="media/image3.jpeg"/><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123</Pages>
  <Words>19022</Words>
  <Characters>108426</Characters>
  <Lines>903</Lines>
  <Paragraphs>254</Paragraphs>
  <TotalTime>0</TotalTime>
  <ScaleCrop>false</ScaleCrop>
  <LinksUpToDate>false</LinksUpToDate>
  <CharactersWithSpaces>127194</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2018-03-29T07:34:00Z</dcterms:created>
  <dc:creator>贺祎琪</dc:creator>
  <cp:lastModifiedBy>Administrator</cp:lastModifiedBy>
  <dcterms:modified xsi:type="dcterms:W3CDTF">2019-12-26T14:09:04Z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