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创金合信鑫收益灵活配置混合型证券投资基金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7535"/>
      <w:r>
        <w:rPr>
          <w:rFonts w:hint="eastAsia" w:hAnsi="Calibri"/>
          <w:b/>
          <w:color w:val="000000"/>
        </w:rPr>
        <w:t>§1  重要提示及目录</w:t>
      </w:r>
      <w:bookmarkEnd w:id="0"/>
      <w:r>
        <w:rPr>
          <w:rFonts w:hint="eastAsia"/>
        </w:rPr>
        <w:t xml:space="preserve"> </w:t>
      </w:r>
    </w:p>
    <w:p>
      <w:pPr>
        <w:pStyle w:val="14"/>
        <w:rPr>
          <w:rFonts w:hint="eastAsia"/>
        </w:rPr>
      </w:pPr>
      <w:bookmarkStart w:id="1" w:name="_Toc510107536"/>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7537"/>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"_Toc510107535"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_Toc510107535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"_Toc510107536"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_Toc510107536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"_Toc510107537"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_Toc510107537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"_Toc510107538"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_Toc510107538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"_Toc510107539"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_Toc510107539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_Toc510107540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_Toc510107541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_Toc510107542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_Toc510107543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"_Toc510107544"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_Toc510107544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_Toc510107545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_Toc510107546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_Toc510107547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"_Toc510107548"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_Toc510107548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"_Toc510107549"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_Toc510107549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"_Toc510107550"</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_Toc510107550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"_Toc510107551"</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_Toc510107551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"_Toc510107552"</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_Toc510107552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"_Toc510107553"</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_Toc510107553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"_Toc510107554"</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_Toc510107554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"_Toc510107555"</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_Toc510107555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_Toc510107556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_Toc510107557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"_Toc510107558"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_Toc510107558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"_Toc510107559"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_Toc510107559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_Toc510107560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_Toc510107561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"_Toc510107562"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_Toc510107562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_Toc510107563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_Toc510107564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"_Toc510107565"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_Toc510107565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_Toc510107566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_Toc510107567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_Toc510107568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"_Toc510107569"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_Toc510107569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"_Toc510107570"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_Toc510107570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_Toc510107571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_Toc510107572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_Toc510107573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_Toc510107574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_Toc510107575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_Toc510107576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_Toc510107577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_Toc510107578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"_Toc510107579"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_Toc510107579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_Toc510107580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_Toc510107581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_Toc510107582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"_Toc510107583"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_Toc510107583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_Toc510107584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"_Toc510107585"</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_Toc510107585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"_Toc510107586"</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_Toc510107586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"_Toc510107587"</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_Toc510107587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"_Toc510107588"</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_Toc510107588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"_Toc510107589"</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_Toc510107589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"_Toc510107590"</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_Toc510107590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"_Toc510107591"</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_Toc510107591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"_Toc510107592"</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_Toc510107592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"_Toc510107593"</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_Toc510107593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"_Toc510107594"</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_Toc510107594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"_Toc510107595"</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_Toc510107595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"_Toc510107596"</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_Toc510107596 \h </w:instrText>
      </w:r>
      <w:r>
        <w:rPr>
          <w:lang/>
        </w:rPr>
        <w:fldChar w:fldCharType="separate"/>
      </w:r>
      <w:r>
        <w:rPr>
          <w:lang/>
        </w:rPr>
        <w:t>61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"_Toc510107597"</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_Toc510107597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"_Toc510107598"</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_Toc510107598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"_Toc510107599"</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_Toc510107599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"_Toc510107600"</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_Toc510107600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"_Toc510107601"</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_Toc510107601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"_Toc510107602"</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_Toc510107602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"_Toc510107603"</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_Toc510107603 \h </w:instrText>
      </w:r>
      <w:r>
        <w:rPr>
          <w:lang/>
        </w:rPr>
        <w:fldChar w:fldCharType="separate"/>
      </w:r>
      <w:r>
        <w:rPr>
          <w:lang/>
        </w:rPr>
        <w:t>63</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753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7539"/>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629"/>
        <w:gridCol w:w="2482"/>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003749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2016年12月19日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284,993,010.38份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003750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283,125,412.74份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1,867,597.64份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7540"/>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在严格控制风险的前提下，追求基金资产的稳健增值。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沪深300指数收益率×30%＋一年期人民币定期存款利率（税后）×70%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本基金为混合型基金，理论上其预期风险与预期收益水平低于股票型基金，高于债券型基金和货币市场基金。</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7541"/>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510107542"/>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7543"/>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754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754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015"/>
        <w:gridCol w:w="1382"/>
        <w:gridCol w:w="1382"/>
        <w:gridCol w:w="1911"/>
        <w:gridCol w:w="1911"/>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2016年12月19日（基金合同生效日）-2016年12月31日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创金合信鑫收益C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23,078,280.71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483,734.56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212,120.73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24,215.74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16,797,425.71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675,634.46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-2,961.80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10,261,171.84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417,424.59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-2,961.80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293,386,584.58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2,285,022.23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190,086,321.30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23,054,535.51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4.本基金合同生效日为2016年12月19日，上年度可比期间的相关数据和指标按实际存续期计算。</w:t>
      </w:r>
    </w:p>
    <w:p>
      <w:pPr>
        <w:pStyle w:val="14"/>
        <w:rPr>
          <w:rFonts w:hint="eastAsia"/>
        </w:rPr>
      </w:pPr>
      <w:bookmarkStart w:id="11" w:name="_Toc51010754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创金合信鑫收益A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bl>
    <w:p>
      <w:pPr>
        <w:pStyle w:val="17"/>
        <w:rPr>
          <w:rFonts w:hint="eastAsia"/>
        </w:rPr>
      </w:pPr>
      <w:r>
        <w:rPr>
          <w:rFonts w:hint="eastAsia" w:hAnsi="Calibri"/>
          <w:color w:val="000000"/>
        </w:rPr>
        <w:t>创金合信鑫收益C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0.91%</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3749_FB010010_20180002_2.jpg" type="#_x0000_t75" style="height:286.2pt;width:441pt;" filled="f" stroked="f" coordsize="21600,21600">
            <v:path/>
            <v:fill on="f" focussize="0,0"/>
            <v:stroke on="f"/>
            <v:imagedata r:id="rId10" grayscale="f" bilevel="f" o:title="CN_50990000_003749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3749_FB010010_20180002_3.jpg" type="#_x0000_t75" style="height:286.2pt;width:441pt;" filled="f" stroked="f" coordsize="21600,21600">
            <v:path/>
            <v:fill on="f" focussize="0,0"/>
            <v:stroke on="f"/>
            <v:imagedata r:id="rId11" grayscale="f" bilevel="f" o:title="CN_50990000_003749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3749_FB010010_20180002_4.jpg" type="#_x0000_t75" style="height:285.95pt;width:440.6pt;" filled="f" stroked="f" coordsize="21600,21600">
            <v:path/>
            <v:fill on="f" focussize="0,0"/>
            <v:stroke on="f"/>
            <v:imagedata r:id="rId12" grayscale="f" bilevel="f" o:title="CN_50990000_003749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3749_FB010010_20180002_5.jpg" type="#_x0000_t75" style="height:285.95pt;width:440.6pt;" filled="f" stroked="f" coordsize="21600,21600">
            <v:path/>
            <v:fill on="f" focussize="0,0"/>
            <v:stroke on="f"/>
            <v:imagedata r:id="rId13" grayscale="f" bilevel="f" o:title="CN_50990000_003749_FB010010_20180002_5"/>
            <o:lock v:ext="edit" grouping="f" rotation="f" aspectratio="t"/>
            <w10:wrap type="none"/>
            <w10:anchorlock/>
          </v:shape>
        </w:pict>
      </w:r>
    </w:p>
    <w:p>
      <w:pPr>
        <w:pStyle w:val="14"/>
        <w:rPr>
          <w:rFonts w:hint="eastAsia"/>
        </w:rPr>
      </w:pPr>
      <w:bookmarkStart w:id="12" w:name="_Toc510107547"/>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本基金自基金合同生效日(2016年12月19日)至本报告期末未发生利润分配。</w:t>
      </w:r>
    </w:p>
    <w:p>
      <w:pPr>
        <w:pStyle w:val="13"/>
        <w:rPr>
          <w:rFonts w:hint="eastAsia"/>
        </w:rPr>
      </w:pPr>
      <w:bookmarkStart w:id="13" w:name="_Toc51010754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754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权益投资基金经理。投资中注重宏观研究，自上而下，把握行业趋势；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先生，中国国籍，新加坡南洋理工大学金融学硕士。2008年7月就职于国泰君安证券股份有限公司。2011年5月加入永安财产保险股份有限公司投资管理中心任固定收益研究员，2012年10月加入第一创业证券股份有限公司资产管理部任固定收益研究员，负责债券类组合的债券信用研究、组合投资管理等工作。2014年8月加入创金合信基金管理有限公司，历任信用研究主管、投资经理，负责固定收益研究、债券组合管理等工作，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7550"/>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7551"/>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1次，与该基金发生反向交易的基金为公司量化选股策略的基金，该基金经理基于对市场和个股的判断，同时出于组合调仓的需要，做出该投资行为，该交易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7552"/>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鑫收益A基金份额净值为1.036元;本报告期内，基金份额净值增长率为3.60%，同期业绩比较基准收益率为7.32%;截至报告期末创金合信鑫收益C基金份额净值为1.224元;本报告期内，基金份额净值增长率为22.40%，同期业绩比较基准收益率为7.32%。</w:t>
      </w:r>
    </w:p>
    <w:p>
      <w:pPr>
        <w:widowControl/>
        <w:jc w:val="left"/>
        <w:rPr>
          <w:rFonts w:hint="eastAsia" w:ascii="宋体" w:hAnsi="宋体" w:cs="宋体"/>
          <w:kern w:val="0"/>
          <w:sz w:val="24"/>
          <w:szCs w:val="24"/>
        </w:rPr>
      </w:pPr>
    </w:p>
    <w:p>
      <w:pPr>
        <w:pStyle w:val="14"/>
        <w:rPr>
          <w:rFonts w:hint="eastAsia"/>
        </w:rPr>
      </w:pPr>
      <w:bookmarkStart w:id="18" w:name="_Toc510107553"/>
      <w:r>
        <w:rPr>
          <w:rFonts w:hint="eastAsia"/>
          <w:b/>
          <w:bCs/>
        </w:rPr>
        <w:t>4.5 管理人对宏观经济、证券市场及行业走势的简要展望</w:t>
      </w:r>
      <w:bookmarkEnd w:id="18"/>
    </w:p>
    <w:p>
      <w:pPr>
        <w:pStyle w:val="20"/>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510107554"/>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7555"/>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7556"/>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7557"/>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10755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7559"/>
      <w:r>
        <w:rPr>
          <w:rFonts w:hint="eastAsia"/>
          <w:b/>
          <w:bCs/>
        </w:rPr>
        <w:t>5.1 报告期内本基金托管人遵规守信情况声明</w:t>
      </w:r>
      <w:bookmarkEnd w:id="24"/>
    </w:p>
    <w:p>
      <w:pPr>
        <w:pStyle w:val="20"/>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7560"/>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7561"/>
      <w:r>
        <w:rPr>
          <w:rFonts w:hint="eastAsia"/>
          <w:b/>
          <w:bCs/>
        </w:rPr>
        <w:t>5.3 托管人对本年度报告中财务信息等内容的真实、准确和完整发表意见</w:t>
      </w:r>
      <w:bookmarkEnd w:id="26"/>
    </w:p>
    <w:p>
      <w:pPr>
        <w:pStyle w:val="20"/>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3"/>
        <w:rPr>
          <w:rFonts w:hint="eastAsia"/>
        </w:rPr>
      </w:pPr>
      <w:bookmarkStart w:id="27" w:name="_Toc51010756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7563"/>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普华永道中天审字(2018)第21835号</w:t>
            </w:r>
          </w:p>
        </w:tc>
      </w:tr>
    </w:tbl>
    <w:p>
      <w:pPr>
        <w:widowControl/>
        <w:jc w:val="left"/>
        <w:rPr>
          <w:rFonts w:hint="eastAsia" w:ascii="宋体" w:hAnsi="宋体" w:cs="宋体"/>
          <w:kern w:val="0"/>
          <w:sz w:val="24"/>
          <w:szCs w:val="24"/>
        </w:rPr>
      </w:pPr>
    </w:p>
    <w:p>
      <w:pPr>
        <w:pStyle w:val="14"/>
        <w:rPr>
          <w:rFonts w:hint="eastAsia"/>
        </w:rPr>
      </w:pPr>
      <w:bookmarkStart w:id="29" w:name="_Toc510107564"/>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收益灵活配置混合型证券投资基金(以下简称"创金合信鑫收益混合基金")的财务报表，包括2017年12月31日和2016年12月31日的资产负债表，2017年度和2016年12月19日(基金合同生效日)至2016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收益混合基金2017年12月31日和2016年12月31日的财务状况以及2017年度和2016年12月19日(基金合同生效日)至2016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按照中国注册会计师职业道德守则，我们独立于创金合信鑫收益混合基金，并履行了职业道德方面的其他责任。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收益混合基金的持续经营能力，披露与持续经营相关的事项(如适用)，并运用持续经营假设，除非基金管理人管理层计划清算创金合信鑫收益混合基金、终止运营或别无其他现实的选择。 基金管理人治理层负责监督创金合信鑫收益混合基金的财务报告过程。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收益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收益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756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7566"/>
      <w:r>
        <w:rPr>
          <w:rFonts w:hint="eastAsia"/>
          <w:b/>
          <w:bCs/>
        </w:rPr>
        <w:t>7.1 资产负债表</w:t>
      </w:r>
      <w:bookmarkEnd w:id="31"/>
    </w:p>
    <w:p>
      <w:pPr>
        <w:pStyle w:val="17"/>
        <w:rPr>
          <w:rFonts w:hint="eastAsia"/>
        </w:rPr>
      </w:pPr>
      <w:r>
        <w:rPr>
          <w:rFonts w:hint="eastAsia"/>
        </w:rPr>
        <w:t>会计主体：创金合信鑫收益灵活配置混合型证券投资基金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183,623,269.02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892,179.65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78,553.81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301,666,272.83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58,995,350.00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18,601,350.00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50,786,626.88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306,866.75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608,447.10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362,034,893.33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243,227,066.12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9,011,013.35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171,089.47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41,940.05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13,980.01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1,512.21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17,222.96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102,745.52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540.73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66,363,286.52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30,086,209.31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284,993,010.38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213,155,772.76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10,678,596.43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295,671,606.81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213,140,856.81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362,034,893.33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243,227,066.12</w:t>
            </w:r>
          </w:p>
        </w:tc>
      </w:tr>
    </w:tbl>
    <w:p>
      <w:pPr>
        <w:pStyle w:val="20"/>
        <w:rPr>
          <w:rFonts w:hint="eastAsia"/>
        </w:rPr>
      </w:pPr>
      <w:r>
        <w:rPr>
          <w:rFonts w:hint="eastAsia"/>
        </w:rPr>
        <w:t>注：1.报告截止日2017年12月31日，基金份额总额284,993,010.38份，其中A类基金份额的份额总额为283,125,412.74份，份额净值1.036元；C类基金份额的份额总额为1,867,597.64份，份额净值1.224元。</w:t>
      </w:r>
      <w:r>
        <w:rPr>
          <w:rFonts w:hint="eastAsia"/>
        </w:rPr>
        <w:br w:type="textWrapping"/>
      </w:r>
      <w:r>
        <w:rPr>
          <w:rFonts w:hint="eastAsia"/>
        </w:rPr>
        <w:t>2.本基金合同生效日为2016年12月19日，上年度可比期间为2016年12月19日至2016年12月31日。</w:t>
      </w:r>
    </w:p>
    <w:p>
      <w:pPr>
        <w:pStyle w:val="14"/>
        <w:rPr>
          <w:rFonts w:hint="eastAsia"/>
        </w:rPr>
      </w:pPr>
      <w:bookmarkStart w:id="32" w:name="_Toc510107567"/>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会计主体：创金合信鑫收益灵活配置混合型证券投资基金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2016年12月19日（基金合同生效日）至2016年12月31日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25,285,962.40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66,425.32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18,326,777.34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317,677.74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284,263.26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304,658.57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17,140,920.41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13,019.17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901,593.67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12,902,311.69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15,244,434.84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1,759,860.90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-6,088,955.10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-251,252.42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145,828.47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7,812,902.23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81,341.27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2,704,511.49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41,940.05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901,503.89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13,980.01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1,512.21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751,446.79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19,210.61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3,195,749.81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4,698.39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3,195,749.81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4,698.39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227,183.48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r>
    </w:tbl>
    <w:p>
      <w:pPr>
        <w:pStyle w:val="20"/>
        <w:rPr>
          <w:rFonts w:hint="eastAsia"/>
        </w:rPr>
      </w:pPr>
      <w:r>
        <w:rPr>
          <w:rFonts w:hint="eastAsia"/>
        </w:rPr>
        <w:t>注：本基金合同生效日为2016年12月19日，上年度可比期间为2016年12月19日至2016年12月31日。</w:t>
      </w:r>
    </w:p>
    <w:p>
      <w:pPr>
        <w:pStyle w:val="14"/>
        <w:rPr>
          <w:rFonts w:hint="eastAsia"/>
        </w:rPr>
      </w:pPr>
      <w:bookmarkStart w:id="33" w:name="_Toc510107568"/>
      <w:r>
        <w:rPr>
          <w:rFonts w:hint="eastAsia"/>
          <w:b/>
          <w:bCs/>
        </w:rPr>
        <w:t>7.3 所有者权益（基金净值）变动表</w:t>
      </w:r>
      <w:bookmarkEnd w:id="33"/>
    </w:p>
    <w:p>
      <w:pPr>
        <w:pStyle w:val="17"/>
        <w:rPr>
          <w:rFonts w:hint="eastAsia"/>
        </w:rPr>
      </w:pPr>
      <w:r>
        <w:rPr>
          <w:rFonts w:hint="eastAsia"/>
        </w:rPr>
        <w:t>会计主体：创金合信鑫收益灵活配置混合型证券投资基金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213,155,772.76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213,140,856.81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71,837,237.62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-6,779,547.79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65,057,689.83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299,626,521.19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1,278,575.44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300,905,096.63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-227,789,283.57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-8,058,123.23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-235,847,406.80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284,993,010.38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10,678,596.43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295,671,606.81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2016年12月19日（基金合同生效日）至2016年12月31日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213,155,772.76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213,155,772.76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213,155,772.76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213,140,856.81</w:t>
            </w:r>
          </w:p>
        </w:tc>
      </w:tr>
    </w:tbl>
    <w:p>
      <w:pPr>
        <w:pStyle w:val="20"/>
        <w:rPr>
          <w:rFonts w:hint="eastAsia"/>
        </w:rPr>
      </w:pPr>
      <w:r>
        <w:rPr>
          <w:rFonts w:hint="eastAsia"/>
        </w:rPr>
        <w:t>注：本基金合同生效日为2016年12月19日，上年度可比期间为2016年12月19日至2016年12月31日。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7569"/>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创金合信鑫收益灵活配置混合型证券投资基金(以下简称"本基金")经中国证券监督管理委员会(以下简称"中国证监会")证监许可 [2015]1688号《关于准予创金合信鑫收益灵活配置混合型证券投资基金注册的批复》核准，由创金合信基金管理有限公司依照《中华人民共和国证券投资基金法》和《创金合信鑫收益灵活配置混合型证券投资基金基金合同》负责公开募集。本基金为契约型开放式，存续期限不定，首次设立募集不包括认购资金利息共募集人民币213,147,227.55元，业经普华永道中天会计师事务所(特殊普通合伙)普华永道中天验字(2016)第1560号验资报告予以验证。经向中国证监会备案，《创金合信鑫收益灵活配置混合型证券投资基金基金合同》于2016年12月19日正式生效，基金合同生效日的基金份额总额为213,155,772.76份基金份额，其中认购资金利息折合8,545.21份基金份额。本基金的基金管理人为创金合信基金管理有限公司，基金托管人为招商银行股份有限公司(以下简称"招商银行")。</w:t>
      </w:r>
      <w:r>
        <w:rPr>
          <w:rFonts w:hint="eastAsia"/>
        </w:rPr>
        <w:br w:type="textWrapping"/>
      </w:r>
      <w:r>
        <w:rPr>
          <w:rFonts w:hint="eastAsia"/>
        </w:rPr>
        <w:t>  根据《中华人民共和国证券投资基金法》和《创金合信鑫收益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收益灵活配置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本基金会计年度为公历1月1日起至12月31日止。本期财务报表的实际编制期间为2017年1月1日至2017年12月31日。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本基金持有的股票投资和债券投资按如下原则确定公允价值并进行估值：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33,623,269.02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183,623,269.02</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8,969,453.26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-581,533.26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209,370,751.34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203,575,352.83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-5,795,398.51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89,666,275.75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89,703,000.00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36,724.25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299,037,027.09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-5,758,674.26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308,006,480.35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301,666,272.83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-6,340,207.52</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18,503,649.00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18,601,350.00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97,701.00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40,742,953.42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-348,953.42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40,742,953.42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-348,953.42</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59,246,602.42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58,995,350.00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-251,252.42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44,586,626.88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50,786,626.88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242,916.74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4,200,778.40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360,832.87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172,947.56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608,447.10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49,481.58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17,222.96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7,426.86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17,222.96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创金合信鑫收益A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190,098,275.45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190,098,275.45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293,146,331.71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293,146,331.71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-200,119,194.42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-200,119,194.42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283,125,412.74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283,125,412.74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创金合信鑫收益C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23,057,497.31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23,057,497.31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6,480,189.48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6,480,189.48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-27,670,089.15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-27,670,089.15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1,867,597.64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1,867,597.64</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创金合信鑫收益A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212,120.73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-224,074.88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-11,954.15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23,078,280.71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-6,280,855.00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16,797,425.71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-5,850,318.01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-673,981.71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-6,524,299.72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438,826.88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-532,342.82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-93,515.94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-6,289,144.89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-141,638.89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-6,430,783.78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17,440,083.43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-7,178,911.59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10,261,171.84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创金合信鑫收益C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24,215.74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-27,177.54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-2,961.80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483,734.56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191,899.90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675,634.46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-35,568.57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-219,679.50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-255,248.07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1,356,207.36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15,884.02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1,372,091.38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-1,391,775.93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-235,563.52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-1,627,339.45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472,381.73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-54,957.14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417,424.59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121,199.44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29,075.16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66,249.92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275,583.41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95,778.41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284,263.26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304,658.57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278,132,648.21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262,888,213.37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15,244,434.84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1,255,998,637.24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1,238,579,994.31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21,520,626.98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1,759,860.90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1,759,860.90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-6,088,955.10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-251,252.42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-679,234.26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97,701.00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-5,409,720.84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-348,953.42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-6,088,955.10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-251,252.42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145,828.47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145,828.47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739,266.79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19,210.61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751,446.79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19,210.61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27,983.48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227,183.48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0"/>
        <w:gridCol w:w="1642"/>
        <w:gridCol w:w="998"/>
        <w:gridCol w:w="2184"/>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380,840,762.27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275,842.81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43,123.21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87.15%</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2016年12月19日至2016年12月31日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78"/>
        <w:gridCol w:w="1786"/>
        <w:gridCol w:w="901"/>
        <w:gridCol w:w="2169"/>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537,161,932.63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62"/>
        <w:gridCol w:w="1754"/>
        <w:gridCol w:w="891"/>
        <w:gridCol w:w="212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7,845,617,000.00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2,704,511.49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41,940.05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w:t>
            </w:r>
          </w:p>
        </w:tc>
      </w:tr>
    </w:tbl>
    <w:p>
      <w:pPr>
        <w:pStyle w:val="20"/>
        <w:rPr>
          <w:rFonts w:hint="eastAsia"/>
        </w:rPr>
      </w:pPr>
      <w:r>
        <w:rPr>
          <w:rFonts w:hint="eastAsia"/>
        </w:rPr>
        <w:t>注：本基金的管理费按前一日基金资产净值的0.60%年费率计提。管理费的计算方法如下：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901,503.89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13,980.01</w:t>
            </w:r>
          </w:p>
        </w:tc>
      </w:tr>
    </w:tbl>
    <w:p>
      <w:pPr>
        <w:pStyle w:val="20"/>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464"/>
        <w:gridCol w:w="2464"/>
        <w:gridCol w:w="1591"/>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1,509.33</w:t>
            </w:r>
          </w:p>
        </w:tc>
      </w:tr>
    </w:tbl>
    <w:p>
      <w:pPr>
        <w:pStyle w:val="20"/>
        <w:rPr>
          <w:rFonts w:hint="eastAsia"/>
        </w:rPr>
      </w:pPr>
      <w:r>
        <w:rPr>
          <w:rFonts w:hint="eastAsia"/>
        </w:rPr>
        <w:t>注：支付基金销售机构的销售服务费按前一日C类基金的基金资产净值0.2%的年费率计提，逐日累计至每月月底，按月支付给创金合信基金管理有限公司，再由创金合信基金管理有限公司计算并支付给各基金销售机构。其计算公式为：日销售服务费＝C类基金前一日基金资产净值×0.2%/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252"/>
        <w:gridCol w:w="1252"/>
        <w:gridCol w:w="2016"/>
        <w:gridCol w:w="1894"/>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2016年12月19日（基金合同生效日）至2016年12月31日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121,199.44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33,623,269.02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29,075.16</w:t>
            </w:r>
          </w:p>
        </w:tc>
      </w:tr>
    </w:tbl>
    <w:p>
      <w:pPr>
        <w:pStyle w:val="20"/>
        <w:rPr>
          <w:rFonts w:hint="eastAsia"/>
        </w:rPr>
      </w:pPr>
      <w:r>
        <w:rPr>
          <w:rFonts w:hint="eastAsia"/>
        </w:rPr>
        <w:t>注：本基金的银行存款由基金托管人招商银行保管，按金融机构同业存款利率计息。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内购买基金托管人招商银行发行的同业存单金额为39,651,052.58元，卖出基金托管人招商银行发行的同业存单金额为39,671,106.52元(上年度可比期间：无)，产生利息收入23,853.94元(上年度可比期间：无)，投资收益-3,800.00元(上年度可比期间：无)。截止2017年12月31日本基金未持有关联方发行的证券(2016年12月31日：同)。</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本基金本期末无因认购新发/增发证券而于期末持有的流通受限证券。</w:t>
      </w: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基金从事证券交易所债券正回购交易形成的卖出回购证券款余额65,800,000.00元，于2018年1月2日、2018年1月10日先后到期。该类交易要求本基金在回购期内持有的证券交易所交易的债券和/或在新质押式回购下转入质押库的债券，按证券交易所规定的比例折算为标准券后，不低于债券回购交易的余额。</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69,727,000.00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77,642,894.20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145,908,458.63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223,551,352.83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除卖出回购金融资产款余额中有65800000.00元将在1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348037667.05元，超过经确认的当日净赎回金额。于2017年12月31日，本基金持有的流动性受限资产的估值占基金资产净值的比例为0.93%，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087"/>
        <w:gridCol w:w="1441"/>
        <w:gridCol w:w="1359"/>
        <w:gridCol w:w="1359"/>
        <w:gridCol w:w="1359"/>
        <w:gridCol w:w="1440"/>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892,179.65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892,179.65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78,553.81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78,553.81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157,216,972.03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68,923,684.30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67,137,696.50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301,666,272.83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50,786,626.88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50,786,626.88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306,866.75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306,866.75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212,903,709.70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68,923,684.30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67,137,696.50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13,069,802.83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362,034,893.33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171,089.47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171,089.47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57,029.83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495.79</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56,908.44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102,745.52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102,745.52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563,286.52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66,363,286.52</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147,103,709.70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68,923,684.30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67,137,696.50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12,506,516.31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295,671,606.81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183,623,269.02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183,623,269.02</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40,394,000.00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58,995,350.00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608,447.10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608,447.10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183,623,269.02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19,209,797.10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243,227,066.12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9,011,013.35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9,011,013.35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41,940.05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41,940.05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13,980.01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1,512.21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17,222.96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9,086,209.31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30,086,209.31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162,623,269.02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40,394,000.00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10,123,587.79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213,140,856.81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-610,764.21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-170,792.79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615,692.32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171,937.39</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8,387,920.00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8,387,920.00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18,601,350.00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8.73</w:t>
            </w:r>
          </w:p>
        </w:tc>
      </w:tr>
    </w:tbl>
    <w:p>
      <w:pPr>
        <w:pStyle w:val="15"/>
        <w:rPr>
          <w:rFonts w:hint="eastAsia"/>
        </w:rPr>
      </w:pPr>
      <w:r>
        <w:rPr>
          <w:rFonts w:hint="eastAsia"/>
          <w:b/>
          <w:bCs/>
        </w:rPr>
        <w:t>7.4.13.4.3.2 其他价格风险的敏感性分析</w:t>
      </w:r>
    </w:p>
    <w:p>
      <w:pPr>
        <w:pStyle w:val="20"/>
        <w:rPr>
          <w:rFonts w:hint="eastAsia"/>
        </w:rPr>
      </w:pPr>
      <w:r>
        <w:rPr>
          <w:rFonts w:hint="eastAsia"/>
        </w:rPr>
        <w:t>于2017年12月31日，本基金持有的交易性权益类投资公允价值占基金资产净值的比例为2.84%(2016 年12月31日：8.73%)，因此除市场利率和外汇汇率以外的市场价格因素的变动对于本基金资产净值无重大影响(2016 年12月31日：同)。</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52,791,496.50元，第二层次的余额为248,874,776.33元，无属于第三层次的余额（2016年12月31日：第一层次18,601,350.00元，第二层次40,394,000.00元，无属于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本基金本期持有的以公允价值计量的金融工具的公允价值所属层次未发生重大变动。</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7570"/>
      <w:r>
        <w:rPr>
          <w:rFonts w:hint="eastAsia" w:hAnsi="Calibri"/>
          <w:b/>
          <w:color w:val="000000"/>
        </w:rPr>
        <w:t>§8 投资组合报告</w:t>
      </w:r>
      <w:bookmarkEnd w:id="35"/>
    </w:p>
    <w:p>
      <w:pPr>
        <w:pStyle w:val="14"/>
        <w:rPr>
          <w:rFonts w:hint="eastAsia"/>
        </w:rPr>
      </w:pPr>
      <w:bookmarkStart w:id="36" w:name="_Toc51010757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50,786,626.88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4,821,556.98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4,760,436.64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362,034,893.33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7572"/>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5,629,800.00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2,758,120.00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7573"/>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bl>
    <w:p>
      <w:pPr>
        <w:pStyle w:val="14"/>
        <w:rPr>
          <w:rFonts w:hint="eastAsia"/>
        </w:rPr>
      </w:pPr>
      <w:bookmarkStart w:id="39" w:name="_Toc510107574"/>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8,407,571.10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6,933,623.00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6,478,666.00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6,450,660.00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5,308,488.00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3,625,200.00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3,543,428.50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3,509,750.00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3,485,150.00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金禾实业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3,113,770.00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中油资本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3,082,124.00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陕国投Ａ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13,421,830.20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8,803,423.00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7,736,349.00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6,908,099.00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6,780,866.00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6,761,345.00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5,233,491.00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4,382,964.26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4,364,609.00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安信信托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4,104,524.00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4,032,253.70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3,751,580.00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3,667,226.98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253,354,017.63</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278,132,648.21</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757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19,986,000.00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19,986,000.00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157,392,513.40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30,199,000.00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48,045,880.80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19,542,000.00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18,112,958.63</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99.19</w:t>
            </w:r>
          </w:p>
        </w:tc>
      </w:tr>
    </w:tbl>
    <w:p>
      <w:pPr>
        <w:pStyle w:val="14"/>
        <w:rPr>
          <w:rFonts w:hint="eastAsia"/>
        </w:rPr>
      </w:pPr>
      <w:bookmarkStart w:id="41" w:name="_Toc51010757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15滇路01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29,597,013.40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16鸿商01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16荣盛01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23,998,837.80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23,162,858.70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w:t>
            </w:r>
          </w:p>
        </w:tc>
      </w:tr>
    </w:tbl>
    <w:p>
      <w:pPr>
        <w:pStyle w:val="14"/>
        <w:rPr>
          <w:rFonts w:hint="eastAsia"/>
        </w:rPr>
      </w:pPr>
      <w:bookmarkStart w:id="42" w:name="_Toc510107577"/>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7578"/>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7579"/>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7580"/>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7581"/>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本基金本报告期末未持有国债期货。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7582"/>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78,553.81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306,866.75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4,760,436.64</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6"/>
        <w:gridCol w:w="2053"/>
        <w:gridCol w:w="2053"/>
        <w:gridCol w:w="2053"/>
        <w:gridCol w:w="209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23,998,837.80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7583"/>
      <w:r>
        <w:rPr>
          <w:rFonts w:hint="eastAsia" w:hAnsi="Calibri"/>
          <w:b/>
          <w:color w:val="000000"/>
        </w:rPr>
        <w:t>§9  基金份额持有人信息</w:t>
      </w:r>
      <w:bookmarkEnd w:id="48"/>
    </w:p>
    <w:p>
      <w:pPr>
        <w:pStyle w:val="14"/>
        <w:rPr>
          <w:rFonts w:hint="eastAsia"/>
        </w:rPr>
      </w:pPr>
      <w:bookmarkStart w:id="49" w:name="_Toc51010758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1,747,687.73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283,094,494.09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30,918.65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1,867,597.64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879,608.06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283,094,494.09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1,898,516.29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0.67%</w:t>
            </w:r>
          </w:p>
        </w:tc>
      </w:tr>
    </w:tbl>
    <w:p>
      <w:pPr>
        <w:widowControl/>
        <w:jc w:val="left"/>
        <w:rPr>
          <w:rFonts w:hint="eastAsia" w:ascii="宋体" w:hAnsi="宋体" w:cs="宋体"/>
          <w:kern w:val="0"/>
          <w:sz w:val="24"/>
          <w:szCs w:val="24"/>
        </w:rPr>
      </w:pPr>
    </w:p>
    <w:p>
      <w:pPr>
        <w:pStyle w:val="14"/>
        <w:rPr>
          <w:rFonts w:hint="eastAsia"/>
        </w:rPr>
      </w:pPr>
      <w:bookmarkStart w:id="50" w:name="_Toc510107585"/>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264"/>
        <w:gridCol w:w="1681"/>
        <w:gridCol w:w="2005"/>
        <w:gridCol w:w="2095"/>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26,284.05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27,094.32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bl>
    <w:p>
      <w:pPr>
        <w:widowControl/>
        <w:jc w:val="left"/>
        <w:rPr>
          <w:rFonts w:hint="eastAsia" w:ascii="宋体" w:hAnsi="宋体" w:cs="宋体"/>
          <w:kern w:val="0"/>
          <w:sz w:val="24"/>
          <w:szCs w:val="24"/>
        </w:rPr>
      </w:pPr>
    </w:p>
    <w:p>
      <w:pPr>
        <w:pStyle w:val="14"/>
        <w:rPr>
          <w:rFonts w:hint="eastAsia"/>
        </w:rPr>
      </w:pPr>
      <w:bookmarkStart w:id="51" w:name="_Toc510107586"/>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pStyle w:val="13"/>
        <w:rPr>
          <w:rFonts w:hint="eastAsia"/>
        </w:rPr>
      </w:pPr>
      <w:bookmarkStart w:id="52" w:name="_Toc510107587"/>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基金合同生效日(2016年12月19日)基金份额总额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190,098,275.45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23,057,497.31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190,098,275.45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23,057,497.31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293,146,331.71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6,480,189.48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200,119,194.42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27,670,089.15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283,125,412.74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1,867,597.64</w:t>
            </w:r>
          </w:p>
        </w:tc>
      </w:tr>
    </w:tbl>
    <w:p>
      <w:pPr>
        <w:pStyle w:val="13"/>
        <w:rPr>
          <w:rFonts w:hint="eastAsia"/>
        </w:rPr>
      </w:pPr>
      <w:bookmarkStart w:id="53" w:name="_Toc510107588"/>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7589"/>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7590"/>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7591"/>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7592"/>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7593"/>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本报告期内本基金未更换会计师事务所,本年度支付给普华永道中天会计师事务所(特殊普通合伙)审计费用65,000.00元,该审计机构连续提供审计服务的年限为1年。</w:t>
      </w:r>
    </w:p>
    <w:p>
      <w:pPr>
        <w:pStyle w:val="14"/>
        <w:rPr>
          <w:rFonts w:hint="eastAsia"/>
        </w:rPr>
      </w:pPr>
      <w:bookmarkStart w:id="59" w:name="_Toc510107594"/>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7595"/>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985"/>
        <w:gridCol w:w="1050"/>
        <w:gridCol w:w="1471"/>
        <w:gridCol w:w="1050"/>
        <w:gridCol w:w="738"/>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146,676,735.03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134,366.54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380,840,762.27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275,842.81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78"/>
        <w:gridCol w:w="1050"/>
        <w:gridCol w:w="946"/>
        <w:gridCol w:w="1050"/>
        <w:gridCol w:w="675"/>
        <w:gridCol w:w="1050"/>
        <w:gridCol w:w="675"/>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364,090,900.05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5,548,424,000.00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537,161,932.63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7,845,617,000.00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7596"/>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创金合信鑫收益灵活配置混合型证券投资基金开放日常申购、赎回、定期定额投资业务的公告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7597"/>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7598"/>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293,093,094.09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283,094,494.09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20170101-20170906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7599"/>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7600"/>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7601"/>
      <w:r>
        <w:rPr>
          <w:rFonts w:hint="eastAsia"/>
          <w:b/>
          <w:bCs/>
        </w:rPr>
        <w:t>13.1 备查文件目录</w:t>
      </w:r>
      <w:r>
        <w:rPr>
          <w:rFonts w:hint="eastAsia"/>
        </w:rPr>
        <w:t>.</w:t>
      </w:r>
      <w:bookmarkEnd w:id="66"/>
    </w:p>
    <w:p>
      <w:pPr>
        <w:pStyle w:val="20"/>
        <w:rPr>
          <w:rFonts w:hint="eastAsia"/>
        </w:rPr>
      </w:pPr>
      <w:r>
        <w:rPr>
          <w:rFonts w:hint="eastAsia"/>
        </w:rPr>
        <w:t>  1、《创金合信鑫收益灵活配置混合型证券投资基金基金合同》；</w:t>
      </w:r>
      <w:r>
        <w:rPr>
          <w:rFonts w:hint="eastAsia"/>
        </w:rPr>
        <w:br w:type="textWrapping"/>
      </w:r>
      <w:r>
        <w:rPr>
          <w:rFonts w:hint="eastAsia"/>
        </w:rPr>
        <w:t>  2、《创金合信鑫收益灵活配置混合型证券投资基金托管协议》；</w:t>
      </w:r>
      <w:r>
        <w:rPr>
          <w:rFonts w:hint="eastAsia"/>
        </w:rPr>
        <w:br w:type="textWrapping"/>
      </w:r>
      <w:r>
        <w:rPr>
          <w:rFonts w:hint="eastAsia"/>
        </w:rPr>
        <w:t>  3、创金合信鑫收益灵活配置混合型证券投资基金2017年年度报告</w:t>
      </w:r>
    </w:p>
    <w:p>
      <w:pPr>
        <w:pStyle w:val="14"/>
        <w:rPr>
          <w:rFonts w:hint="eastAsia"/>
        </w:rPr>
      </w:pPr>
      <w:bookmarkStart w:id="67" w:name="_Toc510107602"/>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7603"/>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4</w:t>
    </w:r>
    <w:r>
      <w:rPr>
        <w:rStyle w:val="10"/>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创金合信鑫收益灵活配置混合型证券投资基金2017年年度报告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3719"/>
    <w:rsid w:val="000B1661"/>
    <w:rsid w:val="002B065E"/>
    <w:rsid w:val="00527464"/>
    <w:rsid w:val="00573719"/>
    <w:rsid w:val="5246456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7508</Words>
  <Characters>42798</Characters>
  <Lines>356</Lines>
  <Paragraphs>100</Paragraphs>
  <TotalTime>0</TotalTime>
  <ScaleCrop>false</ScaleCrop>
  <LinksUpToDate>false</LinksUpToDate>
  <CharactersWithSpaces>50206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2018-03-29T09:22:00Z</dcterms:created>
  <dc:creator>贺祎琪</dc:creator>
  <cp:lastModifiedBy>Administrator</cp:lastModifiedBy>
  <dcterms:modified xsi:type="dcterms:W3CDTF">2019-12-26T14:09:15Z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