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9" w:name="_GoBack"/>
      <w:bookmarkEnd w:id="69"/>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创金合信鑫收益灵活配置混合型证券投资基金</w:t>
      </w:r>
    </w:p>
    <w:p>
      <w:pPr>
        <w:widowControl/>
        <w:spacing w:before="240" w:after="120"/>
        <w:jc w:val="center"/>
        <w:rPr>
          <w:rFonts w:ascii="黑体" w:hAnsi="黑体" w:eastAsia="黑体"/>
          <w:b/>
          <w:color w:val="000000"/>
          <w:sz w:val="36"/>
        </w:rPr>
      </w:pPr>
      <w:r>
        <w:rPr>
          <w:rFonts w:ascii="黑体" w:hAnsi="黑体" w:eastAsia="黑体"/>
          <w:b/>
          <w:color w:val="000000"/>
          <w:sz w:val="36"/>
        </w:rPr>
        <w:t>2017年年度报告</w:t>
      </w:r>
    </w:p>
    <w:p>
      <w:pPr>
        <w:widowControl/>
        <w:spacing w:before="240" w:after="120"/>
        <w:jc w:val="center"/>
        <w:rPr>
          <w:rFonts w:ascii="宋体" w:hAnsi="宋体"/>
          <w:b/>
          <w:color w:val="000000"/>
          <w:sz w:val="24"/>
        </w:rPr>
      </w:pPr>
      <w:r>
        <w:rPr>
          <w:rFonts w:ascii="宋体" w:hAnsi="宋体"/>
          <w:b/>
          <w:color w:val="000000"/>
          <w:sz w:val="24"/>
        </w:rPr>
        <w:t>2017年12月31日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基金托管人:招商银行股份有限公司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送出日期:2018年03月31日</w:t>
      </w:r>
      <w:r>
        <w:rPr>
          <w:b/>
          <w:color w:val="000000"/>
        </w:rPr>
        <w:br w:type="page"/>
      </w:r>
    </w:p>
    <w:p>
      <w:pPr>
        <w:pStyle w:val="13"/>
        <w:spacing w:before="240" w:after="120"/>
      </w:pPr>
      <w:bookmarkStart w:id="0" w:name="_Toc510107535"/>
      <w:r>
        <w:rPr>
          <w:rFonts w:hint="eastAsia" w:hAnsi="Calibri"/>
          <w:b/>
          <w:color w:val="000000"/>
        </w:rPr>
        <w:t>§1  重要提示及目录</w:t>
      </w:r>
      <w:bookmarkEnd w:id="0"/>
      <w:r>
        <w:rPr>
          <w:rFonts w:hint="eastAsia"/>
        </w:rPr>
        <w:t xml:space="preserve"> </w:t>
      </w:r>
    </w:p>
    <w:p>
      <w:pPr>
        <w:pStyle w:val="14"/>
        <w:rPr>
          <w:rFonts w:hint="eastAsia"/>
        </w:rPr>
      </w:pPr>
      <w:bookmarkStart w:id="1" w:name="_Toc510107536"/>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widowControl/>
              <w:wordWrap w:val="0"/>
              <w:jc w:val="left"/>
              <w:rPr>
                <w:rFonts w:hint="eastAsia" w:ascii="宋体" w:hAnsi="宋体" w:cs="宋体"/>
                <w:kern w:val="0"/>
                <w:sz w:val="24"/>
                <w:szCs w:val="24"/>
              </w:rPr>
            </w:pPr>
            <w:r>
              <w:rPr>
                <w:rStyle w:val="29"/>
                <w:rFonts w:hint="eastAsia" w:ascii="宋体" w:hAnsi="宋体" w:cs="宋体"/>
                <w:kern w:val="0"/>
                <w:sz w:val="24"/>
                <w:szCs w:val="24"/>
              </w:rPr>
              <w:t>  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r>
              <w:rPr>
                <w:rFonts w:hint="eastAsia" w:ascii="宋体" w:hAnsi="宋体" w:cs="宋体"/>
                <w:kern w:val="0"/>
                <w:sz w:val="24"/>
                <w:szCs w:val="24"/>
              </w:rPr>
              <w:br w:type="textWrapping"/>
            </w:r>
            <w:r>
              <w:rPr>
                <w:rStyle w:val="29"/>
                <w:rFonts w:hint="eastAsia" w:ascii="宋体" w:hAnsi="宋体" w:cs="宋体"/>
                <w:kern w:val="0"/>
                <w:sz w:val="24"/>
                <w:szCs w:val="24"/>
              </w:rPr>
              <w:t>  基金托管人招商银行股份有限公司根据本基金合同规定，于2018年3月28日复核了本报告中的财务指标、净值表现、利润分配情况、财务会计报告、投资组合报告等内容，保证复核内容不存在虚假记载、误导性陈述或者重大遗漏。　　</w:t>
            </w:r>
            <w:r>
              <w:rPr>
                <w:rFonts w:hint="eastAsia" w:ascii="宋体" w:hAnsi="宋体" w:cs="宋体"/>
                <w:kern w:val="0"/>
                <w:sz w:val="24"/>
                <w:szCs w:val="24"/>
              </w:rPr>
              <w:br w:type="textWrapping"/>
            </w:r>
            <w:r>
              <w:rPr>
                <w:rStyle w:val="29"/>
                <w:rFonts w:hint="eastAsia" w:ascii="宋体" w:hAnsi="宋体" w:cs="宋体"/>
                <w:kern w:val="0"/>
                <w:sz w:val="24"/>
                <w:szCs w:val="24"/>
              </w:rPr>
              <w:t>  基金管理人承诺以诚实信用、勤勉尽责的原则管理和运用基金资产，但不保证基金一定盈利。</w:t>
            </w:r>
            <w:r>
              <w:rPr>
                <w:rFonts w:hint="eastAsia" w:ascii="宋体" w:hAnsi="宋体" w:cs="宋体"/>
                <w:kern w:val="0"/>
                <w:sz w:val="24"/>
                <w:szCs w:val="24"/>
              </w:rPr>
              <w:br w:type="textWrapping"/>
            </w:r>
            <w:r>
              <w:rPr>
                <w:rStyle w:val="29"/>
                <w:rFonts w:hint="eastAsia" w:ascii="宋体" w:hAnsi="宋体" w:cs="宋体"/>
                <w:kern w:val="0"/>
                <w:sz w:val="24"/>
                <w:szCs w:val="24"/>
              </w:rPr>
              <w:t>  基金的过往业绩并不代表其未来表现。投资有风险，投资者在作出投资决策前应仔细阅读本基金的招募说明书及其更新。</w:t>
            </w:r>
            <w:r>
              <w:rPr>
                <w:rFonts w:hint="eastAsia" w:ascii="宋体" w:hAnsi="宋体" w:cs="宋体"/>
                <w:kern w:val="0"/>
                <w:sz w:val="24"/>
                <w:szCs w:val="24"/>
              </w:rPr>
              <w:br w:type="textWrapping"/>
            </w:r>
            <w:r>
              <w:rPr>
                <w:rStyle w:val="29"/>
                <w:rFonts w:hint="eastAsia" w:ascii="宋体" w:hAnsi="宋体" w:cs="宋体"/>
                <w:kern w:val="0"/>
                <w:sz w:val="24"/>
                <w:szCs w:val="24"/>
              </w:rPr>
              <w:t>  本报告期自2017年01月01日起至2017年12月31日止。</w:t>
            </w:r>
            <w:r>
              <w:rPr>
                <w:rFonts w:hint="eastAsia" w:ascii="宋体" w:hAnsi="宋体" w:cs="宋体"/>
                <w:kern w:val="0"/>
                <w:sz w:val="24"/>
                <w:szCs w:val="24"/>
              </w:rPr>
              <w:t xml:space="preserve"> </w:t>
            </w:r>
          </w:p>
        </w:tc>
      </w:tr>
    </w:tbl>
    <w:p>
      <w:pPr>
        <w:pStyle w:val="14"/>
        <w:rPr>
          <w:rFonts w:hint="eastAsia"/>
        </w:rPr>
      </w:pPr>
      <w:r>
        <w:rPr>
          <w:rFonts w:ascii="Times New Roman" w:hAnsi="Times New Roman"/>
        </w:rPr>
        <w:br w:type="page"/>
      </w:r>
      <w:bookmarkStart w:id="2" w:name="_Toc510107537"/>
      <w:r>
        <w:rPr>
          <w:rFonts w:hint="eastAsia"/>
          <w:b/>
          <w:bCs/>
        </w:rPr>
        <w:t>1.2 目录</w:t>
      </w:r>
      <w:bookmarkEnd w:id="2"/>
    </w:p>
    <w:p>
      <w:pPr>
        <w:pStyle w:val="4"/>
        <w:tabs>
          <w:tab w:val="right" w:leader="dot" w:pos="9080"/>
        </w:tabs>
        <w:rPr>
          <w:lang/>
        </w:rPr>
      </w:pPr>
      <w:r>
        <w:rPr>
          <w:rFonts w:ascii="宋体" w:hAnsi="宋体" w:cs="宋体"/>
          <w:kern w:val="0"/>
          <w:sz w:val="24"/>
          <w:szCs w:val="24"/>
        </w:rPr>
        <w:fldChar w:fldCharType="begin"/>
      </w:r>
      <w:r>
        <w:rPr>
          <w:rFonts w:ascii="宋体" w:hAnsi="宋体" w:cs="宋体"/>
          <w:kern w:val="0"/>
          <w:sz w:val="24"/>
          <w:szCs w:val="24"/>
        </w:rPr>
        <w:instrText xml:space="preserve"> </w:instrText>
      </w:r>
      <w:r>
        <w:rPr>
          <w:rFonts w:hint="eastAsia" w:ascii="宋体" w:hAnsi="宋体" w:cs="宋体"/>
          <w:kern w:val="0"/>
          <w:sz w:val="24"/>
          <w:szCs w:val="24"/>
        </w:rPr>
        <w:instrText xml:space="preserve">TOC \o "1-4" \f 1 \h \z \t "-1"</w:instrText>
      </w:r>
      <w:r>
        <w:rPr>
          <w:rFonts w:ascii="宋体" w:hAnsi="宋体" w:cs="宋体"/>
          <w:kern w:val="0"/>
          <w:sz w:val="24"/>
          <w:szCs w:val="24"/>
        </w:rPr>
        <w:instrText xml:space="preserve"> </w:instrText>
      </w:r>
      <w:r>
        <w:rPr>
          <w:rFonts w:ascii="宋体" w:hAnsi="宋体" w:cs="宋体"/>
          <w:kern w:val="0"/>
          <w:sz w:val="24"/>
          <w:szCs w:val="24"/>
        </w:rPr>
        <w:fldChar w:fldCharType="separate"/>
      </w:r>
      <w:r>
        <w:rPr>
          <w:rStyle w:val="11"/>
          <w:lang/>
        </w:rPr>
        <w:fldChar w:fldCharType="begin"/>
      </w:r>
      <w:r>
        <w:rPr>
          <w:rStyle w:val="11"/>
          <w:lang/>
        </w:rPr>
        <w:instrText xml:space="preserve"> </w:instrText>
      </w:r>
      <w:r>
        <w:rPr>
          <w:lang/>
        </w:rPr>
        <w:instrText xml:space="preserve">HYPERLINK \l "_Toc510107535"</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_Toc510107535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"_Toc510107536"</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_Toc510107536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"_Toc510107537"</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_Toc510107537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"_Toc510107538"</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_Toc510107538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"_Toc510107539"</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_Toc510107539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"_Toc510107540"</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_Toc510107540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"_Toc510107541"</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_Toc510107541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"_Toc510107542"</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_Toc510107542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"_Toc510107543"</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_Toc510107543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"_Toc510107544"</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_Toc510107544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"_Toc510107545"</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_Toc510107545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"_Toc510107546"</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_Toc510107546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"_Toc510107547"</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_Toc510107547 \h </w:instrText>
      </w:r>
      <w:r>
        <w:rPr>
          <w:lang/>
        </w:rPr>
        <w:fldChar w:fldCharType="separate"/>
      </w:r>
      <w:r>
        <w:rPr>
          <w:lang/>
        </w:rPr>
        <w:t>10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"_Toc510107548"</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_Toc510107548 \h </w:instrText>
      </w:r>
      <w:r>
        <w:rPr>
          <w:lang/>
        </w:rPr>
        <w:fldChar w:fldCharType="separate"/>
      </w:r>
      <w:r>
        <w:rPr>
          <w:lang/>
        </w:rPr>
        <w:t>10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"_Toc510107549"</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_Toc510107549 \h </w:instrText>
      </w:r>
      <w:r>
        <w:rPr>
          <w:lang/>
        </w:rPr>
        <w:fldChar w:fldCharType="separate"/>
      </w:r>
      <w:r>
        <w:rPr>
          <w:lang/>
        </w:rPr>
        <w:t>10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"_Toc510107550"</w:instrText>
      </w:r>
      <w:r>
        <w:rPr>
          <w:rStyle w:val="11"/>
          <w:lang/>
        </w:rPr>
        <w:instrText xml:space="preserve"> </w:instrText>
      </w:r>
      <w:r>
        <w:rPr>
          <w:rStyle w:val="11"/>
          <w:lang/>
        </w:rPr>
        <w:fldChar w:fldCharType="separate"/>
      </w:r>
      <w:r>
        <w:rPr>
          <w:rStyle w:val="11"/>
          <w:b/>
          <w:bCs/>
          <w:lang/>
        </w:rPr>
        <w:t xml:space="preserve">4.2 </w:t>
      </w:r>
      <w:r>
        <w:rPr>
          <w:rStyle w:val="11"/>
          <w:rFonts w:hint="eastAsia"/>
          <w:b/>
          <w:bCs/>
          <w:lang/>
        </w:rPr>
        <w:t>管理人对报告期内本基金运作遵规守信情况的说明</w:t>
      </w:r>
      <w:r>
        <w:rPr>
          <w:lang/>
        </w:rPr>
        <w:tab/>
      </w:r>
      <w:r>
        <w:rPr>
          <w:lang/>
        </w:rPr>
        <w:fldChar w:fldCharType="begin"/>
      </w:r>
      <w:r>
        <w:rPr>
          <w:lang/>
        </w:rPr>
        <w:instrText xml:space="preserve"> PAGEREF _Toc510107550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"_Toc510107551"</w:instrText>
      </w:r>
      <w:r>
        <w:rPr>
          <w:rStyle w:val="11"/>
          <w:lang/>
        </w:rPr>
        <w:instrText xml:space="preserve"> </w:instrText>
      </w:r>
      <w:r>
        <w:rPr>
          <w:rStyle w:val="11"/>
          <w:lang/>
        </w:rPr>
        <w:fldChar w:fldCharType="separate"/>
      </w:r>
      <w:r>
        <w:rPr>
          <w:rStyle w:val="11"/>
          <w:b/>
          <w:bCs/>
          <w:lang/>
        </w:rPr>
        <w:t xml:space="preserve">4.3 </w:t>
      </w:r>
      <w:r>
        <w:rPr>
          <w:rStyle w:val="11"/>
          <w:rFonts w:hint="eastAsia"/>
          <w:b/>
          <w:bCs/>
          <w:lang/>
        </w:rPr>
        <w:t>管理人对报告期内公平交易情况的专项说明</w:t>
      </w:r>
      <w:r>
        <w:rPr>
          <w:lang/>
        </w:rPr>
        <w:tab/>
      </w:r>
      <w:r>
        <w:rPr>
          <w:lang/>
        </w:rPr>
        <w:fldChar w:fldCharType="begin"/>
      </w:r>
      <w:r>
        <w:rPr>
          <w:lang/>
        </w:rPr>
        <w:instrText xml:space="preserve"> PAGEREF _Toc510107551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"_Toc510107552"</w:instrText>
      </w:r>
      <w:r>
        <w:rPr>
          <w:rStyle w:val="11"/>
          <w:lang/>
        </w:rPr>
        <w:instrText xml:space="preserve"> </w:instrText>
      </w:r>
      <w:r>
        <w:rPr>
          <w:rStyle w:val="11"/>
          <w:lang/>
        </w:rPr>
        <w:fldChar w:fldCharType="separate"/>
      </w:r>
      <w:r>
        <w:rPr>
          <w:rStyle w:val="11"/>
          <w:b/>
          <w:bCs/>
          <w:lang/>
        </w:rPr>
        <w:t xml:space="preserve">4.4 </w:t>
      </w:r>
      <w:r>
        <w:rPr>
          <w:rStyle w:val="11"/>
          <w:rFonts w:hint="eastAsia"/>
          <w:b/>
          <w:bCs/>
          <w:lang/>
        </w:rPr>
        <w:t>管理人对报告期内基金的投资策略和业绩表现的说明</w:t>
      </w:r>
      <w:r>
        <w:rPr>
          <w:lang/>
        </w:rPr>
        <w:tab/>
      </w:r>
      <w:r>
        <w:rPr>
          <w:lang/>
        </w:rPr>
        <w:fldChar w:fldCharType="begin"/>
      </w:r>
      <w:r>
        <w:rPr>
          <w:lang/>
        </w:rPr>
        <w:instrText xml:space="preserve"> PAGEREF _Toc510107552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"_Toc510107553"</w:instrText>
      </w:r>
      <w:r>
        <w:rPr>
          <w:rStyle w:val="11"/>
          <w:lang/>
        </w:rPr>
        <w:instrText xml:space="preserve"> </w:instrText>
      </w:r>
      <w:r>
        <w:rPr>
          <w:rStyle w:val="11"/>
          <w:lang/>
        </w:rPr>
        <w:fldChar w:fldCharType="separate"/>
      </w:r>
      <w:r>
        <w:rPr>
          <w:rStyle w:val="11"/>
          <w:b/>
          <w:bCs/>
          <w:lang/>
        </w:rPr>
        <w:t xml:space="preserve">4.5 </w:t>
      </w:r>
      <w:r>
        <w:rPr>
          <w:rStyle w:val="11"/>
          <w:rFonts w:hint="eastAsia"/>
          <w:b/>
          <w:bCs/>
          <w:lang/>
        </w:rPr>
        <w:t>管理人对宏观经济、证券市场及行业走势的简要展望</w:t>
      </w:r>
      <w:r>
        <w:rPr>
          <w:lang/>
        </w:rPr>
        <w:tab/>
      </w:r>
      <w:r>
        <w:rPr>
          <w:lang/>
        </w:rPr>
        <w:fldChar w:fldCharType="begin"/>
      </w:r>
      <w:r>
        <w:rPr>
          <w:lang/>
        </w:rPr>
        <w:instrText xml:space="preserve"> PAGEREF _Toc510107553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"_Toc510107554"</w:instrText>
      </w:r>
      <w:r>
        <w:rPr>
          <w:rStyle w:val="11"/>
          <w:lang/>
        </w:rPr>
        <w:instrText xml:space="preserve"> </w:instrText>
      </w:r>
      <w:r>
        <w:rPr>
          <w:rStyle w:val="11"/>
          <w:lang/>
        </w:rPr>
        <w:fldChar w:fldCharType="separate"/>
      </w:r>
      <w:r>
        <w:rPr>
          <w:rStyle w:val="11"/>
          <w:b/>
          <w:bCs/>
          <w:lang/>
        </w:rPr>
        <w:t xml:space="preserve">4.6 </w:t>
      </w:r>
      <w:r>
        <w:rPr>
          <w:rStyle w:val="11"/>
          <w:rFonts w:hint="eastAsia"/>
          <w:b/>
          <w:bCs/>
          <w:lang/>
        </w:rPr>
        <w:t>管理人内部有关本基金的监察稽核工作情况</w:t>
      </w:r>
      <w:r>
        <w:rPr>
          <w:lang/>
        </w:rPr>
        <w:tab/>
      </w:r>
      <w:r>
        <w:rPr>
          <w:lang/>
        </w:rPr>
        <w:fldChar w:fldCharType="begin"/>
      </w:r>
      <w:r>
        <w:rPr>
          <w:lang/>
        </w:rPr>
        <w:instrText xml:space="preserve"> PAGEREF _Toc510107554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"_Toc510107555"</w:instrText>
      </w:r>
      <w:r>
        <w:rPr>
          <w:rStyle w:val="11"/>
          <w:lang/>
        </w:rPr>
        <w:instrText xml:space="preserve"> </w:instrText>
      </w:r>
      <w:r>
        <w:rPr>
          <w:rStyle w:val="11"/>
          <w:lang/>
        </w:rPr>
        <w:fldChar w:fldCharType="separate"/>
      </w:r>
      <w:r>
        <w:rPr>
          <w:rStyle w:val="11"/>
          <w:b/>
          <w:bCs/>
          <w:lang/>
        </w:rPr>
        <w:t xml:space="preserve">4.7 </w:t>
      </w:r>
      <w:r>
        <w:rPr>
          <w:rStyle w:val="11"/>
          <w:rFonts w:hint="eastAsia"/>
          <w:b/>
          <w:bCs/>
          <w:lang/>
        </w:rPr>
        <w:t>管理人对报告期内基金估值程序等事项的说明</w:t>
      </w:r>
      <w:r>
        <w:rPr>
          <w:lang/>
        </w:rPr>
        <w:tab/>
      </w:r>
      <w:r>
        <w:rPr>
          <w:lang/>
        </w:rPr>
        <w:fldChar w:fldCharType="begin"/>
      </w:r>
      <w:r>
        <w:rPr>
          <w:lang/>
        </w:rPr>
        <w:instrText xml:space="preserve"> PAGEREF _Toc510107555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"_Toc510107556"</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_Toc510107556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"_Toc510107557"</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_Toc510107557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"_Toc510107558"</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_Toc510107558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"_Toc510107559"</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_Toc510107559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"_Toc510107560"</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_Toc510107560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"_Toc510107561"</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_Toc510107561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"_Toc510107562"</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_Toc510107562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"_Toc510107563"</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_Toc510107563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"_Toc510107564"</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_Toc510107564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"_Toc510107565"</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_Toc510107565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"_Toc510107566"</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_Toc510107566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"_Toc510107567"</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_Toc510107567 \h </w:instrText>
      </w:r>
      <w:r>
        <w:rPr>
          <w:lang/>
        </w:rPr>
        <w:fldChar w:fldCharType="separate"/>
      </w:r>
      <w:r>
        <w:rPr>
          <w:lang/>
        </w:rPr>
        <w:t>21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"_Toc510107568"</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_Toc510107568 \h </w:instrText>
      </w:r>
      <w:r>
        <w:rPr>
          <w:lang/>
        </w:rPr>
        <w:fldChar w:fldCharType="separate"/>
      </w:r>
      <w:r>
        <w:rPr>
          <w:lang/>
        </w:rPr>
        <w:t>23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"_Toc510107569"</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_Toc510107569 \h </w:instrText>
      </w:r>
      <w:r>
        <w:rPr>
          <w:lang/>
        </w:rPr>
        <w:fldChar w:fldCharType="separate"/>
      </w:r>
      <w:r>
        <w:rPr>
          <w:lang/>
        </w:rPr>
        <w:t>25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"_Toc510107570"</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_Toc510107570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"_Toc510107571"</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_Toc510107571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"_Toc510107572"</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_Toc510107572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"_Toc510107573"</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_Toc510107573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"_Toc510107574"</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_Toc510107574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"_Toc510107575"</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_Toc510107575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"_Toc510107576"</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_Toc510107576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"_Toc510107577"</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_Toc510107577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"_Toc510107578"</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_Toc510107578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"_Toc510107579"</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_Toc510107579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"_Toc510107580"</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_Toc510107580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"_Toc510107581"</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_Toc510107581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"_Toc510107582"</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_Toc510107582 \h </w:instrText>
      </w:r>
      <w:r>
        <w:rPr>
          <w:lang/>
        </w:rPr>
        <w:fldChar w:fldCharType="separate"/>
      </w:r>
      <w:r>
        <w:rPr>
          <w:lang/>
        </w:rPr>
        <w:t>57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"_Toc510107583"</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_Toc510107583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"_Toc510107584"</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_Toc510107584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"_Toc510107585"</w:instrText>
      </w:r>
      <w:r>
        <w:rPr>
          <w:rStyle w:val="11"/>
          <w:lang/>
        </w:rPr>
        <w:instrText xml:space="preserve"> </w:instrText>
      </w:r>
      <w:r>
        <w:rPr>
          <w:rStyle w:val="11"/>
          <w:lang/>
        </w:rPr>
        <w:fldChar w:fldCharType="separate"/>
      </w:r>
      <w:r>
        <w:rPr>
          <w:rStyle w:val="11"/>
          <w:b/>
          <w:lang/>
        </w:rPr>
        <w:t>9.2</w:t>
      </w:r>
      <w:r>
        <w:rPr>
          <w:rStyle w:val="11"/>
          <w:rFonts w:hint="eastAsia"/>
          <w:b/>
          <w:lang/>
        </w:rPr>
        <w:t>期末基金管理人的从业人员持有本基金的情况</w:t>
      </w:r>
      <w:r>
        <w:rPr>
          <w:lang/>
        </w:rPr>
        <w:tab/>
      </w:r>
      <w:r>
        <w:rPr>
          <w:lang/>
        </w:rPr>
        <w:fldChar w:fldCharType="begin"/>
      </w:r>
      <w:r>
        <w:rPr>
          <w:lang/>
        </w:rPr>
        <w:instrText xml:space="preserve"> PAGEREF _Toc510107585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"_Toc510107586"</w:instrText>
      </w:r>
      <w:r>
        <w:rPr>
          <w:rStyle w:val="11"/>
          <w:lang/>
        </w:rPr>
        <w:instrText xml:space="preserve"> </w:instrText>
      </w:r>
      <w:r>
        <w:rPr>
          <w:rStyle w:val="11"/>
          <w:lang/>
        </w:rPr>
        <w:fldChar w:fldCharType="separate"/>
      </w:r>
      <w:r>
        <w:rPr>
          <w:rStyle w:val="11"/>
          <w:b/>
          <w:bCs/>
          <w:lang/>
        </w:rPr>
        <w:t>9.3</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_Toc510107586 \h </w:instrText>
      </w:r>
      <w:r>
        <w:rPr>
          <w:lang/>
        </w:rPr>
        <w:fldChar w:fldCharType="separate"/>
      </w:r>
      <w:r>
        <w:rPr>
          <w:lang/>
        </w:rPr>
        <w:t>59</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"_Toc510107587"</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_Toc510107587 \h </w:instrText>
      </w:r>
      <w:r>
        <w:rPr>
          <w:lang/>
        </w:rPr>
        <w:fldChar w:fldCharType="separate"/>
      </w:r>
      <w:r>
        <w:rPr>
          <w:lang/>
        </w:rPr>
        <w:t>59</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"_Toc510107588"</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_Toc510107588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"_Toc510107589"</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_Toc510107589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"_Toc510107590"</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_Toc510107590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"_Toc510107591"</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_Toc510107591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"_Toc510107592"</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_Toc510107592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"_Toc510107593"</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_Toc510107593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"_Toc510107594"</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_Toc510107594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"_Toc510107595"</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_Toc510107595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"_Toc510107596"</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_Toc510107596 \h </w:instrText>
      </w:r>
      <w:r>
        <w:rPr>
          <w:lang/>
        </w:rPr>
        <w:fldChar w:fldCharType="separate"/>
      </w:r>
      <w:r>
        <w:rPr>
          <w:lang/>
        </w:rPr>
        <w:t>61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"_Toc510107597"</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_Toc510107597 \h </w:instrText>
      </w:r>
      <w:r>
        <w:rPr>
          <w:lang/>
        </w:rPr>
        <w:fldChar w:fldCharType="separate"/>
      </w:r>
      <w:r>
        <w:rPr>
          <w:lang/>
        </w:rPr>
        <w:t>62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"_Toc510107598"</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_Toc510107598 \h </w:instrText>
      </w:r>
      <w:r>
        <w:rPr>
          <w:lang/>
        </w:rPr>
        <w:fldChar w:fldCharType="separate"/>
      </w:r>
      <w:r>
        <w:rPr>
          <w:lang/>
        </w:rPr>
        <w:t>62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"_Toc510107599"</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_Toc510107599 \h </w:instrText>
      </w:r>
      <w:r>
        <w:rPr>
          <w:lang/>
        </w:rPr>
        <w:fldChar w:fldCharType="separate"/>
      </w:r>
      <w:r>
        <w:rPr>
          <w:lang/>
        </w:rPr>
        <w:t>63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"_Toc510107600"</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_Toc510107600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"_Toc510107601"</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rStyle w:val="11"/>
          <w:lang/>
        </w:rPr>
        <w:t>.</w:t>
      </w:r>
      <w:r>
        <w:rPr>
          <w:lang/>
        </w:rPr>
        <w:tab/>
      </w:r>
      <w:r>
        <w:rPr>
          <w:lang/>
        </w:rPr>
        <w:fldChar w:fldCharType="begin"/>
      </w:r>
      <w:r>
        <w:rPr>
          <w:lang/>
        </w:rPr>
        <w:instrText xml:space="preserve"> PAGEREF _Toc510107601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"_Toc510107602"</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_Toc510107602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"_Toc510107603"</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_Toc510107603 \h </w:instrText>
      </w:r>
      <w:r>
        <w:rPr>
          <w:lang/>
        </w:rPr>
        <w:fldChar w:fldCharType="separate"/>
      </w:r>
      <w:r>
        <w:rPr>
          <w:lang/>
        </w:rPr>
        <w:t>63</w:t>
      </w:r>
      <w:r>
        <w:rPr>
          <w:lang/>
        </w:rPr>
        <w:fldChar w:fldCharType="end"/>
      </w:r>
      <w:r>
        <w:rPr>
          <w:rStyle w:val="11"/>
          <w:lang/>
        </w:rPr>
        <w:fldChar w:fldCharType="end"/>
      </w:r>
    </w:p>
    <w:p>
      <w:pPr>
        <w:widowControl/>
        <w:jc w:val="left"/>
        <w:rPr>
          <w:rFonts w:hint="eastAsia" w:ascii="宋体" w:hAnsi="宋体" w:cs="宋体"/>
          <w:kern w:val="0"/>
          <w:sz w:val="24"/>
          <w:szCs w:val="24"/>
        </w:rPr>
      </w:pPr>
      <w:r>
        <w:rPr>
          <w:rFonts w:ascii="宋体" w:hAnsi="宋体" w:cs="宋体"/>
          <w:kern w:val="0"/>
          <w:sz w:val="24"/>
          <w:szCs w:val="24"/>
        </w:rPr>
        <w:fldChar w:fldCharType="end"/>
      </w:r>
      <w:r>
        <w:rPr>
          <w:rFonts w:hint="eastAsia" w:ascii="宋体" w:hAnsi="宋体" w:cs="宋体"/>
          <w:kern w:val="0"/>
          <w:sz w:val="24"/>
          <w:szCs w:val="24"/>
        </w:rPr>
        <w:t xml:space="preserve"> </w:t>
      </w:r>
      <w:r>
        <w:rPr>
          <w:rFonts w:ascii="Times New Roman" w:hAnsi="Times New Roman"/>
          <w:sz w:val="24"/>
          <w:szCs w:val="24"/>
        </w:rPr>
        <w:br w:type="page"/>
      </w:r>
    </w:p>
    <w:p>
      <w:pPr>
        <w:pStyle w:val="13"/>
        <w:rPr>
          <w:rFonts w:hint="eastAsia"/>
        </w:rPr>
      </w:pPr>
      <w:bookmarkStart w:id="3" w:name="_Toc510107538"/>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510107539"/>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9"/>
        <w:gridCol w:w="2629"/>
        <w:gridCol w:w="2482"/>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创金合信鑫收益灵活配置混合型证券投资基金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创金合信鑫收益</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003749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2016年12月19日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284,993,010.38份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创金合信鑫收益A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创金合信鑫收益C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003749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003750</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283,125,412.74份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1,867,597.64份</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14"/>
      </w:pPr>
      <w:bookmarkStart w:id="5" w:name="_Toc510107540"/>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在严格控制风险的前提下，追求基金资产的稳健增值。</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在资产配置过程中采取“自上而下”的分析框架，基金管理人基于定量与定性相结合的分析方法，综合宏观数据、经济政策、货币政策、市场估值等因素，形成各资产类别预期收益与预期风险的判断，并进而确定股票、债券、货币市场工具等资产类别的配置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沪深300指数收益率×30%＋一年期人民币定期存款利率（税后）×70%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本基金为混合型基金，理论上其预期风险与预期收益水平低于股票型基金，高于债券型基金和货币市场基金。</w:t>
            </w:r>
          </w:p>
        </w:tc>
      </w:tr>
      <w:tr>
        <w:tblPrEx>
          <w:tblCellMar>
            <w:top w:w="0" w:type="dxa"/>
            <w:left w:w="108" w:type="dxa"/>
            <w:bottom w:w="0" w:type="dxa"/>
            <w:right w:w="108" w:type="dxa"/>
          </w:tblCellMar>
        </w:tblPrEx>
        <w:trPr>
          <w:wBefore w:w="0" w:type="auto"/>
        </w:trPr>
        <w:tc>
          <w:tcPr>
            <w:tcW w:w="0" w:type="auto"/>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c>
          <w:tcPr>
            <w:tcW w:w="0" w:type="auto"/>
            <w:tcBorders>
              <w:top w:val="single" w:color="000000" w:sz="2" w:space="0"/>
              <w:left w:val="single" w:color="000000" w:sz="2" w:space="0"/>
              <w:bottom w:val="single" w:color="000000" w:sz="2" w:space="0"/>
              <w:right w:val="single" w:color="000000" w:sz="2" w:space="0"/>
            </w:tcBorders>
            <w:noWrap w:val="0"/>
            <w:vAlign w:val="center"/>
          </w:tcPr>
          <w:p>
            <w:pPr>
              <w:widowControl/>
              <w:wordWrap w:val="0"/>
              <w:jc w:val="left"/>
              <w:rPr>
                <w:kern w:val="0"/>
                <w:sz w:val="20"/>
                <w:szCs w:val="20"/>
              </w:rPr>
            </w:pPr>
          </w:p>
        </w:tc>
      </w:tr>
    </w:tbl>
    <w:p>
      <w:pPr>
        <w:pStyle w:val="14"/>
      </w:pPr>
      <w:bookmarkStart w:id="6" w:name="_Toc510107541"/>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张燕</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0755-83199084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yan_zhang@cmbchina.com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95555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0755-83195201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 1号A栋201 室</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李建红</w:t>
            </w:r>
          </w:p>
        </w:tc>
      </w:tr>
    </w:tbl>
    <w:p>
      <w:pPr>
        <w:widowControl/>
        <w:jc w:val="left"/>
        <w:rPr>
          <w:rFonts w:hint="eastAsia" w:ascii="宋体" w:hAnsi="宋体" w:cs="宋体"/>
          <w:kern w:val="0"/>
          <w:sz w:val="24"/>
          <w:szCs w:val="24"/>
        </w:rPr>
      </w:pPr>
    </w:p>
    <w:p>
      <w:pPr>
        <w:pStyle w:val="14"/>
        <w:rPr>
          <w:rFonts w:hint="eastAsia"/>
        </w:rPr>
      </w:pPr>
      <w:bookmarkStart w:id="7" w:name="_Toc510107542"/>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14"/>
        <w:rPr>
          <w:rFonts w:hint="eastAsia"/>
        </w:rPr>
      </w:pPr>
      <w:bookmarkStart w:id="8" w:name="_Toc510107543"/>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13"/>
      </w:pPr>
      <w:bookmarkStart w:id="9" w:name="_Toc510107544"/>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510107545"/>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015"/>
        <w:gridCol w:w="1382"/>
        <w:gridCol w:w="1382"/>
        <w:gridCol w:w="1911"/>
        <w:gridCol w:w="1911"/>
        <w:gridCol w:w="222"/>
        <w:gridCol w:w="222"/>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 </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2016年12月19日（基金合同生效日）-2016年12月31日</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创金合信鑫收益A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创金合信鑫收益C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创金合信鑫收益A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创金合信鑫收益C</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23,078,280.71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483,734.56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212,120.73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24,215.74</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16,797,425.71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675,634.46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-11,954.15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-2,961.80</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-0.0001</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10,261,171.84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417,424.59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-11,954.15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-2,961.80</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-0.0001</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293,386,584.58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2,285,022.23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190,086,321.30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23,054,535.51</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4.本基金合同生效日为2016年12月19日，上年度可比期间的相关数据和指标按实际存续期计算。</w:t>
      </w:r>
    </w:p>
    <w:p>
      <w:pPr>
        <w:pStyle w:val="14"/>
        <w:rPr>
          <w:rFonts w:hint="eastAsia"/>
        </w:rPr>
      </w:pPr>
      <w:bookmarkStart w:id="11" w:name="_Toc510107546"/>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7"/>
      </w:pPr>
      <w:r>
        <w:rPr>
          <w:rFonts w:hint="eastAsia" w:hAnsi="Calibri"/>
          <w:color w:val="000000"/>
        </w:rPr>
        <w:t>创金合信鑫收益A</w:t>
      </w:r>
    </w:p>
    <w:tbl>
      <w:tblPr>
        <w:tblStyle w:val="7"/>
        <w:tblW w:w="0" w:type="auto"/>
        <w:jc w:val="center"/>
        <w:tblLayout w:type="autofit"/>
        <w:tblCellMar>
          <w:top w:w="0" w:type="dxa"/>
          <w:left w:w="108" w:type="dxa"/>
          <w:bottom w:w="0" w:type="dxa"/>
          <w:right w:w="108" w:type="dxa"/>
        </w:tblCellMar>
      </w:tblPr>
      <w:tblGrid>
        <w:gridCol w:w="1477"/>
        <w:gridCol w:w="951"/>
        <w:gridCol w:w="950"/>
        <w:gridCol w:w="1299"/>
        <w:gridCol w:w="1543"/>
        <w:gridCol w:w="1543"/>
        <w:gridCol w:w="1543"/>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-0.06%</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-0.04%</w:t>
            </w:r>
          </w:p>
        </w:tc>
      </w:tr>
    </w:tbl>
    <w:p>
      <w:pPr>
        <w:pStyle w:val="17"/>
        <w:rPr>
          <w:rFonts w:hint="eastAsia"/>
        </w:rPr>
      </w:pPr>
      <w:r>
        <w:rPr>
          <w:rFonts w:hint="eastAsia" w:hAnsi="Calibri"/>
          <w:color w:val="000000"/>
        </w:rPr>
        <w:t>创金合信鑫收益C</w:t>
      </w:r>
    </w:p>
    <w:tbl>
      <w:tblPr>
        <w:tblStyle w:val="7"/>
        <w:tblW w:w="0" w:type="auto"/>
        <w:jc w:val="center"/>
        <w:tblLayout w:type="autofit"/>
        <w:tblCellMar>
          <w:top w:w="0" w:type="dxa"/>
          <w:left w:w="108" w:type="dxa"/>
          <w:bottom w:w="0" w:type="dxa"/>
          <w:right w:w="108" w:type="dxa"/>
        </w:tblCellMar>
      </w:tblPr>
      <w:tblGrid>
        <w:gridCol w:w="1477"/>
        <w:gridCol w:w="951"/>
        <w:gridCol w:w="950"/>
        <w:gridCol w:w="1299"/>
        <w:gridCol w:w="1543"/>
        <w:gridCol w:w="1543"/>
        <w:gridCol w:w="1543"/>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0.91%</w:t>
            </w:r>
          </w:p>
        </w:tc>
      </w:tr>
    </w:tbl>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恒生系统安装\B13\Bin\MOD\TMP\CN_50990000_003749_FB010010_20180002_2.jpg" type="#_x0000_t75" style="height:286.2pt;width:441pt;" filled="f" stroked="f" coordsize="21600,21600">
            <v:path/>
            <v:fill on="f" focussize="0,0"/>
            <v:stroke on="f"/>
            <v:imagedata r:id="rId10" grayscale="f" bilevel="f" o:title="CN_50990000_003749_FB010010_20180002_2"/>
            <o:lock v:ext="edit" grouping="f" rotation="f" aspectratio="t"/>
            <w10:wrap type="none"/>
            <w10:anchorlock/>
          </v:shape>
        </w:pict>
      </w:r>
    </w:p>
    <w:p>
      <w:pPr>
        <w:pStyle w:val="17"/>
        <w:rPr>
          <w:rFonts w:hint="eastAsia"/>
        </w:rPr>
      </w:pPr>
      <w:r>
        <w:rPr>
          <w:rFonts w:hAnsi="Calibri"/>
          <w:color w:val="000000"/>
          <w:lang/>
        </w:rPr>
        <w:pict>
          <v:shape id="_x0000_i1026" o:spt="75" alt="D:\恒生系统安装\B13\Bin\MOD\TMP\CN_50990000_003749_FB010010_20180002_3.jpg" type="#_x0000_t75" style="height:286.2pt;width:441pt;" filled="f" stroked="f" coordsize="21600,21600">
            <v:path/>
            <v:fill on="f" focussize="0,0"/>
            <v:stroke on="f"/>
            <v:imagedata r:id="rId11" grayscale="f" bilevel="f" o:title="CN_50990000_003749_FB010010_20180002_3"/>
            <o:lock v:ext="edit" grouping="f" rotation="f" aspectratio="t"/>
            <w10:wrap type="none"/>
            <w10:anchorlock/>
          </v:shape>
        </w:pict>
      </w: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恒生系统安装\B13\Bin\MOD\TMP\CN_50990000_003749_FB010010_20180002_4.jpg" type="#_x0000_t75" style="height:285.95pt;width:440.6pt;" filled="f" stroked="f" coordsize="21600,21600">
            <v:path/>
            <v:fill on="f" focussize="0,0"/>
            <v:stroke on="f"/>
            <v:imagedata r:id="rId12" grayscale="f" bilevel="f" o:title="CN_50990000_003749_FB010010_20180002_4"/>
            <o:lock v:ext="edit" grouping="f" rotation="f" aspectratio="t"/>
            <w10:wrap type="none"/>
            <w10:anchorlock/>
          </v:shape>
        </w:pict>
      </w:r>
    </w:p>
    <w:p>
      <w:pPr>
        <w:pStyle w:val="17"/>
        <w:rPr>
          <w:rFonts w:hint="eastAsia"/>
        </w:rPr>
      </w:pPr>
      <w:r>
        <w:rPr>
          <w:rFonts w:hAnsi="Calibri"/>
          <w:color w:val="000000"/>
          <w:lang/>
        </w:rPr>
        <w:pict>
          <v:shape id="_x0000_i1028" o:spt="75" alt="D:\恒生系统安装\B13\Bin\MOD\TMP\CN_50990000_003749_FB010010_20180002_5.jpg" type="#_x0000_t75" style="height:285.95pt;width:440.6pt;" filled="f" stroked="f" coordsize="21600,21600">
            <v:path/>
            <v:fill on="f" focussize="0,0"/>
            <v:stroke on="f"/>
            <v:imagedata r:id="rId13" grayscale="f" bilevel="f" o:title="CN_50990000_003749_FB010010_20180002_5"/>
            <o:lock v:ext="edit" grouping="f" rotation="f" aspectratio="t"/>
            <w10:wrap type="none"/>
            <w10:anchorlock/>
          </v:shape>
        </w:pict>
      </w:r>
    </w:p>
    <w:p>
      <w:pPr>
        <w:pStyle w:val="14"/>
        <w:rPr>
          <w:rFonts w:hint="eastAsia"/>
        </w:rPr>
      </w:pPr>
      <w:bookmarkStart w:id="12" w:name="_Toc510107547"/>
      <w:r>
        <w:rPr>
          <w:rFonts w:hint="eastAsia" w:hAnsi="Calibri"/>
          <w:b/>
          <w:color w:val="000000"/>
        </w:rPr>
        <w:t>3.3 过去三年基金的利润分配情况</w:t>
      </w:r>
      <w:bookmarkEnd w:id="12"/>
    </w:p>
    <w:p>
      <w:pPr>
        <w:pStyle w:val="20"/>
        <w:rPr>
          <w:rFonts w:hint="eastAsia"/>
        </w:rPr>
      </w:pPr>
      <w:r>
        <w:rPr>
          <w:rFonts w:hint="eastAsia"/>
        </w:rPr>
        <w:t>本基金自基金合同生效日(2016年12月19日)至本报告期末未发生利润分配。</w:t>
      </w:r>
    </w:p>
    <w:p>
      <w:pPr>
        <w:pStyle w:val="13"/>
        <w:rPr>
          <w:rFonts w:hint="eastAsia"/>
        </w:rPr>
      </w:pPr>
      <w:bookmarkStart w:id="13" w:name="_Toc510107548"/>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510107549"/>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rPr>
          <w:rFonts w:hint="eastAsia"/>
        </w:rPr>
      </w:pPr>
      <w:r>
        <w:rPr>
          <w:rFonts w:hint="eastAsia"/>
        </w:rPr>
        <w:t>  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r>
        <w:rPr>
          <w:rFonts w:hint="eastAsia"/>
        </w:rPr>
        <w:br w:type="textWrapping"/>
      </w:r>
      <w:r>
        <w:rPr>
          <w:rFonts w:hint="eastAsia"/>
        </w:rPr>
        <w:t>  公司始终坚持"客户利益至上"，致力于为客户实现长期稳定的投资回报，做客户投资理财的亲密伙伴。</w:t>
      </w:r>
      <w:r>
        <w:rPr>
          <w:rFonts w:hint="eastAsia"/>
        </w:rPr>
        <w:br w:type="textWrapping"/>
      </w:r>
      <w:r>
        <w:rPr>
          <w:rFonts w:hint="eastAsia"/>
        </w:rPr>
        <w:t>  报告期内，本公司共发行8只公募基金。截至2017年12月31日，本公司共管理29只公募基金，其中混合型产品11只、指数型产品4只、债券型产品8只、股票型产品4只、货币型产品1只、保本型产品1只；管理的公募基金规模约149.41亿元。</w:t>
      </w: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1103"/>
        <w:gridCol w:w="1196"/>
        <w:gridCol w:w="1196"/>
        <w:gridCol w:w="1196"/>
        <w:gridCol w:w="1104"/>
        <w:gridCol w:w="3403"/>
      </w:tblGrid>
      <w:tr>
        <w:tblPrEx>
          <w:tblCellMar>
            <w:top w:w="0" w:type="dxa"/>
            <w:left w:w="108" w:type="dxa"/>
            <w:bottom w:w="0" w:type="dxa"/>
            <w:right w:w="108" w:type="dxa"/>
          </w:tblCellMar>
        </w:tblPrEx>
        <w:trPr>
          <w:wBefore w:w="0" w:type="auto"/>
        </w:trPr>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6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241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李晗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2016-12-19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李晗先生，中国国籍，中南财经政法大学硕士，金融风险管理师（FRM），权益投资基金经理。 投资中注重基本面研究，寻找行业和企业发展的拐点，擅长挖掘估值合理的持续成长股，与优质企业共同成长中获取丰厚回报。 曾任职于海航集团从事并购整合业务。此后任职于鹏华基金，从事专户业务、企业年金业务的研究工作。 2009年11月加盟第一创业证券资产管理部，曾担任多个集合理财产品投资主办，投资经验丰富。2014年8月加入创金合信基金管理有限公司，现任基金经理。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2016-12-20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荣先生，中国国籍，北京大学金融学硕士，权益投资基金经理。投资中注重宏观研究，自上而下，把握行业趋势；2004年就职于深圳银监局从事银行监管工作，历任多家银行监管员。2010年加入第一创业证券资产管理部，历任金融行业研究主管、投资主办等职务。2014年8月加入创金合信基金管理有限公司担任高级研究员,现任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闫一帆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2016-12-20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闫一帆先生，中国国籍，新加坡南洋理工大学金融学硕士。2008年7月就职于国泰君安证券股份有限公司。2011年5月加入永安财产保险股份有限公司投资管理中心任固定收益研究员，2012年10月加入第一创业证券股份有限公司资产管理部任固定收益研究员，负责债券类组合的债券信用研究、组合投资管理等工作。2014年8月加入创金合信基金管理有限公司，历任信用研究主管、投资经理，负责固定收益研究、债券组合管理等工作，现任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pStyle w:val="14"/>
        <w:rPr>
          <w:rFonts w:hint="eastAsia"/>
        </w:rPr>
      </w:pPr>
      <w:bookmarkStart w:id="15" w:name="_Toc510107550"/>
      <w:r>
        <w:rPr>
          <w:rFonts w:hint="eastAsia"/>
          <w:b/>
          <w:bCs/>
        </w:rPr>
        <w:t>4.2 管理人对报告期内本基金运作遵规守信情况的说明</w:t>
      </w:r>
      <w:bookmarkEnd w:id="15"/>
    </w:p>
    <w:p>
      <w:pPr>
        <w:pStyle w:val="20"/>
        <w:rPr>
          <w:rFonts w:hint="eastAsia"/>
        </w:rPr>
      </w:pPr>
      <w:r>
        <w:rPr>
          <w:rFonts w:hint="eastAsia"/>
        </w:rPr>
        <w:t>  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4"/>
        <w:rPr>
          <w:rFonts w:hint="eastAsia"/>
        </w:rPr>
      </w:pPr>
      <w:bookmarkStart w:id="16" w:name="_Toc510107551"/>
      <w:r>
        <w:rPr>
          <w:rFonts w:hint="eastAsia"/>
          <w:b/>
          <w:bCs/>
        </w:rPr>
        <w:t>4.3 管理人对报告期内公平交易情况的专项说明</w:t>
      </w:r>
      <w:bookmarkEnd w:id="16"/>
    </w:p>
    <w:p>
      <w:pPr>
        <w:pStyle w:val="15"/>
        <w:rPr>
          <w:rFonts w:hint="eastAsia"/>
        </w:rPr>
      </w:pPr>
      <w:r>
        <w:rPr>
          <w:rFonts w:hint="eastAsia"/>
          <w:b/>
          <w:bCs/>
        </w:rPr>
        <w:t>4.3.1 公平交易制度和控制方法</w:t>
      </w:r>
    </w:p>
    <w:p>
      <w:pPr>
        <w:pStyle w:val="20"/>
        <w:rPr>
          <w:rFonts w:hint="eastAsia"/>
        </w:rPr>
      </w:pPr>
      <w:r>
        <w:rPr>
          <w:rFonts w:hint="eastAsia"/>
        </w:rPr>
        <w:t>  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r>
        <w:rPr>
          <w:rFonts w:hint="eastAsia"/>
        </w:rPr>
        <w:br w:type="textWrapping"/>
      </w:r>
      <w:r>
        <w:rPr>
          <w:rFonts w:hint="eastAsia"/>
        </w:rPr>
        <w:t>  1、授权、研究分析与投资决策的内部控制</w:t>
      </w:r>
      <w:r>
        <w:rPr>
          <w:rFonts w:hint="eastAsia"/>
        </w:rPr>
        <w:br w:type="textWrapping"/>
      </w:r>
      <w:r>
        <w:rPr>
          <w:rFonts w:hint="eastAsia"/>
        </w:rPr>
        <w:t>  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r>
        <w:rPr>
          <w:rFonts w:hint="eastAsia"/>
        </w:rPr>
        <w:br w:type="textWrapping"/>
      </w:r>
      <w:r>
        <w:rPr>
          <w:rFonts w:hint="eastAsia"/>
        </w:rPr>
        <w:t>  2、交易执行的内部控制</w:t>
      </w:r>
      <w:r>
        <w:rPr>
          <w:rFonts w:hint="eastAsia"/>
        </w:rPr>
        <w:br w:type="textWrapping"/>
      </w:r>
      <w:r>
        <w:rPr>
          <w:rFonts w:hint="eastAsia"/>
        </w:rPr>
        <w:t>  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r>
        <w:rPr>
          <w:rFonts w:hint="eastAsia"/>
        </w:rPr>
        <w:br w:type="textWrapping"/>
      </w:r>
      <w:r>
        <w:rPr>
          <w:rFonts w:hint="eastAsia"/>
        </w:rPr>
        <w:t>  3、交易指令分配的控制</w:t>
      </w:r>
      <w:r>
        <w:rPr>
          <w:rFonts w:hint="eastAsia"/>
        </w:rPr>
        <w:br w:type="textWrapping"/>
      </w:r>
      <w:r>
        <w:rPr>
          <w:rFonts w:hint="eastAsia"/>
        </w:rPr>
        <w:t>  所有投资对象的投资指令必须经由交易室总监或其授权人审核后分配至交易员执行。</w:t>
      </w:r>
      <w:r>
        <w:rPr>
          <w:rFonts w:hint="eastAsia"/>
        </w:rPr>
        <w:br w:type="textWrapping"/>
      </w:r>
      <w:r>
        <w:rPr>
          <w:rFonts w:hint="eastAsia"/>
        </w:rPr>
        <w:t>  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r>
        <w:rPr>
          <w:rFonts w:hint="eastAsia"/>
        </w:rPr>
        <w:br w:type="textWrapping"/>
      </w:r>
      <w:r>
        <w:rPr>
          <w:rFonts w:hint="eastAsia"/>
        </w:rPr>
        <w:t>  4、公平交易监控</w:t>
      </w:r>
      <w:r>
        <w:rPr>
          <w:rFonts w:hint="eastAsia"/>
        </w:rPr>
        <w:br w:type="textWrapping"/>
      </w:r>
      <w:r>
        <w:rPr>
          <w:rFonts w:hint="eastAsia"/>
        </w:rPr>
        <w:t>  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b/>
          <w:bCs/>
        </w:rPr>
        <w:t>4.3.2 公平交易制度的执行情况</w:t>
      </w:r>
    </w:p>
    <w:p>
      <w:pPr>
        <w:pStyle w:val="20"/>
        <w:rPr>
          <w:rFonts w:hint="eastAsia"/>
        </w:rPr>
      </w:pPr>
      <w:r>
        <w:rPr>
          <w:rFonts w:hint="eastAsia"/>
        </w:rPr>
        <w:t>  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b/>
          <w:bCs/>
        </w:rPr>
        <w:t>4.3.3 异常交易行为的专项说明</w:t>
      </w:r>
    </w:p>
    <w:p>
      <w:pPr>
        <w:pStyle w:val="20"/>
        <w:rPr>
          <w:rFonts w:hint="eastAsia"/>
        </w:rPr>
      </w:pPr>
      <w:r>
        <w:rPr>
          <w:rFonts w:hint="eastAsia"/>
        </w:rPr>
        <w:t>  本报告期内，公司旗下所有投资组合参与的交易所公开竞价交易中，同日反向交易成交较少的单边交易量超过该证券当日成交量的5%的交易共1次，与该基金发生反向交易的基金为公司量化选股策略的基金，该基金经理基于对市场和个股的判断，同时出于组合调仓的需要，做出该投资行为，该交易未对当天的股票价格产生冲击。</w:t>
      </w:r>
      <w:r>
        <w:rPr>
          <w:rFonts w:hint="eastAsia"/>
        </w:rPr>
        <w:br w:type="textWrapping"/>
      </w:r>
      <w:r>
        <w:rPr>
          <w:rFonts w:hint="eastAsia"/>
        </w:rPr>
        <w:t>  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510107552"/>
      <w:r>
        <w:rPr>
          <w:rFonts w:hint="eastAsia"/>
          <w:b/>
          <w:bCs/>
        </w:rPr>
        <w:t>4.4 管理人对报告期内基金的投资策略和业绩表现的说明</w:t>
      </w:r>
      <w:bookmarkEnd w:id="17"/>
    </w:p>
    <w:p>
      <w:pPr>
        <w:widowControl/>
        <w:jc w:val="left"/>
        <w:rPr>
          <w:rFonts w:hint="eastAsia" w:ascii="宋体" w:hAnsi="宋体" w:cs="宋体"/>
          <w:kern w:val="0"/>
          <w:sz w:val="24"/>
          <w:szCs w:val="24"/>
        </w:rPr>
      </w:pPr>
    </w:p>
    <w:p>
      <w:pPr>
        <w:pStyle w:val="15"/>
        <w:rPr>
          <w:rFonts w:hint="eastAsia"/>
        </w:rPr>
      </w:pPr>
      <w:r>
        <w:rPr>
          <w:rFonts w:hint="eastAsia"/>
          <w:b/>
          <w:bCs/>
        </w:rPr>
        <w:t>4.4.1 报告期内基金投资策略和运作分析</w:t>
      </w:r>
    </w:p>
    <w:p>
      <w:pPr>
        <w:pStyle w:val="20"/>
        <w:rPr>
          <w:rFonts w:hint="eastAsia"/>
        </w:rPr>
      </w:pPr>
      <w:r>
        <w:rPr>
          <w:rFonts w:hint="eastAsia"/>
        </w:rPr>
        <w:t>  回顾2017年全年，经济整体运行稳中向好，顺利实现全年GDP增速6.9%的增长目标。全年来看，基建投资和房地产投资保持平稳，民间投资和制造业投资经过前期连续下滑开始企稳；工业生产量稳价升带动企业盈利改善明显；消费总体保持稳定较快的增长，已成为经济增长的主要驱动力。伴随着经济的企稳向好，金融去杠杆仍在进行时。为了配合金融去杠杆的金融环境，2017年央行通过加大MLF操作力度、拉长期限、缩短放长的形式提高资金成本，货币政策全年保持稳健中性的基调，对于央行去杠杆和防范金融资产价格泡沫的决心，市场已形成了较为一致的预期。债券市场方面，在去杠杆的大背景下，债券全年继续震荡上行，十年国债收益债从年初的3.10%上行至年末的3.95%左右。去年市场有两次快速的调整，一次是3月底由于委外监管政策出台，引发机构赎回，触发了市场抛压；另一次是10月份开始机构对于四季度经济向下悲观预期的修正，引发市场收益剧烈的调整；叠加美国税改和加息周期，债券收益率快速上行。在操作方面，组合采用较为稳健的操作策略，以中高等级信用债作为主要配置标的并严格控制组合久期。四季度面临市场剧烈调整的压力，采取了稳健偏防守的策略，一定程度上控制了组合的回撤。</w:t>
      </w:r>
    </w:p>
    <w:p>
      <w:pPr>
        <w:widowControl/>
        <w:jc w:val="left"/>
        <w:rPr>
          <w:rFonts w:hint="eastAsia" w:ascii="宋体" w:hAnsi="宋体" w:cs="宋体"/>
          <w:kern w:val="0"/>
          <w:sz w:val="24"/>
          <w:szCs w:val="24"/>
        </w:rPr>
      </w:pPr>
    </w:p>
    <w:p>
      <w:pPr>
        <w:pStyle w:val="15"/>
        <w:rPr>
          <w:rFonts w:hint="eastAsia"/>
        </w:rPr>
      </w:pPr>
      <w:r>
        <w:rPr>
          <w:rFonts w:hint="eastAsia"/>
          <w:b/>
          <w:bCs/>
        </w:rPr>
        <w:t>4.4.2 报告期内基金的业绩表现</w:t>
      </w:r>
    </w:p>
    <w:p>
      <w:pPr>
        <w:pStyle w:val="20"/>
        <w:rPr>
          <w:rFonts w:hint="eastAsia"/>
        </w:rPr>
      </w:pPr>
      <w:r>
        <w:rPr>
          <w:rFonts w:hint="eastAsia"/>
        </w:rPr>
        <w:t>  截至报告期末创金合信鑫收益A基金份额净值为1.036元;本报告期内，基金份额净值增长率为3.60%，同期业绩比较基准收益率为7.32%;截至报告期末创金合信鑫收益C基金份额净值为1.224元;本报告期内，基金份额净值增长率为22.40%，同期业绩比较基准收益率为7.32%。</w:t>
      </w:r>
    </w:p>
    <w:p>
      <w:pPr>
        <w:widowControl/>
        <w:jc w:val="left"/>
        <w:rPr>
          <w:rFonts w:hint="eastAsia" w:ascii="宋体" w:hAnsi="宋体" w:cs="宋体"/>
          <w:kern w:val="0"/>
          <w:sz w:val="24"/>
          <w:szCs w:val="24"/>
        </w:rPr>
      </w:pPr>
    </w:p>
    <w:p>
      <w:pPr>
        <w:pStyle w:val="14"/>
        <w:rPr>
          <w:rFonts w:hint="eastAsia"/>
        </w:rPr>
      </w:pPr>
      <w:bookmarkStart w:id="18" w:name="_Toc510107553"/>
      <w:r>
        <w:rPr>
          <w:rFonts w:hint="eastAsia"/>
          <w:b/>
          <w:bCs/>
        </w:rPr>
        <w:t>4.5 管理人对宏观经济、证券市场及行业走势的简要展望</w:t>
      </w:r>
      <w:bookmarkEnd w:id="18"/>
    </w:p>
    <w:p>
      <w:pPr>
        <w:pStyle w:val="20"/>
        <w:rPr>
          <w:rFonts w:hint="eastAsia"/>
        </w:rPr>
      </w:pPr>
      <w:r>
        <w:rPr>
          <w:rFonts w:hint="eastAsia"/>
        </w:rPr>
        <w:t>  展望未来，供给侧改革仍为主线，2018年要打好防范化解重大风险、精准脱贫、污染防治三大攻坚战。当前经济有韧性，从高速转向高质，未来一段时间内经济向上动能仍然存在；政策基调近期仍以去杠杆、防风险为主，货币政策预计仍将维持中性偏紧状态。在上述基本面和政策面组合下，我们认为周期性行业龙头获利明显，权益市场机会大于债券市场，债券市场难有确定性的反转机会，应当以防御为主。我们会采取相对谨慎的操作策略，严格控制组合杠杆和久期，积极挖掘短久期、高票息的债券，在久期风险可控的情况下力求提高组合静态收益。除此之外，我们还会密切跟踪市场，关注行业安全边际较高的偏股型转债，择机参与波段交易以增厚组合收益。</w:t>
      </w:r>
    </w:p>
    <w:p>
      <w:pPr>
        <w:widowControl/>
        <w:jc w:val="left"/>
        <w:rPr>
          <w:rFonts w:hint="eastAsia" w:ascii="宋体" w:hAnsi="宋体" w:cs="宋体"/>
          <w:kern w:val="0"/>
          <w:sz w:val="24"/>
          <w:szCs w:val="24"/>
        </w:rPr>
      </w:pPr>
    </w:p>
    <w:p>
      <w:pPr>
        <w:pStyle w:val="14"/>
        <w:rPr>
          <w:rFonts w:hint="eastAsia"/>
        </w:rPr>
      </w:pPr>
      <w:bookmarkStart w:id="19" w:name="_Toc510107554"/>
      <w:r>
        <w:rPr>
          <w:rFonts w:hint="eastAsia"/>
          <w:b/>
          <w:bCs/>
        </w:rPr>
        <w:t>4.6 管理人内部有关本基金的监察稽核工作情况</w:t>
      </w:r>
      <w:bookmarkEnd w:id="19"/>
    </w:p>
    <w:p>
      <w:pPr>
        <w:pStyle w:val="20"/>
        <w:rPr>
          <w:rFonts w:hint="eastAsia"/>
        </w:rPr>
      </w:pPr>
      <w:r>
        <w:rPr>
          <w:rFonts w:hint="eastAsia"/>
        </w:rPr>
        <w:t>  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r>
        <w:rPr>
          <w:rFonts w:hint="eastAsia"/>
        </w:rPr>
        <w:br w:type="textWrapping"/>
      </w:r>
      <w:r>
        <w:rPr>
          <w:rFonts w:hint="eastAsia"/>
        </w:rPr>
        <w:t>  本报告期内，本基金管理人的主要内部监察稽核工作如下：</w:t>
      </w:r>
      <w:r>
        <w:rPr>
          <w:rFonts w:hint="eastAsia"/>
        </w:rPr>
        <w:br w:type="textWrapping"/>
      </w:r>
      <w:r>
        <w:rPr>
          <w:rFonts w:hint="eastAsia"/>
        </w:rPr>
        <w:t>  （1）开展全面自查工作，排查各项业务活动中存在的问题或潜在的风险隐患，制定整改计划，并督促按计划完成整改；</w:t>
      </w:r>
      <w:r>
        <w:rPr>
          <w:rFonts w:hint="eastAsia"/>
        </w:rPr>
        <w:br w:type="textWrapping"/>
      </w:r>
      <w:r>
        <w:rPr>
          <w:rFonts w:hint="eastAsia"/>
        </w:rPr>
        <w:t>  （2）开展公司专项稽核工作，了解合规风险现状、发现薄弱环节，并持续督导改进；</w:t>
      </w:r>
      <w:r>
        <w:rPr>
          <w:rFonts w:hint="eastAsia"/>
        </w:rPr>
        <w:br w:type="textWrapping"/>
      </w:r>
      <w:r>
        <w:rPr>
          <w:rFonts w:hint="eastAsia"/>
        </w:rPr>
        <w:t>  （3）强化合规法务工作。严格审核公司业务、产品及其合同等法律文件，解读最新的法律法规，发布合规提示或警示，举办合规培训；</w:t>
      </w:r>
      <w:r>
        <w:rPr>
          <w:rFonts w:hint="eastAsia"/>
        </w:rPr>
        <w:br w:type="textWrapping"/>
      </w:r>
      <w:r>
        <w:rPr>
          <w:rFonts w:hint="eastAsia"/>
        </w:rPr>
        <w:t>  （4）建立健全全面风险管理体系。全面梳理各业务部门的职责与权限，理顺工作流程；同时加强权限管理，健全事前、事中和事后的风险管理体系；</w:t>
      </w:r>
      <w:r>
        <w:rPr>
          <w:rFonts w:hint="eastAsia"/>
        </w:rPr>
        <w:br w:type="textWrapping"/>
      </w:r>
      <w:r>
        <w:rPr>
          <w:rFonts w:hint="eastAsia"/>
        </w:rPr>
        <w:t>  （5）完善信息披露工作。修订完善《信息披露制度》等制度，建立统一规范信息披露流程，明确各部门信息披露的职责分工，及时履行信息披露工作；</w:t>
      </w:r>
      <w:r>
        <w:rPr>
          <w:rFonts w:hint="eastAsia"/>
        </w:rPr>
        <w:br w:type="textWrapping"/>
      </w:r>
      <w:r>
        <w:rPr>
          <w:rFonts w:hint="eastAsia"/>
        </w:rPr>
        <w:t>  （6）加强关联交易管理。修订《关联交易管理制度》，履行关联交易决策审批程序；</w:t>
      </w:r>
      <w:r>
        <w:rPr>
          <w:rFonts w:hint="eastAsia"/>
        </w:rPr>
        <w:br w:type="textWrapping"/>
      </w:r>
      <w:r>
        <w:rPr>
          <w:rFonts w:hint="eastAsia"/>
        </w:rPr>
        <w:t>  （7）建立内幕交易防控机制。公司建立了《内幕交易防控管理办法》，定期开展关于防止内幕交易的合规培训，严防内幕信息传递和内幕交易发生；</w:t>
      </w:r>
      <w:r>
        <w:rPr>
          <w:rFonts w:hint="eastAsia"/>
        </w:rPr>
        <w:br w:type="textWrapping"/>
      </w:r>
      <w:r>
        <w:rPr>
          <w:rFonts w:hint="eastAsia"/>
        </w:rPr>
        <w:t>  （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r>
        <w:rPr>
          <w:rFonts w:hint="eastAsia"/>
        </w:rPr>
        <w:br w:type="textWrapping"/>
      </w:r>
      <w:r>
        <w:rPr>
          <w:rFonts w:hint="eastAsia"/>
        </w:rPr>
        <w:t>  （9）建立员工投资行为管理机制，规范员工的证券投资行为。</w:t>
      </w:r>
      <w:r>
        <w:rPr>
          <w:rFonts w:hint="eastAsia"/>
        </w:rPr>
        <w:br w:type="textWrapping"/>
      </w:r>
      <w:r>
        <w:rPr>
          <w:rFonts w:hint="eastAsia"/>
        </w:rPr>
        <w:t>  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510107555"/>
      <w:r>
        <w:rPr>
          <w:rFonts w:hint="eastAsia"/>
          <w:b/>
          <w:bCs/>
        </w:rPr>
        <w:t>4.7 管理人对报告期内基金估值程序等事项的说明</w:t>
      </w:r>
      <w:bookmarkEnd w:id="20"/>
    </w:p>
    <w:p>
      <w:pPr>
        <w:pStyle w:val="20"/>
        <w:rPr>
          <w:rFonts w:hint="eastAsia"/>
        </w:rPr>
      </w:pPr>
      <w:r>
        <w:rPr>
          <w:rFonts w:hint="eastAsia"/>
        </w:rPr>
        <w:t>  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r>
        <w:rPr>
          <w:rFonts w:hint="eastAsia"/>
        </w:rPr>
        <w:br w:type="textWrapping"/>
      </w:r>
      <w:r>
        <w:rPr>
          <w:rFonts w:hint="eastAsia"/>
        </w:rPr>
        <w:t>  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510107556"/>
      <w:r>
        <w:rPr>
          <w:rFonts w:hint="eastAsia"/>
          <w:b/>
          <w:bCs/>
        </w:rPr>
        <w:t>4.8 管理人对报告期内基金利润分配情况的说明</w:t>
      </w:r>
      <w:bookmarkEnd w:id="21"/>
    </w:p>
    <w:p>
      <w:pPr>
        <w:pStyle w:val="20"/>
        <w:rPr>
          <w:rFonts w:hint="eastAsia"/>
        </w:rPr>
      </w:pPr>
      <w:r>
        <w:rPr>
          <w:rFonts w:hint="eastAsia"/>
        </w:rPr>
        <w:t>  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510107557"/>
      <w:r>
        <w:rPr>
          <w:rFonts w:hint="eastAsia"/>
          <w:b/>
          <w:bCs/>
        </w:rPr>
        <w:t>4.9 报告期内管理人对本基金持有人数或基金资产净值预警情形的说明</w:t>
      </w:r>
      <w:bookmarkEnd w:id="22"/>
    </w:p>
    <w:p>
      <w:pPr>
        <w:pStyle w:val="20"/>
        <w:rPr>
          <w:rFonts w:hint="eastAsia"/>
        </w:rPr>
      </w:pPr>
      <w:r>
        <w:rPr>
          <w:rFonts w:hint="eastAsia"/>
        </w:rPr>
        <w:t>  本基金本报告期未出现连续二十个工作日基金份额持有人数量不满二百人或者基金资产净值低于五千万元的情形。</w:t>
      </w:r>
    </w:p>
    <w:p>
      <w:pPr>
        <w:widowControl/>
        <w:jc w:val="left"/>
        <w:rPr>
          <w:rFonts w:hint="eastAsia" w:ascii="宋体" w:hAnsi="宋体" w:cs="宋体"/>
          <w:kern w:val="0"/>
          <w:sz w:val="24"/>
          <w:szCs w:val="24"/>
        </w:rPr>
      </w:pPr>
    </w:p>
    <w:p>
      <w:pPr>
        <w:pStyle w:val="13"/>
        <w:rPr>
          <w:rFonts w:hint="eastAsia"/>
        </w:rPr>
      </w:pPr>
      <w:bookmarkStart w:id="23" w:name="_Toc510107558"/>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510107559"/>
      <w:r>
        <w:rPr>
          <w:rFonts w:hint="eastAsia"/>
          <w:b/>
          <w:bCs/>
        </w:rPr>
        <w:t>5.1 报告期内本基金托管人遵规守信情况声明</w:t>
      </w:r>
      <w:bookmarkEnd w:id="24"/>
    </w:p>
    <w:p>
      <w:pPr>
        <w:pStyle w:val="20"/>
        <w:rPr>
          <w:rFonts w:hint="eastAsia"/>
        </w:rPr>
      </w:pPr>
      <w:r>
        <w:rPr>
          <w:rFonts w:hint="eastAsia"/>
        </w:rPr>
        <w:t>  托管人声明，在本报告期内，基金托管人--招商银行股份有限公司不存在任何损害基金份额持有人利益的行为，严格遵守了《中华人民共和国证券投资基金法》及其他有关法律法规、基金合同，完全尽职尽责地履行了应尽的义务。</w:t>
      </w:r>
    </w:p>
    <w:p>
      <w:pPr>
        <w:widowControl/>
        <w:jc w:val="left"/>
        <w:rPr>
          <w:rFonts w:hint="eastAsia" w:ascii="宋体" w:hAnsi="宋体" w:cs="宋体"/>
          <w:kern w:val="0"/>
          <w:sz w:val="24"/>
          <w:szCs w:val="24"/>
        </w:rPr>
      </w:pPr>
    </w:p>
    <w:p>
      <w:pPr>
        <w:pStyle w:val="14"/>
        <w:rPr>
          <w:rFonts w:hint="eastAsia"/>
        </w:rPr>
      </w:pPr>
      <w:bookmarkStart w:id="25" w:name="_Toc510107560"/>
      <w:r>
        <w:rPr>
          <w:rFonts w:hint="eastAsia"/>
          <w:b/>
          <w:bCs/>
        </w:rPr>
        <w:t>5.2 托管人对报告期内本基金投资运作遵规守信、净值计算、利润分配等情况的说明</w:t>
      </w:r>
      <w:bookmarkEnd w:id="25"/>
    </w:p>
    <w:p>
      <w:pPr>
        <w:pStyle w:val="20"/>
        <w:rPr>
          <w:rFonts w:hint="eastAsia"/>
        </w:rPr>
      </w:pPr>
      <w:r>
        <w:rPr>
          <w:rFonts w:hint="eastAsia"/>
        </w:rPr>
        <w:t>  本报告期内基金管理人在投资运作、基金资产净值的计算、利润分配、基金份额申购赎回价格的计算、基金费用开支等问题上，不存在任何损害基金份额持有人利益的行为，严格遵守了《中华人民共和国证券投资基金法》等有关法律法规，在各重要方面的运作严格按照基金合同的规定进行。</w:t>
      </w:r>
    </w:p>
    <w:p>
      <w:pPr>
        <w:widowControl/>
        <w:jc w:val="left"/>
        <w:rPr>
          <w:rFonts w:hint="eastAsia" w:ascii="宋体" w:hAnsi="宋体" w:cs="宋体"/>
          <w:kern w:val="0"/>
          <w:sz w:val="24"/>
          <w:szCs w:val="24"/>
        </w:rPr>
      </w:pPr>
    </w:p>
    <w:p>
      <w:pPr>
        <w:pStyle w:val="14"/>
        <w:rPr>
          <w:rFonts w:hint="eastAsia"/>
        </w:rPr>
      </w:pPr>
      <w:bookmarkStart w:id="26" w:name="_Toc510107561"/>
      <w:r>
        <w:rPr>
          <w:rFonts w:hint="eastAsia"/>
          <w:b/>
          <w:bCs/>
        </w:rPr>
        <w:t>5.3 托管人对本年度报告中财务信息等内容的真实、准确和完整发表意见</w:t>
      </w:r>
      <w:bookmarkEnd w:id="26"/>
    </w:p>
    <w:p>
      <w:pPr>
        <w:pStyle w:val="20"/>
        <w:rPr>
          <w:rFonts w:hint="eastAsia"/>
        </w:rPr>
      </w:pPr>
      <w:r>
        <w:rPr>
          <w:rFonts w:hint="eastAsia"/>
        </w:rPr>
        <w:t>  本年度报告中财务指标、净值表现、财务会计报告、利润分配、投资组合报告等内容真实、准确和完整，不存在虚假记载、误导性陈述或者重大遗漏。</w:t>
      </w:r>
    </w:p>
    <w:p>
      <w:pPr>
        <w:pStyle w:val="13"/>
        <w:rPr>
          <w:rFonts w:hint="eastAsia"/>
        </w:rPr>
      </w:pPr>
      <w:bookmarkStart w:id="27" w:name="_Toc510107562"/>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510107563"/>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普华永道中天审字(2018)第21835号</w:t>
            </w:r>
          </w:p>
        </w:tc>
      </w:tr>
    </w:tbl>
    <w:p>
      <w:pPr>
        <w:widowControl/>
        <w:jc w:val="left"/>
        <w:rPr>
          <w:rFonts w:hint="eastAsia" w:ascii="宋体" w:hAnsi="宋体" w:cs="宋体"/>
          <w:kern w:val="0"/>
          <w:sz w:val="24"/>
          <w:szCs w:val="24"/>
        </w:rPr>
      </w:pPr>
    </w:p>
    <w:p>
      <w:pPr>
        <w:pStyle w:val="14"/>
        <w:rPr>
          <w:rFonts w:hint="eastAsia"/>
        </w:rPr>
      </w:pPr>
      <w:bookmarkStart w:id="29" w:name="_Toc510107564"/>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创金合信鑫收益灵活配置混合型证券投资基金全体基金份额持有人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鑫收益灵活配置混合型证券投资基金(以下简称"创金合信鑫收益混合基金")的财务报表，包括2017年12月31日和2016年12月31日的资产负债表，2017年度和2016年12月19日(基金合同生效日)至2016年12月31日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鑫收益混合基金2017年12月31日和2016年12月31日的财务状况以及2017年度和2016年12月19日(基金合同生效日)至2016年12月31日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按照中国注册会计师职业道德守则，我们独立于创金合信鑫收益混合基金，并履行了职业道德方面的其他责任。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收益混合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鑫收益混合基金的持续经营能力，披露与持续经营相关的事项(如适用)，并运用持续经营假设，除非基金管理人管理层计划清算创金合信鑫收益混合基金、终止运营或别无其他现实的选择。 基金管理人治理层负责监督创金合信鑫收益混合基金的财务报告过程。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鑫收益混合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鑫收益混合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2018-03-27</w:t>
            </w:r>
          </w:p>
        </w:tc>
      </w:tr>
    </w:tbl>
    <w:p>
      <w:pPr>
        <w:pStyle w:val="13"/>
        <w:rPr>
          <w:rFonts w:hint="eastAsia"/>
        </w:rPr>
      </w:pPr>
      <w:bookmarkStart w:id="30" w:name="_Toc510107565"/>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510107566"/>
      <w:r>
        <w:rPr>
          <w:rFonts w:hint="eastAsia"/>
          <w:b/>
          <w:bCs/>
        </w:rPr>
        <w:t>7.1 资产负债表</w:t>
      </w:r>
      <w:bookmarkEnd w:id="31"/>
    </w:p>
    <w:p>
      <w:pPr>
        <w:pStyle w:val="17"/>
        <w:rPr>
          <w:rFonts w:hint="eastAsia"/>
        </w:rPr>
      </w:pPr>
      <w:r>
        <w:rPr>
          <w:rFonts w:hint="eastAsia"/>
        </w:rPr>
        <w:t>会计主体：创金合信鑫收益灵活配置混合型证券投资基金</w:t>
      </w:r>
    </w:p>
    <w:p>
      <w:pPr>
        <w:pStyle w:val="17"/>
        <w:rPr>
          <w:rFonts w:hint="eastAsia"/>
        </w:rPr>
      </w:pPr>
      <w:r>
        <w:rPr>
          <w:rFonts w:hint="eastAsia"/>
        </w:rPr>
        <w:t>报告截止日：2017年12月31日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888"/>
        <w:gridCol w:w="1083"/>
        <w:gridCol w:w="2529"/>
        <w:gridCol w:w="2620"/>
      </w:tblGrid>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2017年12月31日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 </w:t>
            </w:r>
          </w:p>
          <w:p>
            <w:pPr>
              <w:pStyle w:val="18"/>
              <w:wordWrap w:val="0"/>
              <w:rPr>
                <w:rFonts w:hint="eastAsia"/>
              </w:rPr>
            </w:pPr>
            <w:r>
              <w:rPr>
                <w:rFonts w:hint="eastAsia" w:hAnsi="Calibri"/>
                <w:color w:val="000000"/>
              </w:rPr>
              <w:t>2016年12月31日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3,929,377.33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183,623,269.02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892,179.65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78,553.81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301,666,272.83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58,995,350.00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8,387,920.00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18,601,350.00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293,278,352.83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40,394,000.00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50,786,626.88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306,866.75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4,375,016.08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608,447.10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362,034,893.33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243,227,066.12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 </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65,800,000.00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21,000,000.00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9,011,013.35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1,017.47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171,089.47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41,940.05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57,029.83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13,980.01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495.79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1,512.21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56,908.44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17,222.96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102,745.52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540.73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66,363,286.52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30,086,209.31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实收基金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284,993,010.38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213,155,772.76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10,678,596.43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-14,915.95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295,671,606.81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213,140,856.81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362,034,893.33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243,227,066.12</w:t>
            </w:r>
          </w:p>
        </w:tc>
      </w:tr>
    </w:tbl>
    <w:p>
      <w:pPr>
        <w:pStyle w:val="20"/>
        <w:rPr>
          <w:rFonts w:hint="eastAsia"/>
        </w:rPr>
      </w:pPr>
      <w:r>
        <w:rPr>
          <w:rFonts w:hint="eastAsia"/>
        </w:rPr>
        <w:t>注：1.报告截止日2017年12月31日，基金份额总额284,993,010.38份，其中A类基金份额的份额总额为283,125,412.74份，份额净值1.036元；C类基金份额的份额总额为1,867,597.64份，份额净值1.224元。</w:t>
      </w:r>
      <w:r>
        <w:rPr>
          <w:rFonts w:hint="eastAsia"/>
        </w:rPr>
        <w:br w:type="textWrapping"/>
      </w:r>
      <w:r>
        <w:rPr>
          <w:rFonts w:hint="eastAsia"/>
        </w:rPr>
        <w:t>2.本基金合同生效日为2016年12月19日，上年度可比期间为2016年12月19日至2016年12月31日。</w:t>
      </w:r>
    </w:p>
    <w:p>
      <w:pPr>
        <w:pStyle w:val="14"/>
        <w:rPr>
          <w:rFonts w:hint="eastAsia"/>
        </w:rPr>
      </w:pPr>
      <w:bookmarkStart w:id="32" w:name="_Toc510107567"/>
      <w:r>
        <w:rPr>
          <w:rFonts w:hint="eastAsia"/>
          <w:b/>
          <w:bCs/>
        </w:rPr>
        <w:t>7.2 利润表</w:t>
      </w:r>
      <w:bookmarkEnd w:id="32"/>
    </w:p>
    <w:p>
      <w:pPr>
        <w:widowControl/>
        <w:jc w:val="left"/>
        <w:rPr>
          <w:rFonts w:hint="eastAsia" w:ascii="宋体" w:hAnsi="宋体" w:cs="宋体"/>
          <w:kern w:val="0"/>
          <w:sz w:val="24"/>
          <w:szCs w:val="24"/>
        </w:rPr>
      </w:pPr>
    </w:p>
    <w:p>
      <w:pPr>
        <w:pStyle w:val="17"/>
        <w:rPr>
          <w:rFonts w:hint="eastAsia"/>
        </w:rPr>
      </w:pPr>
      <w:r>
        <w:rPr>
          <w:rFonts w:hint="eastAsia"/>
        </w:rPr>
        <w:t>会计主体：创金合信鑫收益灵活配置混合型证券投资基金</w:t>
      </w:r>
    </w:p>
    <w:p>
      <w:pPr>
        <w:pStyle w:val="17"/>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3249"/>
        <w:gridCol w:w="1083"/>
        <w:gridCol w:w="2168"/>
        <w:gridCol w:w="2620"/>
      </w:tblGrid>
      <w:tr>
        <w:tblPrEx>
          <w:tblCellMar>
            <w:top w:w="0" w:type="dxa"/>
            <w:left w:w="108" w:type="dxa"/>
            <w:bottom w:w="0" w:type="dxa"/>
            <w:right w:w="108" w:type="dxa"/>
          </w:tblCellMar>
        </w:tblPrEx>
        <w:trPr>
          <w:wBefore w:w="0" w:type="auto"/>
          <w:trHeight w:val="374" w:hRule="atLeast"/>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2016年12月19日（基金合同生效日）至2016年12月31日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25,285,962.40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66,425.32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18,326,777.34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317,677.74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284,263.26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304,658.57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17,140,920.41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13,019.17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901,593.67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12,902,311.69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15,244,434.84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-4,101,984.05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1,759,860.90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-6,088,955.10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-251,252.42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145,828.47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7,812,902.23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81,341.27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2,704,511.49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41,940.05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901,503.89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13,980.01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32,506.77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1,512.21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751,446.79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19,210.61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3,195,749.81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4,698.39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3,195,749.81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4,698.39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227,183.48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17,473,060.17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-14,915.95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17,473,060.17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-14,915.95</w:t>
            </w:r>
          </w:p>
        </w:tc>
      </w:tr>
    </w:tbl>
    <w:p>
      <w:pPr>
        <w:pStyle w:val="20"/>
        <w:rPr>
          <w:rFonts w:hint="eastAsia"/>
        </w:rPr>
      </w:pPr>
      <w:r>
        <w:rPr>
          <w:rFonts w:hint="eastAsia"/>
        </w:rPr>
        <w:t>注：本基金合同生效日为2016年12月19日，上年度可比期间为2016年12月19日至2016年12月31日。</w:t>
      </w:r>
    </w:p>
    <w:p>
      <w:pPr>
        <w:pStyle w:val="14"/>
        <w:rPr>
          <w:rFonts w:hint="eastAsia"/>
        </w:rPr>
      </w:pPr>
      <w:bookmarkStart w:id="33" w:name="_Toc510107568"/>
      <w:r>
        <w:rPr>
          <w:rFonts w:hint="eastAsia"/>
          <w:b/>
          <w:bCs/>
        </w:rPr>
        <w:t>7.3 所有者权益（基金净值）变动表</w:t>
      </w:r>
      <w:bookmarkEnd w:id="33"/>
    </w:p>
    <w:p>
      <w:pPr>
        <w:pStyle w:val="17"/>
        <w:rPr>
          <w:rFonts w:hint="eastAsia"/>
        </w:rPr>
      </w:pPr>
      <w:r>
        <w:rPr>
          <w:rFonts w:hint="eastAsia"/>
        </w:rPr>
        <w:t>会计主体：创金合信鑫收益灵活配置混合型证券投资基金</w:t>
      </w:r>
    </w:p>
    <w:p>
      <w:pPr>
        <w:pStyle w:val="17"/>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3249"/>
        <w:gridCol w:w="1806"/>
        <w:gridCol w:w="1806"/>
        <w:gridCol w:w="2167"/>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213,155,772.76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-14,915.95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213,140,856.81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17,473,060.17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17,473,060.17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71,837,237.62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-6,779,547.79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65,057,689.83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299,626,521.19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1,278,575.44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300,905,096.63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-227,789,283.57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-8,058,123.23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-235,847,406.80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284,993,010.38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10,678,596.43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295,671,606.81</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2016年12月19日（基金合同生效日）至2016年12月31日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213,155,772.76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213,155,772.76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-14,915.95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-14,915.95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213,155,772.76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-14,915.95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213,140,856.81</w:t>
            </w:r>
          </w:p>
        </w:tc>
      </w:tr>
    </w:tbl>
    <w:p>
      <w:pPr>
        <w:pStyle w:val="20"/>
        <w:rPr>
          <w:rFonts w:hint="eastAsia"/>
        </w:rPr>
      </w:pPr>
      <w:r>
        <w:rPr>
          <w:rFonts w:hint="eastAsia"/>
        </w:rPr>
        <w:t>注：本基金合同生效日为2016年12月19日，上年度可比期间为2016年12月19日至2016年12月31日。</w:t>
      </w:r>
    </w:p>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510107569"/>
      <w:r>
        <w:rPr>
          <w:rFonts w:hint="eastAsia"/>
          <w:b/>
          <w:bCs/>
        </w:rPr>
        <w:t>7.4 报表附注</w:t>
      </w:r>
      <w:bookmarkEnd w:id="34"/>
    </w:p>
    <w:p>
      <w:pPr>
        <w:pStyle w:val="15"/>
        <w:rPr>
          <w:rFonts w:hint="eastAsia"/>
        </w:rPr>
      </w:pPr>
      <w:r>
        <w:rPr>
          <w:rFonts w:hint="eastAsia"/>
          <w:b/>
          <w:bCs/>
        </w:rPr>
        <w:t>7.4.1 基金基本情况</w:t>
      </w:r>
    </w:p>
    <w:p>
      <w:pPr>
        <w:pStyle w:val="20"/>
        <w:rPr>
          <w:rFonts w:hint="eastAsia"/>
        </w:rPr>
      </w:pPr>
      <w:r>
        <w:rPr>
          <w:rFonts w:hint="eastAsia"/>
        </w:rPr>
        <w:t>  创金合信鑫收益灵活配置混合型证券投资基金(以下简称"本基金")经中国证券监督管理委员会(以下简称"中国证监会")证监许可 [2015]1688号《关于准予创金合信鑫收益灵活配置混合型证券投资基金注册的批复》核准，由创金合信基金管理有限公司依照《中华人民共和国证券投资基金法》和《创金合信鑫收益灵活配置混合型证券投资基金基金合同》负责公开募集。本基金为契约型开放式，存续期限不定，首次设立募集不包括认购资金利息共募集人民币213,147,227.55元，业经普华永道中天会计师事务所(特殊普通合伙)普华永道中天验字(2016)第1560号验资报告予以验证。经向中国证监会备案，《创金合信鑫收益灵活配置混合型证券投资基金基金合同》于2016年12月19日正式生效，基金合同生效日的基金份额总额为213,155,772.76份基金份额，其中认购资金利息折合8,545.21份基金份额。本基金的基金管理人为创金合信基金管理有限公司，基金托管人为招商银行股份有限公司(以下简称"招商银行")。</w:t>
      </w:r>
      <w:r>
        <w:rPr>
          <w:rFonts w:hint="eastAsia"/>
        </w:rPr>
        <w:br w:type="textWrapping"/>
      </w:r>
      <w:r>
        <w:rPr>
          <w:rFonts w:hint="eastAsia"/>
        </w:rPr>
        <w:t>  根据《中华人民共和国证券投资基金法》和《创金合信鑫收益灵活配置混合型证券投资基金基金合同》的有关规定，本基金的投资范围包括国内依法发行上市的股票(包括创业板、中小板以及其他经中国证监会允许基金投资的股票)、债券(包括国债、央行票据、地方政府债、金融债、企业债、公司债、证券公司短期公司债、中小企业私募债、次级债、中期票据、短期融资券、可转换债券、可交换债券等)、资产支持证券、债券回购、银行存款、金融衍生品(包括权证、股指期货等)及法律法规或中国证监会允许基金投资的其他金融工具(但须符合中国证监会相关规定)。本基金的业绩比较基准为：沪深300指数收益率×30% + 一年期人民币定期存款利率(税后)×70%。</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rPr>
          <w:rFonts w:hint="eastAsia"/>
        </w:rPr>
      </w:pPr>
      <w:r>
        <w:rPr>
          <w:rFonts w:hint="eastAsia"/>
        </w:rPr>
        <w:t>  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鑫收益灵活配置混合型证券投资基金基金合同》和在财务报表附注7.4.4所列示的中国证监会、中国基金业协会发布的有关规定及允许的基金行业实务操作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rPr>
          <w:rFonts w:hint="eastAsia"/>
        </w:rPr>
      </w:pPr>
      <w:r>
        <w:rPr>
          <w:rFonts w:hint="eastAsia"/>
        </w:rPr>
        <w:t>  本财务报表符合企业会计准则的要求，真实、完整地反映了本基金本报告期末的财务状况以及本报告期间的经营成果和基金净值变动情况等有关信息。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widowControl/>
        <w:jc w:val="left"/>
        <w:rPr>
          <w:rFonts w:hint="eastAsia" w:ascii="宋体" w:hAnsi="宋体" w:cs="宋体"/>
          <w:kern w:val="0"/>
          <w:sz w:val="24"/>
          <w:szCs w:val="24"/>
        </w:rPr>
      </w:pPr>
    </w:p>
    <w:p>
      <w:pPr>
        <w:pStyle w:val="15"/>
        <w:rPr>
          <w:rFonts w:hint="eastAsia"/>
        </w:rPr>
      </w:pPr>
      <w:r>
        <w:rPr>
          <w:rFonts w:hint="eastAsia"/>
          <w:b/>
          <w:bCs/>
        </w:rPr>
        <w:t>7.4.4.1 会计年度</w:t>
      </w:r>
    </w:p>
    <w:p>
      <w:pPr>
        <w:pStyle w:val="20"/>
        <w:rPr>
          <w:rFonts w:hint="eastAsia"/>
        </w:rPr>
      </w:pPr>
      <w:r>
        <w:rPr>
          <w:rFonts w:hint="eastAsia"/>
        </w:rPr>
        <w:t>  本基金会计年度为公历1月1日起至12月31日止。本期财务报表的实际编制期间为2017年1月1日至2017年12月31日。</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rPr>
          <w:rFonts w:hint="eastAsia"/>
        </w:rPr>
      </w:pPr>
      <w:r>
        <w:rPr>
          <w:rFonts w:hint="eastAsia"/>
        </w:rPr>
        <w:t>  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rPr>
          <w:rFonts w:hint="eastAsia"/>
        </w:rPr>
      </w:pPr>
      <w:r>
        <w:rPr>
          <w:rFonts w:hint="eastAsia"/>
        </w:rPr>
        <w:t>  （1)金融资产的分类</w:t>
      </w:r>
      <w:r>
        <w:rPr>
          <w:rFonts w:hint="eastAsia"/>
        </w:rPr>
        <w:br w:type="textWrapping"/>
      </w:r>
      <w:r>
        <w:rPr>
          <w:rFonts w:hint="eastAsia"/>
        </w:rPr>
        <w:t>  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r>
        <w:rPr>
          <w:rFonts w:hint="eastAsia"/>
        </w:rPr>
        <w:br w:type="textWrapping"/>
      </w:r>
      <w:r>
        <w:rPr>
          <w:rFonts w:hint="eastAsia"/>
        </w:rPr>
        <w:t>  本基金目前以交易目的持有的股票投资、债券投资和衍生工具(主要为权证投资)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r>
        <w:rPr>
          <w:rFonts w:hint="eastAsia"/>
        </w:rPr>
        <w:br w:type="textWrapping"/>
      </w:r>
      <w:r>
        <w:rPr>
          <w:rFonts w:hint="eastAsia"/>
        </w:rPr>
        <w:t>  本基金持有的其他金融资产分类为应收款项，包括银行存款、买入返售金融资产和其他各类应收款项等。应收款项是指在活跃市场中没有报价、回收金额固定或可确定的非衍生金融资产。</w:t>
      </w:r>
      <w:r>
        <w:rPr>
          <w:rFonts w:hint="eastAsia"/>
        </w:rPr>
        <w:br w:type="textWrapping"/>
      </w:r>
      <w:r>
        <w:rPr>
          <w:rFonts w:hint="eastAsia"/>
        </w:rPr>
        <w:t>  （2)金融负债的分类</w:t>
      </w:r>
      <w:r>
        <w:rPr>
          <w:rFonts w:hint="eastAsia"/>
        </w:rPr>
        <w:br w:type="textWrapping"/>
      </w:r>
      <w:r>
        <w:rPr>
          <w:rFonts w:hint="eastAsia"/>
        </w:rPr>
        <w:t>  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rPr>
          <w:rFonts w:hint="eastAsia"/>
        </w:rPr>
      </w:pPr>
      <w:r>
        <w:rPr>
          <w:rFonts w:hint="eastAsia"/>
        </w:rPr>
        <w:t>  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r>
        <w:rPr>
          <w:rFonts w:hint="eastAsia"/>
        </w:rPr>
        <w:br w:type="textWrapping"/>
      </w:r>
      <w:r>
        <w:rPr>
          <w:rFonts w:hint="eastAsia"/>
        </w:rPr>
        <w:t>  对于以公允价值计量且其变动计入当期损益的金融资产，按照公允价值进行后续计量；对于应收款项和其他金融负债采用实际利率法，以摊余成本进行后续计量。</w:t>
      </w:r>
      <w:r>
        <w:rPr>
          <w:rFonts w:hint="eastAsia"/>
        </w:rPr>
        <w:br w:type="textWrapping"/>
      </w:r>
      <w:r>
        <w:rPr>
          <w:rFonts w:hint="eastAsia"/>
        </w:rPr>
        <w:t>  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r>
        <w:rPr>
          <w:rFonts w:hint="eastAsia"/>
        </w:rPr>
        <w:br w:type="textWrapping"/>
      </w:r>
      <w:r>
        <w:rPr>
          <w:rFonts w:hint="eastAsia"/>
        </w:rPr>
        <w:t>  金融资产终止确认时，其账面价值与收到的对价的差额，计入当期损益。</w:t>
      </w:r>
      <w:r>
        <w:rPr>
          <w:rFonts w:hint="eastAsia"/>
        </w:rPr>
        <w:br w:type="textWrapping"/>
      </w:r>
      <w:r>
        <w:rPr>
          <w:rFonts w:hint="eastAsia"/>
        </w:rPr>
        <w:t>  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rPr>
          <w:rFonts w:hint="eastAsia"/>
        </w:rPr>
      </w:pPr>
      <w:r>
        <w:rPr>
          <w:rFonts w:hint="eastAsia"/>
        </w:rPr>
        <w:t>  本基金持有的股票投资和债券投资按如下原则确定公允价值并进行估值：</w:t>
      </w:r>
      <w:r>
        <w:rPr>
          <w:rFonts w:hint="eastAsia"/>
        </w:rPr>
        <w:br w:type="textWrapping"/>
      </w:r>
      <w:r>
        <w:rPr>
          <w:rFonts w:hint="eastAsia"/>
        </w:rPr>
        <w:t>  (1)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r>
        <w:rPr>
          <w:rFonts w:hint="eastAsia"/>
        </w:rPr>
        <w:br w:type="textWrapping"/>
      </w:r>
      <w:r>
        <w:rPr>
          <w:rFonts w:hint="eastAsia"/>
        </w:rPr>
        <w:t>  (2)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r>
        <w:rPr>
          <w:rFonts w:hint="eastAsia"/>
        </w:rPr>
        <w:br w:type="textWrapping"/>
      </w:r>
      <w:r>
        <w:rPr>
          <w:rFonts w:hint="eastAsia"/>
        </w:rPr>
        <w:t>  (3)如经济环境发生重大变化或证券发行人发生影响金融工具价格的重大事件，应对估值进行调整并确定公允价值。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rPr>
          <w:rFonts w:hint="eastAsia"/>
        </w:rPr>
      </w:pPr>
      <w:r>
        <w:rPr>
          <w:rFonts w:hint="eastAsia"/>
        </w:rPr>
        <w:t>  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rPr>
          <w:rFonts w:hint="eastAsia"/>
        </w:rPr>
      </w:pPr>
      <w:r>
        <w:rPr>
          <w:rFonts w:hint="eastAsia"/>
        </w:rPr>
        <w:t>  实收基金为对外发行基金份额所募集的总金额在扣除损益平准金分摊部分后的余额。由于申购和赎回引起的实收基金变动分别于基金申购确认日及基金赎回确认日确认。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rPr>
          <w:rFonts w:hint="eastAsia"/>
        </w:rPr>
      </w:pPr>
      <w:r>
        <w:rPr>
          <w:rFonts w:hint="eastAsia"/>
        </w:rPr>
        <w:t>  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确认，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rPr>
          <w:rFonts w:hint="eastAsia"/>
        </w:rPr>
      </w:pPr>
      <w:r>
        <w:rPr>
          <w:rFonts w:hint="eastAsia"/>
        </w:rPr>
        <w:t>  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r>
        <w:rPr>
          <w:rFonts w:hint="eastAsia"/>
        </w:rPr>
        <w:br w:type="textWrapping"/>
      </w:r>
      <w:r>
        <w:rPr>
          <w:rFonts w:hint="eastAsia"/>
        </w:rPr>
        <w:t>  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r>
        <w:rPr>
          <w:rFonts w:hint="eastAsia"/>
        </w:rPr>
        <w:br w:type="textWrapping"/>
      </w:r>
      <w:r>
        <w:rPr>
          <w:rFonts w:hint="eastAsia"/>
        </w:rPr>
        <w:t>  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rPr>
          <w:rFonts w:hint="eastAsia"/>
        </w:rPr>
      </w:pPr>
      <w:r>
        <w:rPr>
          <w:rFonts w:hint="eastAsia"/>
        </w:rPr>
        <w:t>  本基金的管理人报酬、托管费和销售服务费在费用涵盖期间按基金合同约定的费率和计算方法逐日确认。</w:t>
      </w:r>
      <w:r>
        <w:rPr>
          <w:rFonts w:hint="eastAsia"/>
        </w:rPr>
        <w:br w:type="textWrapping"/>
      </w:r>
      <w:r>
        <w:rPr>
          <w:rFonts w:hint="eastAsia"/>
        </w:rPr>
        <w:t>  其他金融负债在持有期间确认的利息支出按实际利率法计算，实际利率法与直线法差异较小的则按直线法计算。</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rPr>
          <w:rFonts w:hint="eastAsia"/>
        </w:rPr>
      </w:pPr>
      <w:r>
        <w:rPr>
          <w:rFonts w:hint="eastAsia"/>
        </w:rPr>
        <w:t>  本基金的收益分配政策为：(1)在符合有关基金分红条件的前提下，本基金每年收益分配次数最多为12次，每份基金份额每次收益分配比例不得低于收益分配基准日每份基金份额该次可供分配利润的10%，若《基金合同》生效不满3个月可不进行收益分配；(2)本基金收益分配方式分两种：现金分红与红利再投资，投资者可选择现金红利或将现金红利自动转为基金份额进行再投资；若投资者不选择，本基金默认的收益分配方式是现金分红；(3)基金收益分配后基金份额净值不能低于面值；即基金收益分配基准日的基金份额净值减去每单位基金份额收益分配金额后不能低于面值；(4)同一类别的每一基金份额享有同等分配权。由于本基金A类基金份额与C类基金份额的基金费用不同，不同类别的基金份额对应的可供分配利润或将不同；(5)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rPr>
          <w:rFonts w:hint="eastAsia"/>
        </w:rPr>
      </w:pPr>
      <w:r>
        <w:rPr>
          <w:rFonts w:hint="eastAsia"/>
        </w:rPr>
        <w:t>  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r>
        <w:rPr>
          <w:rFonts w:hint="eastAsia"/>
        </w:rPr>
        <w:br w:type="textWrapping"/>
      </w:r>
      <w:r>
        <w:rPr>
          <w:rFonts w:hint="eastAsia"/>
        </w:rPr>
        <w:t>  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rPr>
          <w:rFonts w:hint="eastAsia"/>
        </w:rPr>
      </w:pPr>
      <w:r>
        <w:rPr>
          <w:rFonts w:hint="eastAsia"/>
        </w:rPr>
        <w:t>  根据本基金的估值原则和中国证监会允许的基金行业估值实务操作，本基金确定以下类别股票投资和债券投资的公允价值时采用的估值方法及其关键假设如下：</w:t>
      </w:r>
      <w:r>
        <w:rPr>
          <w:rFonts w:hint="eastAsia"/>
        </w:rPr>
        <w:br w:type="textWrapping"/>
      </w:r>
      <w:r>
        <w:rPr>
          <w:rFonts w:hint="eastAsia"/>
        </w:rPr>
        <w:t>  (1)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r>
        <w:rPr>
          <w:rFonts w:hint="eastAsia"/>
        </w:rPr>
        <w:br w:type="textWrapping"/>
      </w:r>
      <w:r>
        <w:rPr>
          <w:rFonts w:hint="eastAsia"/>
        </w:rPr>
        <w:t>  (2)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央国债登记结算有限责任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rPr>
          <w:rFonts w:hint="eastAsia"/>
        </w:rPr>
      </w:pPr>
      <w:r>
        <w:rPr>
          <w:rFonts w:hint="eastAsia"/>
        </w:rPr>
        <w:t>  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rPr>
          <w:rFonts w:hint="eastAsia"/>
        </w:rPr>
      </w:pPr>
      <w:r>
        <w:rPr>
          <w:rFonts w:hint="eastAsia"/>
        </w:rPr>
        <w:t>  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rPr>
          <w:rFonts w:hint="eastAsia"/>
        </w:rPr>
      </w:pPr>
      <w:r>
        <w:rPr>
          <w:rFonts w:hint="eastAsia"/>
        </w:rPr>
        <w:t>  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rPr>
          <w:rFonts w:hint="eastAsia"/>
        </w:rPr>
      </w:pPr>
      <w:r>
        <w:rPr>
          <w:rFonts w:hint="eastAsia"/>
        </w:rPr>
        <w:t>  根据财政部、国家税务总局财税[2004]78号《财政部、国家税务总局关于证券投资基金税收政策的通知》、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及其他相关财税法规和实务操作，主要税项列示如下：</w:t>
      </w:r>
      <w:r>
        <w:rPr>
          <w:rFonts w:hint="eastAsia"/>
        </w:rPr>
        <w:br w:type="textWrapping"/>
      </w:r>
      <w:r>
        <w:rPr>
          <w:rFonts w:hint="eastAsia"/>
        </w:rPr>
        <w:t>  (1)于2016年5月1日前，以发行基金方式募集资金不属于营业税征收范围，不征收营业税。对证券投资基金管理人运用基金买卖股票、债券的差价收入免征营业税。自2016年5月1日起，金融业由缴纳营业税改为缴纳增值税。对证券投资基金管理人运用基金买卖股票、债券的转让收入免征增值税，对国债、地方政府债以及金融同业往来利息收入亦免征增值税。</w:t>
      </w:r>
      <w:r>
        <w:rPr>
          <w:rFonts w:hint="eastAsia"/>
        </w:rPr>
        <w:br w:type="textWrapping"/>
      </w:r>
      <w:r>
        <w:rPr>
          <w:rFonts w:hint="eastAsia"/>
        </w:rPr>
        <w:t>  (2)对基金从证券市场中取得的收入，包括买卖股票、债券的差价收入，股票的股息、红利收入，债券的利息收入及其他收入，暂不征收企业所得税。</w:t>
      </w:r>
      <w:r>
        <w:rPr>
          <w:rFonts w:hint="eastAsia"/>
        </w:rPr>
        <w:br w:type="textWrapping"/>
      </w:r>
      <w:r>
        <w:rPr>
          <w:rFonts w:hint="eastAsia"/>
        </w:rPr>
        <w:t>  (3)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r>
        <w:rPr>
          <w:rFonts w:hint="eastAsia"/>
        </w:rPr>
        <w:br w:type="textWrapping"/>
      </w:r>
      <w:r>
        <w:rPr>
          <w:rFonts w:hint="eastAsia"/>
        </w:rPr>
        <w:t>  (4)基金卖出股票按0.1%的税率缴纳股票交易印花税，买入股票不征收股票交易印花税。</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jc w:val="left"/>
        <w:rPr>
          <w:rFonts w:hint="eastAsia" w:ascii="宋体" w:hAnsi="宋体" w:cs="宋体"/>
          <w:kern w:val="0"/>
          <w:sz w:val="24"/>
          <w:szCs w:val="24"/>
        </w:rPr>
      </w:pP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3,929,377.33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33,623,269.02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150,000,000.00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150,000,000.00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3,929,377.33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183,623,269.02</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8,969,453.26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8,387,920.00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-581,533.26</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209,370,751.34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203,575,352.83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-5,795,398.51</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89,666,275.75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89,703,000.00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36,724.25</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299,037,027.09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293,278,352.83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-5,758,674.26</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308,006,480.35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301,666,272.83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-6,340,207.52</w:t>
            </w:r>
          </w:p>
        </w:tc>
      </w:tr>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18,503,649.00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18,601,350.00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97,701.00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40,742,953.42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40,394,000.00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-348,953.42</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40,742,953.42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40,394,000.00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-348,953.42</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59,246,602.42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58,995,350.00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-251,252.42</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7.4.7.3 衍生金融资产/负债</w:t>
      </w:r>
    </w:p>
    <w:p>
      <w:pPr>
        <w:pStyle w:val="20"/>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875"/>
        <w:gridCol w:w="3071"/>
        <w:gridCol w:w="4099"/>
      </w:tblGrid>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44,586,626.88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50,786,626.88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7.4.7.4.2 期末买断式逆回购交易中取得的债券</w:t>
      </w:r>
    </w:p>
    <w:p>
      <w:pPr>
        <w:pStyle w:val="20"/>
        <w:rPr>
          <w:rFonts w:hint="eastAsia"/>
        </w:rPr>
      </w:pPr>
      <w:r>
        <w:rPr>
          <w:rFonts w:hint="eastAsia"/>
        </w:rPr>
        <w:t>本基金于本期末及上年度末均未持有买断式逆回购交易中取得的债券。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809.64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4,697.49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242,916.74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4,200,778.40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360,832.87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172,947.56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4,375,016.08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608,447.10</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本基金本期末及上年度末均未持有其他资产。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49,481.58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17,222.96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7,426.86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56,908.44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17,222.96</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创金合信鑫收益A</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(创金合信鑫收益A)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190,098,275.45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190,098,275.45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293,146,331.71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293,146,331.71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-200,119,194.42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-200,119,194.42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283,125,412.74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283,125,412.74</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创金合信鑫收益C</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(创金合信鑫收益C)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23,057,497.31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23,057,497.31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6,480,189.48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6,480,189.48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-27,670,089.15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-27,670,089.15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1,867,597.64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1,867,597.64</w:t>
            </w:r>
          </w:p>
        </w:tc>
      </w:tr>
    </w:tbl>
    <w:p>
      <w:pPr>
        <w:pStyle w:val="20"/>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创金合信鑫收益A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(创金合信鑫收益A)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212,120.73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-224,074.88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-11,954.15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23,078,280.71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-6,280,855.00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16,797,425.71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-5,850,318.01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-673,981.71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-6,524,299.72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438,826.88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-532,342.82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-93,515.94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-6,289,144.89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-141,638.89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-6,430,783.78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17,440,083.43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-7,178,911.59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10,261,171.84</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创金合信鑫收益C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(创金合信鑫收益C)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24,215.74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-27,177.54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-2,961.80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483,734.56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191,899.90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675,634.46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-35,568.57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-219,679.50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-255,248.07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1,356,207.36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15,884.02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1,372,091.38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-1,391,775.93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-235,563.52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-1,627,339.45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472,381.73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-54,957.14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417,424.59</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109"/>
        <w:gridCol w:w="3681"/>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上年度可比期间2016年12月19日（基金合同生效日）至2016年12月31日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121,199.44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29,075.16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66,249.92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275,583.41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95,778.41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284,263.26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304,658.57</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2016年12月19日（基金合同生效日）至2016年12月31日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278,132,648.21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262,888,213.37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15,244,434.84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2298"/>
        <w:gridCol w:w="3581"/>
      </w:tblGrid>
      <w:tr>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2016年12月19日（基金合同生效日）至2016年12月31日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-4,101,984.05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-4,101,984.05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2298"/>
        <w:gridCol w:w="3581"/>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2016年12月19日（基金合同生效日）至2016年12月31日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1,255,998,637.24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1,238,579,994.31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21,520,626.98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-4,101,984.05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7.4.7.14 衍生工具收益</w:t>
      </w:r>
    </w:p>
    <w:p>
      <w:pPr>
        <w:pStyle w:val="15"/>
        <w:rPr>
          <w:rFonts w:hint="eastAsia"/>
        </w:rPr>
      </w:pPr>
      <w:r>
        <w:rPr>
          <w:rFonts w:hint="eastAsia"/>
          <w:b/>
          <w:bCs/>
        </w:rPr>
        <w:t>7.4.7.14.1 衍生工具收益——买卖权证差价收入</w:t>
      </w:r>
    </w:p>
    <w:p>
      <w:pPr>
        <w:pStyle w:val="20"/>
        <w:rPr>
          <w:rFonts w:hint="eastAsia"/>
        </w:rPr>
      </w:pPr>
      <w:r>
        <w:rPr>
          <w:rFonts w:hint="eastAsia"/>
        </w:rPr>
        <w:t>本基金于本期及上年度可比期间均未发生衍生工具收益。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2016年12月19日（基金合同生效日）至2016年12月31日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1,759,860.90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1,759,860.90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2016年12月19日（基金合同生效日）至2016年12月31日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-6,088,955.10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-251,252.42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-679,234.26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97,701.00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-5,409,720.84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-348,953.42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-6,088,955.10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-251,252.42</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2016年12月19日（基金合同生效日）至2016年12月31日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145,828.47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145,828.47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2016年12月19日（基金合同生效日）至2016年12月31日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739,266.79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19,210.61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751,446.79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19,210.61</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2016年12月19日（基金合同生效日）至2016年12月31日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27,983.48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227,183.48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rPr>
          <w:rFonts w:hint="eastAsia"/>
        </w:rPr>
      </w:pPr>
      <w:r>
        <w:rPr>
          <w:rFonts w:hint="eastAsia"/>
        </w:rPr>
        <w:t>  截至资产负债表日，本基金并无须作披露的或有事项。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rPr>
          <w:rFonts w:hint="eastAsia"/>
        </w:rPr>
      </w:pPr>
      <w:r>
        <w:rPr>
          <w:rFonts w:hint="eastAsia"/>
        </w:rPr>
        <w:t>  截至本财务报表批准报出日，本基金无须作披露的资产负债表日后事项。</w:t>
      </w:r>
    </w:p>
    <w:p>
      <w:pPr>
        <w:widowControl/>
        <w:jc w:val="left"/>
        <w:rPr>
          <w:rFonts w:hint="eastAsia" w:ascii="宋体" w:hAnsi="宋体" w:cs="宋体"/>
          <w:kern w:val="0"/>
          <w:sz w:val="24"/>
          <w:szCs w:val="24"/>
        </w:rPr>
      </w:pPr>
    </w:p>
    <w:p>
      <w:pPr>
        <w:pStyle w:val="15"/>
        <w:rPr>
          <w:rFonts w:hint="eastAsia"/>
        </w:rPr>
      </w:pPr>
      <w:r>
        <w:rPr>
          <w:rFonts w:hint="eastAsia"/>
          <w:b/>
          <w:bCs/>
        </w:rPr>
        <w:t>7.4.9 关联方关系</w:t>
      </w:r>
    </w:p>
    <w:p>
      <w:pPr>
        <w:pStyle w:val="20"/>
        <w:rPr>
          <w:rFonts w:hint="eastAsia"/>
        </w:rPr>
      </w:pPr>
      <w:r>
        <w:rPr>
          <w:rFonts w:hint="eastAsia"/>
        </w:rPr>
        <w:t>  本报告期不存在重大关联方发生变化的情况。</w:t>
      </w:r>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4821"/>
        <w:gridCol w:w="4377"/>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招商银行股份有限公司(“招商银行”)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110"/>
        <w:gridCol w:w="1642"/>
        <w:gridCol w:w="998"/>
        <w:gridCol w:w="2184"/>
      </w:tblGrid>
      <w:tr>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2016年12月19日（基金合同生效日）至2016年12月31日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380,840,762.27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本基金本报告期内及上年度可比期间内无通过关联方交易单元进行的权证交易。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0"/>
        <w:gridCol w:w="994"/>
        <w:gridCol w:w="1647"/>
        <w:gridCol w:w="1386"/>
        <w:gridCol w:w="1908"/>
      </w:tblGrid>
      <w:tr>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275,842.81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43,123.21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87.15%</w:t>
            </w:r>
          </w:p>
        </w:tc>
      </w:tr>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2016年12月19日至2016年12月31日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gridSpan w:val="5"/>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20"/>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7.4.10.1.4 债券交易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078"/>
        <w:gridCol w:w="1786"/>
        <w:gridCol w:w="901"/>
        <w:gridCol w:w="2169"/>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2016年12月19日（基金合同生效日）至2016年12月31日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537,161,932.63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7.4.10.1.5 债券回购交易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162"/>
        <w:gridCol w:w="1754"/>
        <w:gridCol w:w="891"/>
        <w:gridCol w:w="2127"/>
      </w:tblGrid>
      <w:tr>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2016年12月19日（基金合同生效日）至2016年12月31日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7,845,617,000.00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039"/>
        <w:gridCol w:w="317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2016年12月19日（基金合同生效日）至2016年12月31日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2,704,511.49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41,940.05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3,246.03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11.88</w:t>
            </w:r>
          </w:p>
        </w:tc>
      </w:tr>
    </w:tbl>
    <w:p>
      <w:pPr>
        <w:pStyle w:val="20"/>
        <w:rPr>
          <w:rFonts w:hint="eastAsia"/>
        </w:rPr>
      </w:pPr>
      <w:r>
        <w:rPr>
          <w:rFonts w:hint="eastAsia"/>
        </w:rPr>
        <w:t>注：本基金的管理费按前一日基金资产净值的0.60%年费率计提。管理费的计算方法如下：</w:t>
      </w:r>
      <w:r>
        <w:rPr>
          <w:rFonts w:hint="eastAsia"/>
        </w:rPr>
        <w:br w:type="textWrapping"/>
      </w:r>
      <w:r>
        <w:rPr>
          <w:rFonts w:hint="eastAsia"/>
        </w:rPr>
        <w:t>H＝E×0.60%÷当年天数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3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132"/>
        <w:gridCol w:w="3322"/>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2016年12月19日（基金合同生效日）至2016年12月31日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901,503.89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13,980.01</w:t>
            </w:r>
          </w:p>
        </w:tc>
      </w:tr>
    </w:tbl>
    <w:p>
      <w:pPr>
        <w:pStyle w:val="20"/>
        <w:rPr>
          <w:rFonts w:hint="eastAsia"/>
        </w:rPr>
      </w:pPr>
      <w:r>
        <w:rPr>
          <w:rFonts w:hint="eastAsia"/>
        </w:rPr>
        <w:t>注：本基金的托管费按前一日基金资产净值的0.2%的年费率计提。托管费的计算方法如下：</w:t>
      </w:r>
      <w:r>
        <w:rPr>
          <w:rFonts w:hint="eastAsia"/>
        </w:rPr>
        <w:br w:type="textWrapping"/>
      </w:r>
      <w:r>
        <w:rPr>
          <w:rFonts w:hint="eastAsia"/>
        </w:rPr>
        <w:t>H＝E×0.2%÷当年天数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26"/>
        <w:gridCol w:w="2464"/>
        <w:gridCol w:w="2464"/>
        <w:gridCol w:w="1591"/>
      </w:tblGrid>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创金合信鑫收益A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创金合信鑫收益C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30,434.95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30,434.95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30,434.95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30,434.95</w:t>
            </w:r>
          </w:p>
        </w:tc>
      </w:tr>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2016年12月19日（基金合同生效日）至2016年12月31日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创金合信鑫收益A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创金合信鑫收益C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1,509.33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1,509.33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1,509.33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1,509.33</w:t>
            </w:r>
          </w:p>
        </w:tc>
      </w:tr>
    </w:tbl>
    <w:p>
      <w:pPr>
        <w:pStyle w:val="20"/>
        <w:rPr>
          <w:rFonts w:hint="eastAsia"/>
        </w:rPr>
      </w:pPr>
      <w:r>
        <w:rPr>
          <w:rFonts w:hint="eastAsia"/>
        </w:rPr>
        <w:t>注：支付基金销售机构的销售服务费按前一日C类基金的基金资产净值0.2%的年费率计提，逐日累计至每月月底，按月支付给创金合信基金管理有限公司，再由创金合信基金管理有限公司计算并支付给各基金销售机构。其计算公式为：日销售服务费＝C类基金前一日基金资产净值×0.2%/当年天数。</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本基金本报告期及上年度可比期间均未与关联方进行银行间同业市场的债券（含回购）交易。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20"/>
        <w:rPr>
          <w:rFonts w:hint="eastAsia"/>
        </w:rPr>
      </w:pPr>
      <w:r>
        <w:rPr>
          <w:rFonts w:hint="eastAsia"/>
        </w:rPr>
        <w:t>本报告期及上年度可比期间内无基金管理人运用固有资金投资本基金的情况。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631"/>
        <w:gridCol w:w="1252"/>
        <w:gridCol w:w="1252"/>
        <w:gridCol w:w="2016"/>
        <w:gridCol w:w="1894"/>
      </w:tblGrid>
      <w:tr>
        <w:tblPrEx>
          <w:tblCellMar>
            <w:top w:w="0" w:type="dxa"/>
            <w:left w:w="108" w:type="dxa"/>
            <w:bottom w:w="0" w:type="dxa"/>
            <w:right w:w="108" w:type="dxa"/>
          </w:tblCellMar>
        </w:tblPrEx>
        <w:trPr>
          <w:wBefore w:w="0" w:type="auto"/>
        </w:trPr>
        <w:tc>
          <w:tcPr>
            <w:tcW w:w="18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360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2016年12月19日（基金合同生效日）至2016年12月31日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3,929,377.33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121,199.44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33,623,269.02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29,075.16</w:t>
            </w:r>
          </w:p>
        </w:tc>
      </w:tr>
    </w:tbl>
    <w:p>
      <w:pPr>
        <w:pStyle w:val="20"/>
        <w:rPr>
          <w:rFonts w:hint="eastAsia"/>
        </w:rPr>
      </w:pPr>
      <w:r>
        <w:rPr>
          <w:rFonts w:hint="eastAsia"/>
        </w:rPr>
        <w:t>注：本基金的银行存款由基金托管人招商银行保管，按金融机构同业存款利率计息。</w:t>
      </w: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本基金本报告期及上年度可比期间均未在承销期内参与关联方承销证券。</w:t>
      </w:r>
    </w:p>
    <w:p>
      <w:pPr>
        <w:pStyle w:val="15"/>
        <w:rPr>
          <w:rFonts w:hint="eastAsia"/>
        </w:rPr>
      </w:pPr>
      <w:r>
        <w:rPr>
          <w:rFonts w:hint="eastAsia"/>
          <w:b/>
          <w:bCs/>
        </w:rPr>
        <w:t>7.4.10.7 其他关联交易事项的说明</w:t>
      </w:r>
    </w:p>
    <w:p>
      <w:pPr>
        <w:pStyle w:val="20"/>
        <w:rPr>
          <w:rFonts w:hint="eastAsia"/>
        </w:rPr>
      </w:pPr>
      <w:r>
        <w:rPr>
          <w:rFonts w:hint="eastAsia"/>
        </w:rPr>
        <w:t>  本基金本报告期内购买基金托管人招商银行发行的同业存单金额为39,651,052.58元，卖出基金托管人招商银行发行的同业存单金额为39,671,106.52元(上年度可比期间：无)，产生利息收入23,853.94元(上年度可比期间：无)，投资收益-3,800.00元(上年度可比期间：无)。截止2017年12月31日本基金未持有关联方发行的证券(2016年12月31日：同)。</w:t>
      </w: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pStyle w:val="15"/>
        <w:rPr>
          <w:rFonts w:hint="eastAsia"/>
        </w:rPr>
      </w:pPr>
      <w:r>
        <w:rPr>
          <w:rFonts w:hint="eastAsia"/>
          <w:b/>
          <w:bCs/>
        </w:rPr>
        <w:t>7.4.12 期末（2017年12月31日）本基金持有的流通受限证券</w:t>
      </w:r>
    </w:p>
    <w:p>
      <w:pPr>
        <w:pStyle w:val="15"/>
        <w:rPr>
          <w:rFonts w:hint="eastAsia"/>
        </w:rPr>
      </w:pPr>
      <w:r>
        <w:rPr>
          <w:rFonts w:hint="eastAsia"/>
          <w:b/>
          <w:bCs/>
        </w:rPr>
        <w:t>7.4.12.1 因认购新发/增发证券而于期末持有的流通受限证券</w:t>
      </w:r>
    </w:p>
    <w:p>
      <w:pPr>
        <w:pStyle w:val="20"/>
        <w:rPr>
          <w:rFonts w:hint="eastAsia"/>
        </w:rPr>
      </w:pPr>
      <w:r>
        <w:rPr>
          <w:rFonts w:hint="eastAsia"/>
        </w:rPr>
        <w:t>本基金本期末无因认购新发/增发证券而于期末持有的流通受限证券。</w:t>
      </w:r>
    </w:p>
    <w:p>
      <w:pPr>
        <w:pStyle w:val="15"/>
        <w:rPr>
          <w:rFonts w:hint="eastAsia"/>
        </w:rPr>
      </w:pPr>
      <w:r>
        <w:rPr>
          <w:rFonts w:hint="eastAsia"/>
          <w:b/>
          <w:bCs/>
        </w:rPr>
        <w:t>7.4.12.2 期末持有的暂时停牌等流通受限股票</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00"/>
        <w:gridCol w:w="800"/>
        <w:gridCol w:w="800"/>
        <w:gridCol w:w="800"/>
        <w:gridCol w:w="801"/>
        <w:gridCol w:w="801"/>
        <w:gridCol w:w="801"/>
        <w:gridCol w:w="1192"/>
        <w:gridCol w:w="801"/>
        <w:gridCol w:w="801"/>
        <w:gridCol w:w="801"/>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万达电影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2,989,200.00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2,758,120.00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截至本报告期末2017年12月31日止，本基金从事银行间市场债券正回购交易形成的卖出回购证券款余额为0，无抵押债券。</w:t>
      </w:r>
    </w:p>
    <w:p>
      <w:pPr>
        <w:pStyle w:val="15"/>
        <w:rPr>
          <w:rFonts w:hint="eastAsia"/>
        </w:rPr>
      </w:pPr>
      <w:r>
        <w:rPr>
          <w:rFonts w:hint="eastAsia"/>
          <w:b/>
          <w:bCs/>
        </w:rPr>
        <w:t>7.4.12.3.2 交易所市场债券正回购</w:t>
      </w:r>
    </w:p>
    <w:p>
      <w:pPr>
        <w:pStyle w:val="20"/>
        <w:rPr>
          <w:rFonts w:hint="eastAsia"/>
        </w:rPr>
      </w:pPr>
      <w:r>
        <w:rPr>
          <w:rFonts w:hint="eastAsia"/>
        </w:rPr>
        <w:t>  截至本报告期末2017年12月31日止，基金从事证券交易所债券正回购交易形成的卖出回购证券款余额65,800,000.00元，于2018年1月2日、2018年1月10日先后到期。该类交易要求本基金在回购期内持有的证券交易所交易的债券和/或在新质押式回购下转入质押库的债券，按证券交易所规定的比例折算为标准券后，不低于债券回购交易的余额。</w:t>
      </w: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rPr>
          <w:rFonts w:hint="eastAsia"/>
        </w:rPr>
      </w:pPr>
      <w:r>
        <w:rPr>
          <w:rFonts w:hint="eastAsia"/>
        </w:rPr>
        <w:t>  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r>
        <w:rPr>
          <w:rFonts w:hint="eastAsia"/>
        </w:rPr>
        <w:br w:type="textWrapping"/>
      </w:r>
      <w:r>
        <w:rPr>
          <w:rFonts w:hint="eastAsia"/>
        </w:rPr>
        <w:t>  本基金的基金管理人奉行全面风险管理体系的建设，建立了以风控与审计委员会为核心的、由督察长、风险控制办公会、监察稽核部和相关业务部门构成的四级风险管理架构体系。</w:t>
      </w:r>
    </w:p>
    <w:p>
      <w:pPr>
        <w:pStyle w:val="15"/>
        <w:rPr>
          <w:rFonts w:hint="eastAsia"/>
        </w:rPr>
      </w:pPr>
      <w:r>
        <w:rPr>
          <w:rFonts w:hint="eastAsia"/>
          <w:b/>
          <w:bCs/>
        </w:rPr>
        <w:t>7.4.13.2 信用风险</w:t>
      </w:r>
    </w:p>
    <w:p>
      <w:pPr>
        <w:pStyle w:val="20"/>
        <w:rPr>
          <w:rFonts w:hint="eastAsia"/>
        </w:rPr>
      </w:pPr>
      <w:r>
        <w:rPr>
          <w:rFonts w:hint="eastAsia"/>
        </w:rPr>
        <w:t>  信用风险是指基金在交易过程中因交易对手未履行合约责任，或者基金所投资证券之发行人出现违约、拒绝支付到期本息等情况，导致基金资产损失和收益变化的风险。</w:t>
      </w:r>
      <w:r>
        <w:rPr>
          <w:rFonts w:hint="eastAsia"/>
        </w:rPr>
        <w:br w:type="textWrapping"/>
      </w:r>
      <w:r>
        <w:rPr>
          <w:rFonts w:hint="eastAsia"/>
        </w:rPr>
        <w:t>  本基金的基金管理人在交易前对交易对手和债券的资信状况进行了充分的评估。本基金的活期银行存款存放在本基金的托管行招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r>
        <w:rPr>
          <w:rFonts w:hint="eastAsia"/>
        </w:rPr>
        <w:br w:type="textWrapping"/>
      </w:r>
      <w:r>
        <w:rPr>
          <w:rFonts w:hint="eastAsia"/>
        </w:rPr>
        <w:t>  本基金的基金管理人建立了信用风险管理流程，通过对投资品种信用等级评估来控制证券发行人的信用风险，且通过分散化投资以分散信用风险。</w:t>
      </w:r>
      <w:r>
        <w:rPr>
          <w:rFonts w:hint="eastAsia"/>
        </w:rPr>
        <w:br w:type="textWrapping"/>
      </w:r>
      <w:r>
        <w:rPr>
          <w:rFonts w:hint="eastAsia"/>
        </w:rPr>
        <w:t>  本基金债券投资的信用评级情况按《中国人民银行信用评级管理指导意见》设定的标准统计及汇总。</w:t>
      </w:r>
    </w:p>
    <w:p>
      <w:pPr>
        <w:pStyle w:val="15"/>
        <w:rPr>
          <w:rFonts w:hint="eastAsia"/>
        </w:rPr>
      </w:pPr>
      <w:r>
        <w:rPr>
          <w:rFonts w:hint="eastAsia"/>
          <w:b/>
          <w:bCs/>
        </w:rPr>
        <w:t>7.4.13.2.1 按短期信用评级列示的债券投资</w:t>
      </w:r>
    </w:p>
    <w:p>
      <w:pPr>
        <w:pStyle w:val="24"/>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69,727,000.00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69,727,000.00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bl>
    <w:p>
      <w:pPr>
        <w:pStyle w:val="20"/>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2、未评级债券为期限在一年以内的国债、政策性金融债、央票及未有第三方机构评级的短期融资券、同业存单等债券。</w:t>
      </w:r>
      <w:r>
        <w:rPr>
          <w:rFonts w:hint="eastAsia"/>
        </w:rPr>
        <w:br w:type="textWrapping"/>
      </w:r>
      <w:r>
        <w:rPr>
          <w:rFonts w:hint="eastAsia"/>
        </w:rPr>
        <w:t>3、债券投资以净价列示 。</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5"/>
        <w:rPr>
          <w:rFonts w:hint="eastAsia"/>
        </w:rPr>
      </w:pPr>
      <w:r>
        <w:rPr>
          <w:rFonts w:hint="eastAsia"/>
          <w:b/>
          <w:bCs/>
        </w:rPr>
        <w:t>7.4.13.2.2 按长期信用评级列示的债券投资</w:t>
      </w:r>
    </w:p>
    <w:p>
      <w:pPr>
        <w:pStyle w:val="25"/>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77,642,894.20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40,394,000.00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145,908,458.63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223,551,352.83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40,394,000.00</w:t>
            </w:r>
          </w:p>
        </w:tc>
      </w:tr>
    </w:tbl>
    <w:p>
      <w:pPr>
        <w:pStyle w:val="20"/>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2、未评级债券为期限一年以上的国债、政策性金融债、央票及未有第三方机构评级的短期融资券、同业存单等债券。</w:t>
      </w:r>
      <w:r>
        <w:rPr>
          <w:rFonts w:hint="eastAsia"/>
        </w:rPr>
        <w:br w:type="textWrapping"/>
      </w:r>
      <w:r>
        <w:rPr>
          <w:rFonts w:hint="eastAsia"/>
        </w:rPr>
        <w:t>3、债券投资以净价列示。</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rPr>
          <w:rFonts w:hint="eastAsia"/>
        </w:rPr>
      </w:pPr>
      <w:r>
        <w:rPr>
          <w:rFonts w:hint="eastAsia"/>
        </w:rPr>
        <w:t>  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r>
        <w:rPr>
          <w:rFonts w:hint="eastAsia"/>
        </w:rPr>
        <w:br w:type="textWrapping"/>
      </w:r>
      <w:r>
        <w:rPr>
          <w:rFonts w:hint="eastAsia"/>
        </w:rPr>
        <w:t>  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r>
        <w:rPr>
          <w:rFonts w:hint="eastAsia"/>
        </w:rPr>
        <w:br w:type="textWrapping"/>
      </w:r>
      <w:r>
        <w:rPr>
          <w:rFonts w:hint="eastAsia"/>
        </w:rPr>
        <w:t>  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证券市值不超过基金资产净值的10%，且本基金与由本基金的基金管理人管理的其他基金共同持有一家上市公司发行的可流通股票不得超过该上市公司可流通股票的15%。本基金主动投资于流动性受限资产的市值合计不得超过基金资产净值的15%。本基金所持大部分证券在证券交易所上市，其余亦可在银行间同业市场交易，因此除附注7.4.12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r>
        <w:rPr>
          <w:rFonts w:hint="eastAsia"/>
        </w:rPr>
        <w:br w:type="textWrapping"/>
      </w:r>
      <w:r>
        <w:rPr>
          <w:rFonts w:hint="eastAsia"/>
        </w:rPr>
        <w:t>  于2017年12月31日，除卖出回购金融资产款余额中有65800000.00元将在1个月以内到期且计息(该利息金额不重大)外，本基金所承担的其他金融负债的合约约定到期日均为一个月以内且不计息，可赎回基金份额净值(所有者权益)无固定到期日且不计息，因此账面余额约为未折现的合约到期现金流量。</w:t>
      </w:r>
    </w:p>
    <w:p>
      <w:pPr>
        <w:pStyle w:val="15"/>
        <w:rPr>
          <w:rFonts w:hint="eastAsia"/>
        </w:rPr>
      </w:pPr>
      <w:r>
        <w:rPr>
          <w:rFonts w:hint="eastAsia"/>
          <w:b/>
          <w:bCs/>
        </w:rPr>
        <w:t>7.4.13.3.2 报告期内本基金组合资产的流动性风险分析</w:t>
      </w:r>
    </w:p>
    <w:p>
      <w:pPr>
        <w:widowControl/>
        <w:jc w:val="left"/>
        <w:rPr>
          <w:rFonts w:hint="eastAsia" w:ascii="宋体" w:hAnsi="宋体" w:cs="宋体"/>
          <w:kern w:val="0"/>
          <w:sz w:val="24"/>
          <w:szCs w:val="24"/>
        </w:rPr>
      </w:pPr>
      <w:r>
        <w:rPr>
          <w:rFonts w:hint="eastAsia" w:ascii="宋体" w:hAnsi="宋体" w:cs="宋体"/>
          <w:kern w:val="0"/>
          <w:sz w:val="24"/>
          <w:szCs w:val="24"/>
        </w:rPr>
        <w:t>  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r>
        <w:rPr>
          <w:rFonts w:hint="eastAsia" w:ascii="宋体" w:hAnsi="宋体" w:cs="宋体"/>
          <w:kern w:val="0"/>
          <w:sz w:val="24"/>
          <w:szCs w:val="24"/>
        </w:rPr>
        <w:br w:type="textWrapping"/>
      </w:r>
      <w:r>
        <w:rPr>
          <w:rFonts w:hint="eastAsia" w:ascii="宋体" w:hAnsi="宋体" w:cs="宋体"/>
          <w:kern w:val="0"/>
          <w:sz w:val="24"/>
          <w:szCs w:val="24"/>
        </w:rPr>
        <w:t>  本基金的基金管理人每日对基金组合资产中7个工作日可变现资产的可变现价值进行审慎评估与测算，确保每日确认的净赎回申请不得超过7个工作日可变现资产的可变现价值。于2017年12月31日，本基金组合资产中7个工作日可变现资产的账面价值为348037667.05元，超过经确认的当日净赎回金额。于2017年12月31日，本基金持有的流动性受限资产的估值占基金资产净值的比例为0.93%，未超过15%。</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同时，本基金的基金管理人通过合理分散逆回购交易的到期日与交易对手的集中度。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综合上述各项流动性指标的监测结果及流动性风险管理措施的实施，本基金在本报告期内流动性情况良好。</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xml:space="preserve">  注：流动性受限资产、7个工作日可变现资产的计算口径见《公开募集开放式证券投资基金流动性风险管理规定》第四十条。 </w:t>
      </w:r>
    </w:p>
    <w:p>
      <w:pPr>
        <w:pStyle w:val="15"/>
        <w:rPr>
          <w:rFonts w:hint="eastAsia"/>
        </w:rPr>
      </w:pPr>
      <w:r>
        <w:rPr>
          <w:rFonts w:hint="eastAsia"/>
          <w:b/>
          <w:bCs/>
        </w:rPr>
        <w:t>7.4.13.4 市场风险</w:t>
      </w:r>
    </w:p>
    <w:p>
      <w:pPr>
        <w:pStyle w:val="20"/>
        <w:rPr>
          <w:rFonts w:hint="eastAsia"/>
        </w:rPr>
      </w:pPr>
      <w:r>
        <w:rPr>
          <w:rFonts w:hint="eastAsia"/>
        </w:rPr>
        <w:t>  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rPr>
          <w:rFonts w:hint="eastAsia"/>
        </w:rPr>
      </w:pPr>
      <w:r>
        <w:rPr>
          <w:rFonts w:hint="eastAsia"/>
        </w:rPr>
        <w:t>  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r>
        <w:rPr>
          <w:rFonts w:hint="eastAsia"/>
        </w:rPr>
        <w:br w:type="textWrapping"/>
      </w:r>
      <w:r>
        <w:rPr>
          <w:rFonts w:hint="eastAsia"/>
        </w:rPr>
        <w:t>  本基金的基金管理人定期对本基金面临的利率敏感性缺口进行监控，并通过调整投资组合的久期等方法对上述利率风险进行管理。</w:t>
      </w:r>
      <w:r>
        <w:rPr>
          <w:rFonts w:hint="eastAsia"/>
        </w:rPr>
        <w:br w:type="textWrapping"/>
      </w:r>
      <w:r>
        <w:rPr>
          <w:rFonts w:hint="eastAsia"/>
        </w:rPr>
        <w:t>  本基金主要投资于交易所及银行间市场交易的固定收益品种，因此存在相应的利率风险。</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087"/>
        <w:gridCol w:w="1441"/>
        <w:gridCol w:w="1359"/>
        <w:gridCol w:w="1359"/>
        <w:gridCol w:w="1359"/>
        <w:gridCol w:w="1440"/>
      </w:tblGrid>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3,929,377.33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3,929,377.33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892,179.65</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892,179.65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78,553.81</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78,553.81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157,216,972.03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68,923,684.30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67,137,696.50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8,387,920.00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301,666,272.83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50,786,626.88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50,786,626.88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306,866.75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306,866.75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4,375,016.08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4,375,016.08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212,903,709.70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68,923,684.30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67,137,696.50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13,069,802.83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362,034,893.33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卖出回购金融资产款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65,800,000.00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65,800,000.00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1,017.47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1,017.47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171,089.47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171,089.47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57,029.83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57,029.83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495.79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495.79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56,908.44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56,908.44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102,745.52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102,745.52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65,800,000.00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563,286.52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66,363,286.52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147,103,709.70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68,923,684.30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67,137,696.50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12,506,516.31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295,671,606.81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183,623,269.02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183,623,269.02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40,394,000.00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18,601,350.00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58,995,350.00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608,447.10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608,447.10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183,623,269.02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40,394,000.00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19,209,797.10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243,227,066.12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21,000,000.00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21,000,000.00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9,011,013.35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9,011,013.35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41,940.05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41,940.05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13,980.01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13,980.01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1,512.21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1,512.21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17,222.96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17,222.96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540.73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9,086,209.31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30,086,209.31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162,623,269.02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40,394,000.00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10,123,587.79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213,140,856.81</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20"/>
      </w:pPr>
      <w:r>
        <w:rPr>
          <w:rFonts w:hint="eastAsia"/>
        </w:rPr>
        <w:t>注：表中所示为本基金资产及负债的账面价值，并按照合约规定的利率重新定价日或到期日孰早者予以分类。</w:t>
      </w:r>
    </w:p>
    <w:p>
      <w:pPr>
        <w:pStyle w:val="15"/>
        <w:rPr>
          <w:rFonts w:hint="eastAsia"/>
        </w:rPr>
      </w:pPr>
      <w:r>
        <w:rPr>
          <w:rFonts w:hint="eastAsia"/>
          <w:b/>
          <w:bCs/>
        </w:rPr>
        <w:t>7.4.13.4.1.2 利率风险的敏感性分析</w:t>
      </w:r>
    </w:p>
    <w:tbl>
      <w:tblPr>
        <w:tblStyle w:val="7"/>
        <w:tblW w:w="9120" w:type="dxa"/>
        <w:tblInd w:w="108" w:type="dxa"/>
        <w:tblLayout w:type="autofit"/>
        <w:tblCellMar>
          <w:top w:w="0" w:type="dxa"/>
          <w:left w:w="108" w:type="dxa"/>
          <w:bottom w:w="0" w:type="dxa"/>
          <w:right w:w="108" w:type="dxa"/>
        </w:tblCellMar>
      </w:tblPr>
      <w:tblGrid>
        <w:gridCol w:w="1083"/>
        <w:gridCol w:w="3421"/>
        <w:gridCol w:w="2308"/>
        <w:gridCol w:w="2308"/>
      </w:tblGrid>
      <w:tr>
        <w:tblPrEx>
          <w:tblCellMar>
            <w:top w:w="0" w:type="dxa"/>
            <w:left w:w="108" w:type="dxa"/>
            <w:bottom w:w="0" w:type="dxa"/>
            <w:right w:w="108" w:type="dxa"/>
          </w:tblCellMar>
        </w:tblPrEx>
        <w:trPr>
          <w:wBefore w:w="0" w:type="auto"/>
        </w:trPr>
        <w:tc>
          <w:tcPr>
            <w:tcW w:w="108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假设</w:t>
            </w:r>
          </w:p>
        </w:tc>
        <w:tc>
          <w:tcPr>
            <w:tcW w:w="7946"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除市场利率以外的其他市场变量保持不变</w:t>
            </w:r>
          </w:p>
        </w:tc>
      </w:tr>
      <w:tr>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-610,764.21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-170,792.79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615,692.32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171,937.39</w:t>
            </w:r>
          </w:p>
        </w:tc>
      </w:tr>
    </w:tbl>
    <w:p>
      <w:pPr>
        <w:pStyle w:val="15"/>
        <w:rPr>
          <w:rFonts w:hint="eastAsia"/>
        </w:rPr>
      </w:pPr>
      <w:r>
        <w:rPr>
          <w:rFonts w:hint="eastAsia"/>
          <w:b/>
          <w:bCs/>
        </w:rPr>
        <w:t>7.4.13.4.2 外汇风险</w:t>
      </w:r>
    </w:p>
    <w:p>
      <w:pPr>
        <w:pStyle w:val="20"/>
        <w:rPr>
          <w:rFonts w:hint="eastAsia"/>
        </w:rPr>
      </w:pPr>
      <w:r>
        <w:rPr>
          <w:rFonts w:hint="eastAsia"/>
        </w:rPr>
        <w:t>  外汇风险是指金融工具的公允价值或未来现金流量因外汇汇率变动而发生波动的风险。本基金的所有资产及负债以人民币计价，因此无重大外汇风险。</w:t>
      </w:r>
    </w:p>
    <w:p>
      <w:pPr>
        <w:pStyle w:val="15"/>
        <w:rPr>
          <w:rFonts w:hint="eastAsia"/>
        </w:rPr>
      </w:pPr>
      <w:r>
        <w:rPr>
          <w:rFonts w:hint="eastAsia"/>
          <w:b/>
          <w:bCs/>
        </w:rPr>
        <w:t>7.4.13.4.3 其他价格风险</w:t>
      </w:r>
    </w:p>
    <w:p>
      <w:pPr>
        <w:pStyle w:val="20"/>
        <w:rPr>
          <w:rFonts w:hint="eastAsia"/>
        </w:rPr>
      </w:pPr>
      <w:r>
        <w:rPr>
          <w:rFonts w:hint="eastAsia"/>
        </w:rPr>
        <w:t>  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r>
        <w:rPr>
          <w:rFonts w:hint="eastAsia"/>
        </w:rPr>
        <w:br w:type="textWrapping"/>
      </w:r>
      <w:r>
        <w:rPr>
          <w:rFonts w:hint="eastAsia"/>
        </w:rPr>
        <w:t>  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r>
        <w:rPr>
          <w:rFonts w:hint="eastAsia"/>
        </w:rPr>
        <w:br w:type="textWrapping"/>
      </w:r>
      <w:r>
        <w:rPr>
          <w:rFonts w:hint="eastAsia"/>
        </w:rPr>
        <w:t>  </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3249"/>
        <w:gridCol w:w="1806"/>
        <w:gridCol w:w="1083"/>
        <w:gridCol w:w="1171"/>
        <w:gridCol w:w="1736"/>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88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8,387,920.00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18,601,350.00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8.73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交易性金融资产-债券投资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8,387,920.00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18,601,350.00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8.73</w:t>
            </w:r>
          </w:p>
        </w:tc>
      </w:tr>
    </w:tbl>
    <w:p>
      <w:pPr>
        <w:pStyle w:val="15"/>
        <w:rPr>
          <w:rFonts w:hint="eastAsia"/>
        </w:rPr>
      </w:pPr>
      <w:r>
        <w:rPr>
          <w:rFonts w:hint="eastAsia"/>
          <w:b/>
          <w:bCs/>
        </w:rPr>
        <w:t>7.4.13.4.3.2 其他价格风险的敏感性分析</w:t>
      </w:r>
    </w:p>
    <w:p>
      <w:pPr>
        <w:pStyle w:val="20"/>
        <w:rPr>
          <w:rFonts w:hint="eastAsia"/>
        </w:rPr>
      </w:pPr>
      <w:r>
        <w:rPr>
          <w:rFonts w:hint="eastAsia"/>
        </w:rPr>
        <w:t>于2017年12月31日，本基金持有的交易性权益类投资公允价值占基金资产净值的比例为2.84%(2016 年12月31日：8.73%)，因此除市场利率和外汇汇率以外的市场价格因素的变动对于本基金资产净值无重大影响(2016 年12月31日：同)。</w:t>
      </w:r>
    </w:p>
    <w:p>
      <w:pPr>
        <w:pStyle w:val="15"/>
        <w:rPr>
          <w:rFonts w:hint="eastAsia"/>
        </w:rPr>
      </w:pPr>
      <w:r>
        <w:rPr>
          <w:rFonts w:hint="eastAsia"/>
          <w:b/>
          <w:bCs/>
        </w:rPr>
        <w:t>7.4.14 有助于理解和分析会计报表需要说明的其他事项</w:t>
      </w:r>
    </w:p>
    <w:p>
      <w:pPr>
        <w:pStyle w:val="20"/>
        <w:rPr>
          <w:rFonts w:hint="eastAsia"/>
        </w:rPr>
      </w:pPr>
      <w:r>
        <w:rPr>
          <w:rFonts w:hint="eastAsia"/>
        </w:rPr>
        <w:t>  （1）公允价值</w:t>
      </w:r>
      <w:r>
        <w:rPr>
          <w:rFonts w:hint="eastAsia"/>
        </w:rPr>
        <w:br w:type="textWrapping"/>
      </w:r>
      <w:r>
        <w:rPr>
          <w:rFonts w:hint="eastAsia"/>
        </w:rPr>
        <w:t>  (a)金融工具公允价值计量的方法</w:t>
      </w:r>
      <w:r>
        <w:rPr>
          <w:rFonts w:hint="eastAsia"/>
        </w:rPr>
        <w:br w:type="textWrapping"/>
      </w:r>
      <w:r>
        <w:rPr>
          <w:rFonts w:hint="eastAsia"/>
        </w:rPr>
        <w:t>  公允价值计量结果所属的层次，由对公允价值计量整体而言具有重要意义的输入值所属的最低层次决定：</w:t>
      </w:r>
      <w:r>
        <w:rPr>
          <w:rFonts w:hint="eastAsia"/>
        </w:rPr>
        <w:br w:type="textWrapping"/>
      </w:r>
      <w:r>
        <w:rPr>
          <w:rFonts w:hint="eastAsia"/>
        </w:rPr>
        <w:t>  第一层次：相同资产或负债在活跃市场上未经调整的报价。</w:t>
      </w:r>
      <w:r>
        <w:rPr>
          <w:rFonts w:hint="eastAsia"/>
        </w:rPr>
        <w:br w:type="textWrapping"/>
      </w:r>
      <w:r>
        <w:rPr>
          <w:rFonts w:hint="eastAsia"/>
        </w:rPr>
        <w:t>  第二层次：除第一层次输入值外相关资产或负债直接或间接可观察的输入值。</w:t>
      </w:r>
      <w:r>
        <w:rPr>
          <w:rFonts w:hint="eastAsia"/>
        </w:rPr>
        <w:br w:type="textWrapping"/>
      </w:r>
      <w:r>
        <w:rPr>
          <w:rFonts w:hint="eastAsia"/>
        </w:rPr>
        <w:t>  第三层次：相关资产或负债的不可观察输入值。</w:t>
      </w:r>
      <w:r>
        <w:rPr>
          <w:rFonts w:hint="eastAsia"/>
        </w:rPr>
        <w:br w:type="textWrapping"/>
      </w:r>
      <w:r>
        <w:rPr>
          <w:rFonts w:hint="eastAsia"/>
        </w:rPr>
        <w:t>  (b)持续的以公允价值计量的金融工具</w:t>
      </w:r>
      <w:r>
        <w:rPr>
          <w:rFonts w:hint="eastAsia"/>
        </w:rPr>
        <w:br w:type="textWrapping"/>
      </w:r>
      <w:r>
        <w:rPr>
          <w:rFonts w:hint="eastAsia"/>
        </w:rPr>
        <w:t>  (i)各层次金融工具公允价值</w:t>
      </w:r>
      <w:r>
        <w:rPr>
          <w:rFonts w:hint="eastAsia"/>
        </w:rPr>
        <w:br w:type="textWrapping"/>
      </w:r>
      <w:r>
        <w:rPr>
          <w:rFonts w:hint="eastAsia"/>
        </w:rPr>
        <w:t>  于2017年12月31日，本基金持有的以公允价值计量且其变动计入当期损益的金融资产中属于第一层次的余额为52,791,496.50元，第二层次的余额为248,874,776.33元，无属于第三层次的余额（2016年12月31日：第一层次18,601,350.00元，第二层次40,394,000.00元，无属于第三层次的余额）。</w:t>
      </w:r>
      <w:r>
        <w:rPr>
          <w:rFonts w:hint="eastAsia"/>
        </w:rPr>
        <w:br w:type="textWrapping"/>
      </w:r>
      <w:r>
        <w:rPr>
          <w:rFonts w:hint="eastAsia"/>
        </w:rPr>
        <w:t>  (ii)公允价值所属层次间的重大变动</w:t>
      </w:r>
      <w:r>
        <w:rPr>
          <w:rFonts w:hint="eastAsia"/>
        </w:rPr>
        <w:br w:type="textWrapping"/>
      </w:r>
      <w:r>
        <w:rPr>
          <w:rFonts w:hint="eastAsia"/>
        </w:rPr>
        <w:t>  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r>
        <w:rPr>
          <w:rFonts w:hint="eastAsia"/>
        </w:rPr>
        <w:br w:type="textWrapping"/>
      </w:r>
      <w:r>
        <w:rPr>
          <w:rFonts w:hint="eastAsia"/>
        </w:rPr>
        <w:t>  本基金本期持有的以公允价值计量的金融工具的公允价值所属层次未发生重大变动。</w:t>
      </w:r>
      <w:r>
        <w:rPr>
          <w:rFonts w:hint="eastAsia"/>
        </w:rPr>
        <w:br w:type="textWrapping"/>
      </w:r>
      <w:r>
        <w:rPr>
          <w:rFonts w:hint="eastAsia"/>
        </w:rPr>
        <w:t>  (iii)第三层次公允价值余额和本期变动金额</w:t>
      </w:r>
      <w:r>
        <w:rPr>
          <w:rFonts w:hint="eastAsia"/>
        </w:rPr>
        <w:br w:type="textWrapping"/>
      </w:r>
      <w:r>
        <w:rPr>
          <w:rFonts w:hint="eastAsia"/>
        </w:rPr>
        <w:t>  无。</w:t>
      </w:r>
      <w:r>
        <w:rPr>
          <w:rFonts w:hint="eastAsia"/>
        </w:rPr>
        <w:br w:type="textWrapping"/>
      </w:r>
      <w:r>
        <w:rPr>
          <w:rFonts w:hint="eastAsia"/>
        </w:rPr>
        <w:t>  (c)非持续的以公允价值计量的金融工具</w:t>
      </w:r>
      <w:r>
        <w:rPr>
          <w:rFonts w:hint="eastAsia"/>
        </w:rPr>
        <w:br w:type="textWrapping"/>
      </w:r>
      <w:r>
        <w:rPr>
          <w:rFonts w:hint="eastAsia"/>
        </w:rPr>
        <w:t>  于2017年12月31日，本基金未持有非持续的以公允价值计量的金融资产（2016年12月31日：同)。</w:t>
      </w:r>
      <w:r>
        <w:rPr>
          <w:rFonts w:hint="eastAsia"/>
        </w:rPr>
        <w:br w:type="textWrapping"/>
      </w:r>
      <w:r>
        <w:rPr>
          <w:rFonts w:hint="eastAsia"/>
        </w:rPr>
        <w:t>  (d)不以公允价值计量的金融工具</w:t>
      </w:r>
      <w:r>
        <w:rPr>
          <w:rFonts w:hint="eastAsia"/>
        </w:rPr>
        <w:br w:type="textWrapping"/>
      </w:r>
      <w:r>
        <w:rPr>
          <w:rFonts w:hint="eastAsia"/>
        </w:rPr>
        <w:t>  不以公允价值计量的金融资产和负债主要包括应收款项和其他金融负债，其账面价值与公允价值相差很小。</w:t>
      </w:r>
      <w:r>
        <w:rPr>
          <w:rFonts w:hint="eastAsia"/>
        </w:rPr>
        <w:br w:type="textWrapping"/>
      </w:r>
      <w:r>
        <w:rPr>
          <w:rFonts w:hint="eastAsia"/>
        </w:rPr>
        <w:t>  (2)增值税</w:t>
      </w:r>
      <w:r>
        <w:rPr>
          <w:rFonts w:hint="eastAsia"/>
        </w:rPr>
        <w:br w:type="textWrapping"/>
      </w:r>
      <w:r>
        <w:rPr>
          <w:rFonts w:hint="eastAsia"/>
        </w:rPr>
        <w:t>  根据财政部、国家税务总局于2016年12月21日颁布的财税[2016]140号《关于明确金融 房地产开发 教育辅助服务等增值税政策的通知》的规定，资管产品运营过程中发生的增值税应税行为，以资管产品管理人为增值税纳税人。</w:t>
      </w:r>
      <w:r>
        <w:rPr>
          <w:rFonts w:hint="eastAsia"/>
        </w:rPr>
        <w:br w:type="textWrapping"/>
      </w:r>
      <w:r>
        <w:rPr>
          <w:rFonts w:hint="eastAsia"/>
        </w:rPr>
        <w:t>  根据财政部、国家税务总局于2017年6月30日颁布的财税[2017]56号《关于资管产品增值税有关问题的通知》的规定，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r>
        <w:rPr>
          <w:rFonts w:hint="eastAsia"/>
        </w:rPr>
        <w:br w:type="textWrapping"/>
      </w:r>
      <w:r>
        <w:rPr>
          <w:rFonts w:hint="eastAsia"/>
        </w:rPr>
        <w:t>  此外，财政部、国家税务总局于2017年12月25日颁布的财税[2017]90号《关于租入固定资产进行税额抵扣等增值税政策的通知》对资管产品管理人自2018年1月1日起运营资管产品提供的贷款服务、发生的部分金融商品转让业务的销售额确定做出规定。</w:t>
      </w:r>
      <w:r>
        <w:rPr>
          <w:rFonts w:hint="eastAsia"/>
        </w:rPr>
        <w:br w:type="textWrapping"/>
      </w:r>
      <w:r>
        <w:rPr>
          <w:rFonts w:hint="eastAsia"/>
        </w:rPr>
        <w:t>  上述税收政策对本基金截至2017年12月31日止的财务状况和经营成果无影响。</w:t>
      </w:r>
      <w:r>
        <w:rPr>
          <w:rFonts w:hint="eastAsia"/>
        </w:rPr>
        <w:br w:type="textWrapping"/>
      </w:r>
      <w:r>
        <w:rPr>
          <w:rFonts w:hint="eastAsia"/>
        </w:rPr>
        <w:t>  (3)除公允价值和增值税外，截至资产负债表日本基金无需要说明的其他重要事项。</w:t>
      </w:r>
    </w:p>
    <w:p>
      <w:pPr>
        <w:pStyle w:val="13"/>
        <w:rPr>
          <w:rFonts w:hint="eastAsia"/>
        </w:rPr>
      </w:pPr>
      <w:bookmarkStart w:id="35" w:name="_Toc510107570"/>
      <w:r>
        <w:rPr>
          <w:rFonts w:hint="eastAsia" w:hAnsi="Calibri"/>
          <w:b/>
          <w:color w:val="000000"/>
        </w:rPr>
        <w:t>§8 投资组合报告</w:t>
      </w:r>
      <w:bookmarkEnd w:id="35"/>
    </w:p>
    <w:p>
      <w:pPr>
        <w:pStyle w:val="14"/>
        <w:rPr>
          <w:rFonts w:hint="eastAsia"/>
        </w:rPr>
      </w:pPr>
      <w:bookmarkStart w:id="36" w:name="_Toc510107571"/>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8,387,920.00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8,387,920.00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293,278,352.83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81.01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293,278,352.83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81.01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50,786,626.88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4,821,556.98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4,760,436.64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362,034,893.33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pStyle w:val="14"/>
        <w:rPr>
          <w:rFonts w:hint="eastAsia"/>
        </w:rPr>
      </w:pPr>
      <w:bookmarkStart w:id="37" w:name="_Toc510107572"/>
      <w:r>
        <w:rPr>
          <w:rFonts w:hint="eastAsia"/>
          <w:b/>
          <w:bCs/>
        </w:rPr>
        <w:t>8.2 报告期末按行业分类的股票投资组合</w:t>
      </w:r>
      <w:bookmarkEnd w:id="37"/>
    </w:p>
    <w:p>
      <w:pPr>
        <w:pStyle w:val="15"/>
        <w:rPr>
          <w:rFonts w:hint="eastAsia"/>
        </w:rPr>
      </w:pPr>
      <w:r>
        <w:rPr>
          <w:rFonts w:hint="eastAsia"/>
          <w:b/>
          <w:bCs/>
        </w:rPr>
        <w:t>8.2.1 报告期末按行业分类的境内股票投资组合</w:t>
      </w:r>
    </w:p>
    <w:tbl>
      <w:tblPr>
        <w:tblStyle w:val="7"/>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5,629,800.00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2,758,120.00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8,387,920.00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w:t>
            </w:r>
          </w:p>
        </w:tc>
      </w:tr>
    </w:tbl>
    <w:p>
      <w:pPr>
        <w:rPr>
          <w:vanish/>
        </w:rPr>
      </w:pPr>
    </w:p>
    <w:tbl>
      <w:tblPr>
        <w:tblStyle w:val="7"/>
        <w:tblW w:w="0" w:type="dxa"/>
        <w:tblInd w:w="108" w:type="dxa"/>
        <w:tblLayout w:type="autofit"/>
        <w:tblCellMar>
          <w:top w:w="0" w:type="dxa"/>
          <w:left w:w="0" w:type="dxa"/>
          <w:bottom w:w="0" w:type="dxa"/>
          <w:right w:w="0" w:type="dxa"/>
        </w:tblCellMar>
      </w:tblPr>
      <w:tblGrid>
        <w:gridCol w:w="6"/>
      </w:tblGrid>
      <w:tr>
        <w:tblPrEx>
          <w:tblCellMar>
            <w:top w:w="0" w:type="dxa"/>
            <w:left w:w="0" w:type="dxa"/>
            <w:bottom w:w="0" w:type="dxa"/>
            <w:right w:w="0" w:type="dxa"/>
          </w:tblCellMar>
        </w:tblPrEx>
        <w:trPr>
          <w:wBefore w:w="0" w:type="auto"/>
        </w:trPr>
        <w:tc>
          <w:tcPr>
            <w:tcW w:w="0" w:type="auto"/>
            <w:noWrap w:val="0"/>
            <w:vAlign w:val="center"/>
          </w:tcPr>
          <w:p>
            <w:pPr>
              <w:rPr>
                <w:rFonts w:hint="eastAsia" w:ascii="宋体" w:hAnsi="宋体" w:cs="宋体"/>
                <w:kern w:val="0"/>
                <w:sz w:val="24"/>
                <w:szCs w:val="24"/>
              </w:rPr>
            </w:pPr>
          </w:p>
        </w:tc>
      </w:tr>
    </w:tbl>
    <w:p>
      <w:pPr>
        <w:pStyle w:val="14"/>
      </w:pPr>
      <w:bookmarkStart w:id="38" w:name="_Toc510107573"/>
      <w:r>
        <w:rPr>
          <w:rFonts w:hint="eastAsia"/>
          <w:b/>
          <w:bCs/>
        </w:rPr>
        <w:t>8.3 期末按公允价值占基金资产净值比例大小排序的所有股票投资明细</w:t>
      </w:r>
      <w:bookmarkEnd w:id="38"/>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6"/>
        <w:gridCol w:w="1650"/>
        <w:gridCol w:w="1650"/>
        <w:gridCol w:w="1731"/>
        <w:gridCol w:w="1650"/>
        <w:gridCol w:w="16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万达电影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2,758,120.00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2,659,800.00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0.90</w:t>
            </w:r>
          </w:p>
        </w:tc>
      </w:tr>
    </w:tbl>
    <w:p>
      <w:pPr>
        <w:pStyle w:val="14"/>
        <w:rPr>
          <w:rFonts w:hint="eastAsia"/>
        </w:rPr>
      </w:pPr>
      <w:bookmarkStart w:id="39" w:name="_Toc510107574"/>
      <w:r>
        <w:rPr>
          <w:rFonts w:hint="eastAsia"/>
          <w:b/>
          <w:bCs/>
        </w:rPr>
        <w:t>8.4 报告期内股票投资组合的重大变动</w:t>
      </w:r>
      <w:bookmarkEnd w:id="39"/>
    </w:p>
    <w:p>
      <w:pPr>
        <w:pStyle w:val="15"/>
        <w:rPr>
          <w:rFonts w:hint="eastAsia"/>
        </w:rPr>
      </w:pPr>
      <w:r>
        <w:rPr>
          <w:rFonts w:hint="eastAsia"/>
          <w:b/>
          <w:bCs/>
        </w:rPr>
        <w:t>8.4.1 累计买入金额超出期初基金资产净值2%或前20名的股票明细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12,235,000.00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8,407,571.10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6,933,623.00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6,478,666.00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建设银行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6,450,660.00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6,024,000.00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5,308,488.00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山东钢铁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3,625,200.00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骆驼股份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3,543,428.50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3,509,750.00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3,485,150.00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3,151,500.00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中国人寿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3,119,600.00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金禾实业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3,113,770.00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中油资本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3,082,124.00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金河生物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江铃汽车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陕国投Ａ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3,049,800.00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w:t>
            </w:r>
          </w:p>
        </w:tc>
      </w:tr>
    </w:tbl>
    <w:p>
      <w:pPr>
        <w:pStyle w:val="20"/>
        <w:rPr>
          <w:rFonts w:hint="eastAsia"/>
        </w:rPr>
      </w:pPr>
      <w:r>
        <w:rPr>
          <w:rFonts w:hint="eastAsia"/>
        </w:rPr>
        <w:t>注：本期累计买入金额按买卖成交金额,不考虑相关交易费用。</w:t>
      </w:r>
    </w:p>
    <w:p>
      <w:pPr>
        <w:pStyle w:val="15"/>
        <w:rPr>
          <w:rFonts w:hint="eastAsia"/>
        </w:rPr>
      </w:pPr>
      <w:r>
        <w:rPr>
          <w:rFonts w:hint="eastAsia"/>
          <w:b/>
          <w:bCs/>
        </w:rPr>
        <w:t>8.4.2 累计卖出金额超出期初基金资产净值2%或前20名的股票明细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13,421,830.20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8,803,423.00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建设银行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7,736,349.00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6,908,099.00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6,780,866.00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6,761,345.00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5,738,400.00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5,233,491.00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中国人寿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4,382,964.26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鲁西化工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4,364,609.00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安信信托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4,104,524.00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河钢股份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4,065,600.00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4,032,253.70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新兴铸管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4,032,000.00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3,851,400.00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3,751,580.00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3,713,000.00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3,667,226.98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3,523,800.00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山东钢铁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3,434,500.00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w:t>
            </w:r>
          </w:p>
        </w:tc>
      </w:tr>
    </w:tbl>
    <w:p>
      <w:pPr>
        <w:pStyle w:val="20"/>
        <w:rPr>
          <w:rFonts w:hint="eastAsia"/>
        </w:rPr>
      </w:pPr>
      <w:r>
        <w:rPr>
          <w:rFonts w:hint="eastAsia"/>
        </w:rPr>
        <w:t>注：本期累计卖出金额按买卖成交金额,不考虑相关交易费用。</w:t>
      </w: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253,354,017.63</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278,132,648.21</w:t>
            </w:r>
          </w:p>
        </w:tc>
      </w:tr>
    </w:tbl>
    <w:p>
      <w:pPr>
        <w:pStyle w:val="20"/>
        <w:rPr>
          <w:rFonts w:hint="eastAsia"/>
        </w:rPr>
      </w:pPr>
      <w:r>
        <w:rPr>
          <w:rFonts w:hint="eastAsia"/>
        </w:rPr>
        <w:t>注：买入股票成本、卖出股票收入均按买卖成交金额填列，不考虑相关交易费用。</w:t>
      </w:r>
    </w:p>
    <w:p>
      <w:pPr>
        <w:pStyle w:val="14"/>
        <w:rPr>
          <w:rFonts w:hint="eastAsia"/>
        </w:rPr>
      </w:pPr>
      <w:bookmarkStart w:id="40" w:name="_Toc510107575"/>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19,986,000.00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19,986,000.00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157,392,513.40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53.23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30,199,000.00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48,045,880.80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19,542,000.00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18,112,958.63</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293,278,352.83</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99.19</w:t>
            </w:r>
          </w:p>
        </w:tc>
      </w:tr>
    </w:tbl>
    <w:p>
      <w:pPr>
        <w:pStyle w:val="14"/>
        <w:rPr>
          <w:rFonts w:hint="eastAsia"/>
        </w:rPr>
      </w:pPr>
      <w:bookmarkStart w:id="41" w:name="_Toc510107576"/>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800"/>
        <w:gridCol w:w="1634"/>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136103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15滇路01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299,990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29,597,013.40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136688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16鸿商01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29,106,000.00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136750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16荣盛01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113011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229,940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23,998,837.80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113013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国君转债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23,162,858.70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7.83</w:t>
            </w:r>
          </w:p>
        </w:tc>
      </w:tr>
    </w:tbl>
    <w:p>
      <w:pPr>
        <w:pStyle w:val="14"/>
        <w:rPr>
          <w:rFonts w:hint="eastAsia"/>
        </w:rPr>
      </w:pPr>
      <w:bookmarkStart w:id="42" w:name="_Toc510107577"/>
      <w:r>
        <w:rPr>
          <w:rFonts w:hint="eastAsia"/>
          <w:b/>
          <w:bCs/>
        </w:rPr>
        <w:t>8.7 期末按公允价值占基金资产净值比例大小排序的所有资产支持证券投资明细</w:t>
      </w:r>
      <w:bookmarkEnd w:id="42"/>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本基金本报告期末未持有资产支持证券。</w:t>
      </w:r>
    </w:p>
    <w:p>
      <w:pPr>
        <w:pStyle w:val="14"/>
        <w:rPr>
          <w:rFonts w:hint="eastAsia"/>
        </w:rPr>
      </w:pPr>
      <w:bookmarkStart w:id="43" w:name="_Toc510107578"/>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pStyle w:val="14"/>
        <w:rPr>
          <w:rFonts w:hint="eastAsia"/>
        </w:rPr>
      </w:pPr>
      <w:bookmarkStart w:id="44" w:name="_Toc510107579"/>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pStyle w:val="14"/>
        <w:rPr>
          <w:rFonts w:hint="eastAsia"/>
        </w:rPr>
      </w:pPr>
      <w:bookmarkStart w:id="45" w:name="_Toc510107580"/>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本基金本报告期末未持有股指期货。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bookmarkStart w:id="46" w:name="_Toc510107581"/>
      <w:r>
        <w:rPr>
          <w:rFonts w:hint="eastAsia"/>
          <w:b/>
          <w:bCs/>
        </w:rPr>
        <w:t>8.11 报告期末本基金投资的国债期货交易情况说明</w:t>
      </w:r>
      <w:bookmarkEnd w:id="46"/>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widowControl/>
              <w:jc w:val="left"/>
              <w:rPr>
                <w:rFonts w:hint="eastAsia" w:ascii="宋体" w:hAnsi="宋体" w:cs="宋体"/>
                <w:kern w:val="0"/>
                <w:sz w:val="24"/>
                <w:szCs w:val="24"/>
              </w:rPr>
            </w:pPr>
          </w:p>
        </w:tc>
      </w:tr>
    </w:tbl>
    <w:p>
      <w:pPr>
        <w:pStyle w:val="20"/>
      </w:pPr>
      <w:r>
        <w:rPr>
          <w:rFonts w:hint="eastAsia"/>
        </w:rPr>
        <w:t>本基金本报告期末未持有国债期货。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bookmarkStart w:id="47" w:name="_Toc510107582"/>
      <w:r>
        <w:rPr>
          <w:rFonts w:hint="eastAsia"/>
          <w:b/>
          <w:bCs/>
        </w:rPr>
        <w:t>8.12 投资组合报告附注</w:t>
      </w:r>
      <w:bookmarkEnd w:id="47"/>
    </w:p>
    <w:p>
      <w:pPr>
        <w:pStyle w:val="15"/>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78,553.81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306,866.75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4,375,016.08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4,760,436.64</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6"/>
        <w:gridCol w:w="2053"/>
        <w:gridCol w:w="2053"/>
        <w:gridCol w:w="2053"/>
        <w:gridCol w:w="209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113011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23,998,837.80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8.12</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8.12.5 期末前十名股票中存在流通受限情况的说明</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9"/>
        <w:gridCol w:w="1666"/>
        <w:gridCol w:w="1666"/>
        <w:gridCol w:w="1666"/>
        <w:gridCol w:w="1705"/>
        <w:gridCol w:w="166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流通受限部分的公允价值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流通受限情况说明</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万达电影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2,758,120.00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r>
        <w:rPr>
          <w:rFonts w:hint="eastAsia" w:ascii="宋体" w:hAnsi="宋体" w:cs="宋体"/>
          <w:kern w:val="0"/>
          <w:sz w:val="24"/>
          <w:szCs w:val="24"/>
        </w:rPr>
        <w:br w:type="textWrapping"/>
      </w:r>
      <w:r>
        <w:rPr>
          <w:rFonts w:hint="eastAsia" w:ascii="宋体" w:hAnsi="宋体" w:cs="宋体"/>
          <w:kern w:val="0"/>
          <w:sz w:val="24"/>
          <w:szCs w:val="24"/>
        </w:rPr>
        <w:br w:type="textWrapping"/>
      </w:r>
    </w:p>
    <w:p>
      <w:pPr>
        <w:pStyle w:val="13"/>
        <w:rPr>
          <w:rFonts w:hint="eastAsia"/>
        </w:rPr>
      </w:pPr>
      <w:bookmarkStart w:id="48" w:name="_Toc510107583"/>
      <w:r>
        <w:rPr>
          <w:rFonts w:hint="eastAsia" w:hAnsi="Calibri"/>
          <w:b/>
          <w:color w:val="000000"/>
        </w:rPr>
        <w:t>§9  基金份额持有人信息</w:t>
      </w:r>
      <w:bookmarkEnd w:id="48"/>
    </w:p>
    <w:p>
      <w:pPr>
        <w:pStyle w:val="14"/>
        <w:rPr>
          <w:rFonts w:hint="eastAsia"/>
        </w:rPr>
      </w:pPr>
      <w:bookmarkStart w:id="49" w:name="_Toc510107584"/>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jc w:val="center"/>
        <w:tblLayout w:type="autofit"/>
        <w:tblCellMar>
          <w:top w:w="0" w:type="dxa"/>
          <w:left w:w="108" w:type="dxa"/>
          <w:bottom w:w="0" w:type="dxa"/>
          <w:right w:w="108" w:type="dxa"/>
        </w:tblCellMar>
      </w:tblPr>
      <w:tblGrid>
        <w:gridCol w:w="904"/>
        <w:gridCol w:w="904"/>
        <w:gridCol w:w="1809"/>
        <w:gridCol w:w="1809"/>
        <w:gridCol w:w="905"/>
        <w:gridCol w:w="1809"/>
        <w:gridCol w:w="905"/>
      </w:tblGrid>
      <w:tr>
        <w:tblPrEx>
          <w:tblCellMar>
            <w:top w:w="0" w:type="dxa"/>
            <w:left w:w="108" w:type="dxa"/>
            <w:bottom w:w="0" w:type="dxa"/>
            <w:right w:w="108" w:type="dxa"/>
          </w:tblCellMar>
        </w:tblPrEx>
        <w:trPr>
          <w:wBefore w:w="0" w:type="auto"/>
          <w:jc w:val="center"/>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0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创金合信鑫收益A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1,747,687.73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283,094,494.09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30,918.65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创金合信鑫收益C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10,261.53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1,867,597.64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879,608.06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283,094,494.09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1,898,516.29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0.67%</w:t>
            </w:r>
          </w:p>
        </w:tc>
      </w:tr>
    </w:tbl>
    <w:p>
      <w:pPr>
        <w:widowControl/>
        <w:jc w:val="left"/>
        <w:rPr>
          <w:rFonts w:hint="eastAsia" w:ascii="宋体" w:hAnsi="宋体" w:cs="宋体"/>
          <w:kern w:val="0"/>
          <w:sz w:val="24"/>
          <w:szCs w:val="24"/>
        </w:rPr>
      </w:pPr>
    </w:p>
    <w:p>
      <w:pPr>
        <w:pStyle w:val="14"/>
        <w:rPr>
          <w:rFonts w:hint="eastAsia"/>
        </w:rPr>
      </w:pPr>
      <w:bookmarkStart w:id="50" w:name="_Toc510107585"/>
      <w:r>
        <w:rPr>
          <w:rFonts w:hint="eastAsia" w:hAnsi="Calibri"/>
          <w:b/>
          <w:color w:val="000000"/>
        </w:rPr>
        <w:t>9.2期末基金管理人的从业人员持有本基金的情况</w:t>
      </w:r>
      <w:bookmarkEnd w:id="50"/>
    </w:p>
    <w:tbl>
      <w:tblPr>
        <w:tblStyle w:val="7"/>
        <w:tblW w:w="9045" w:type="dxa"/>
        <w:jc w:val="center"/>
        <w:tblLayout w:type="autofit"/>
        <w:tblCellMar>
          <w:top w:w="0" w:type="dxa"/>
          <w:left w:w="108" w:type="dxa"/>
          <w:bottom w:w="0" w:type="dxa"/>
          <w:right w:w="108" w:type="dxa"/>
        </w:tblCellMar>
      </w:tblPr>
      <w:tblGrid>
        <w:gridCol w:w="3264"/>
        <w:gridCol w:w="1681"/>
        <w:gridCol w:w="2005"/>
        <w:gridCol w:w="2095"/>
      </w:tblGrid>
      <w:tr>
        <w:tblPrEx>
          <w:tblCellMar>
            <w:top w:w="0" w:type="dxa"/>
            <w:left w:w="108" w:type="dxa"/>
            <w:bottom w:w="0" w:type="dxa"/>
            <w:right w:w="108" w:type="dxa"/>
          </w:tblCellMar>
        </w:tblPrEx>
        <w:trPr>
          <w:wBefore w:w="0" w:type="auto"/>
          <w:jc w:val="center"/>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创金合信鑫收益A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26,284.05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创金合信鑫收益C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0.0400%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27,094.32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0.0100%</w:t>
            </w:r>
          </w:p>
        </w:tc>
      </w:tr>
    </w:tbl>
    <w:p>
      <w:pPr>
        <w:widowControl/>
        <w:jc w:val="left"/>
        <w:rPr>
          <w:rFonts w:hint="eastAsia" w:ascii="宋体" w:hAnsi="宋体" w:cs="宋体"/>
          <w:kern w:val="0"/>
          <w:sz w:val="24"/>
          <w:szCs w:val="24"/>
        </w:rPr>
      </w:pPr>
    </w:p>
    <w:p>
      <w:pPr>
        <w:pStyle w:val="14"/>
        <w:rPr>
          <w:rFonts w:hint="eastAsia"/>
        </w:rPr>
      </w:pPr>
      <w:bookmarkStart w:id="51" w:name="_Toc510107586"/>
      <w:r>
        <w:rPr>
          <w:rFonts w:hint="eastAsia"/>
          <w:b/>
          <w:bCs/>
        </w:rPr>
        <w:t>9.3期末基金管理人的从业人员持有本开放式基金份额总量区间情况</w:t>
      </w:r>
      <w:bookmarkEnd w:id="51"/>
    </w:p>
    <w:tbl>
      <w:tblPr>
        <w:tblStyle w:val="7"/>
        <w:tblW w:w="9045" w:type="dxa"/>
        <w:jc w:val="center"/>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jc w:val="center"/>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创金合信鑫收益A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创金合信鑫收益C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创金合信鑫收益A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创金合信鑫收益C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bl>
    <w:p>
      <w:pPr>
        <w:pStyle w:val="13"/>
        <w:rPr>
          <w:rFonts w:hint="eastAsia"/>
        </w:rPr>
      </w:pPr>
      <w:bookmarkStart w:id="52" w:name="_Toc510107587"/>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创金合信鑫收益A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创金合信鑫收益C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基金合同生效日(2016年12月19日)基金份额总额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190,098,275.45</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23,057,497.31</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190,098,275.45</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23,057,497.31</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293,146,331.71</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6,480,189.48</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200,119,194.42</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27,670,089.15</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283,125,412.74</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1,867,597.64</w:t>
            </w:r>
          </w:p>
        </w:tc>
      </w:tr>
    </w:tbl>
    <w:p>
      <w:pPr>
        <w:pStyle w:val="13"/>
        <w:rPr>
          <w:rFonts w:hint="eastAsia"/>
        </w:rPr>
      </w:pPr>
      <w:bookmarkStart w:id="53" w:name="_Toc510107588"/>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4"/>
        <w:rPr>
          <w:rFonts w:hint="eastAsia"/>
        </w:rPr>
      </w:pPr>
      <w:bookmarkStart w:id="54" w:name="_Toc510107589"/>
      <w:r>
        <w:rPr>
          <w:rFonts w:hint="eastAsia"/>
          <w:b/>
          <w:bCs/>
        </w:rPr>
        <w:t>11.1 基金份额持有人大会决议</w:t>
      </w:r>
      <w:bookmarkEnd w:id="54"/>
    </w:p>
    <w:p>
      <w:pPr>
        <w:pStyle w:val="20"/>
        <w:rPr>
          <w:rFonts w:hint="eastAsia"/>
        </w:rPr>
      </w:pPr>
      <w:r>
        <w:rPr>
          <w:rFonts w:hint="eastAsia"/>
        </w:rPr>
        <w:t>  本报告期内未召开基金份额持有人大会。</w:t>
      </w:r>
    </w:p>
    <w:p>
      <w:pPr>
        <w:pStyle w:val="14"/>
        <w:rPr>
          <w:rFonts w:hint="eastAsia"/>
        </w:rPr>
      </w:pPr>
      <w:bookmarkStart w:id="55" w:name="_Toc510107590"/>
      <w:r>
        <w:rPr>
          <w:rFonts w:hint="eastAsia"/>
          <w:b/>
          <w:bCs/>
        </w:rPr>
        <w:t>11.2 基金管理人、基金托管人的专门基金托管部门的重大人事变动</w:t>
      </w:r>
      <w:bookmarkEnd w:id="55"/>
    </w:p>
    <w:p>
      <w:pPr>
        <w:pStyle w:val="20"/>
        <w:rPr>
          <w:rFonts w:hint="eastAsia"/>
        </w:rPr>
      </w:pPr>
      <w:r>
        <w:rPr>
          <w:rFonts w:hint="eastAsia"/>
        </w:rPr>
        <w:t>  本报告期内基金管理人、基金托管人的专门基金托管部门无重大人事变动。</w:t>
      </w:r>
    </w:p>
    <w:p>
      <w:pPr>
        <w:pStyle w:val="14"/>
        <w:rPr>
          <w:rFonts w:hint="eastAsia"/>
        </w:rPr>
      </w:pPr>
      <w:bookmarkStart w:id="56" w:name="_Toc510107591"/>
      <w:r>
        <w:rPr>
          <w:rFonts w:hint="eastAsia"/>
          <w:b/>
          <w:bCs/>
        </w:rPr>
        <w:t>11.3 涉及基金管理人、基金财产、基金托管业务的诉讼</w:t>
      </w:r>
      <w:bookmarkEnd w:id="56"/>
    </w:p>
    <w:p>
      <w:pPr>
        <w:pStyle w:val="20"/>
        <w:rPr>
          <w:rFonts w:hint="eastAsia"/>
        </w:rPr>
      </w:pPr>
      <w:r>
        <w:rPr>
          <w:rFonts w:hint="eastAsia"/>
        </w:rPr>
        <w:t>  本报告期内，未出现涉及基金管理人、基金财产、基金托管业务的诉讼。</w:t>
      </w:r>
    </w:p>
    <w:p>
      <w:pPr>
        <w:pStyle w:val="14"/>
        <w:rPr>
          <w:rFonts w:hint="eastAsia"/>
        </w:rPr>
      </w:pPr>
      <w:bookmarkStart w:id="57" w:name="_Toc510107592"/>
      <w:r>
        <w:rPr>
          <w:rFonts w:hint="eastAsia"/>
          <w:b/>
          <w:bCs/>
        </w:rPr>
        <w:t>11.4 基金投资策略的改变</w:t>
      </w:r>
      <w:bookmarkEnd w:id="57"/>
    </w:p>
    <w:p>
      <w:pPr>
        <w:pStyle w:val="20"/>
        <w:rPr>
          <w:rFonts w:hint="eastAsia"/>
        </w:rPr>
      </w:pPr>
      <w:r>
        <w:rPr>
          <w:rFonts w:hint="eastAsia"/>
        </w:rPr>
        <w:t>  本报告期内基金投资策略无重大改变。</w:t>
      </w:r>
    </w:p>
    <w:p>
      <w:pPr>
        <w:pStyle w:val="14"/>
        <w:rPr>
          <w:rFonts w:hint="eastAsia"/>
        </w:rPr>
      </w:pPr>
      <w:bookmarkStart w:id="58" w:name="_Toc510107593"/>
      <w:r>
        <w:rPr>
          <w:rFonts w:hint="eastAsia"/>
          <w:b/>
          <w:bCs/>
        </w:rPr>
        <w:t>11.5 为基金进行审计的会计师事务所情况</w:t>
      </w:r>
      <w:bookmarkEnd w:id="58"/>
    </w:p>
    <w:p>
      <w:pPr>
        <w:pStyle w:val="20"/>
        <w:rPr>
          <w:rFonts w:hint="eastAsia"/>
        </w:rPr>
      </w:pPr>
      <w:r>
        <w:rPr>
          <w:rFonts w:hint="eastAsia"/>
        </w:rPr>
        <w:t>  本报告期内本基金未更换会计师事务所,本年度支付给普华永道中天会计师事务所(特殊普通合伙)审计费用65,000.00元,该审计机构连续提供审计服务的年限为1年。</w:t>
      </w:r>
    </w:p>
    <w:p>
      <w:pPr>
        <w:pStyle w:val="14"/>
        <w:rPr>
          <w:rFonts w:hint="eastAsia"/>
        </w:rPr>
      </w:pPr>
      <w:bookmarkStart w:id="59" w:name="_Toc510107594"/>
      <w:r>
        <w:rPr>
          <w:rFonts w:hint="eastAsia"/>
          <w:b/>
          <w:bCs/>
        </w:rPr>
        <w:t>11.6 管理人、托管人及其高级管理人员受稽查或处罚等情况</w:t>
      </w:r>
      <w:bookmarkEnd w:id="59"/>
    </w:p>
    <w:p>
      <w:pPr>
        <w:pStyle w:val="20"/>
        <w:rPr>
          <w:rFonts w:hint="eastAsia"/>
        </w:rPr>
      </w:pPr>
      <w:r>
        <w:rPr>
          <w:rFonts w:hint="eastAsia"/>
        </w:rPr>
        <w:t>  本报告期内，未出现管理人、托管人及其高级管理人员受监管部门稽查或处罚的情况。</w:t>
      </w:r>
    </w:p>
    <w:p>
      <w:pPr>
        <w:pStyle w:val="14"/>
        <w:rPr>
          <w:rFonts w:hint="eastAsia"/>
        </w:rPr>
      </w:pPr>
      <w:bookmarkStart w:id="60" w:name="_Toc510107595"/>
      <w:r>
        <w:rPr>
          <w:rFonts w:hint="eastAsia"/>
          <w:b/>
          <w:bCs/>
        </w:rPr>
        <w:t>11.7 基金租用证券公司交易单元的有关情况</w:t>
      </w:r>
      <w:bookmarkEnd w:id="60"/>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671"/>
        <w:gridCol w:w="1080"/>
        <w:gridCol w:w="1985"/>
        <w:gridCol w:w="1050"/>
        <w:gridCol w:w="1471"/>
        <w:gridCol w:w="1050"/>
        <w:gridCol w:w="738"/>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08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146,676,735.03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27.81%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134,366.54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380,840,762.27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275,842.81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本基金本报告期内无交易单元变更。</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671"/>
        <w:gridCol w:w="878"/>
        <w:gridCol w:w="1050"/>
        <w:gridCol w:w="946"/>
        <w:gridCol w:w="1050"/>
        <w:gridCol w:w="675"/>
        <w:gridCol w:w="1050"/>
        <w:gridCol w:w="675"/>
        <w:gridCol w:w="1050"/>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364,090,900.05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5,548,424,000.00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537,161,932.63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7,845,617,000.00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1" w:name="_Toc510107596"/>
      <w:r>
        <w:rPr>
          <w:rFonts w:hint="eastAsia"/>
          <w:b/>
          <w:bCs/>
        </w:rPr>
        <w:t>11.8 其他重大事件</w:t>
      </w:r>
      <w:bookmarkEnd w:id="61"/>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创金合信鑫收益灵活配置混合型证券投资基金开放日常申购、赎回、定期定额投资业务的公告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创金合信鑫收益灵活配置混合型证券投资基金2017年第1季度报告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创金合信鑫收益灵活配置混合型证券投资基金2017年第二季度报告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创金合信鑫收益灵活配置混合型证券投资基金（2017年第1号）招募说明书（更新）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创金合信鑫收益灵活配置混合型证券投资基金（2017年第1号）招募说明书（摘要）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创金合信鑫收益灵活配置混合型证券投资基金2017年半年度报告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创金合信鑫收益灵活配置混合型证券投资基金2017年半年度报告摘要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创金合信鑫收益灵活配置混合型证券投资基金2017年第3季度报告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创金合信基金管理有限公司关于增值税对资产管理产品影响告投资者通知书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2017-12-30</w:t>
            </w:r>
          </w:p>
        </w:tc>
      </w:tr>
    </w:tbl>
    <w:p>
      <w:pPr>
        <w:widowControl/>
        <w:jc w:val="left"/>
        <w:rPr>
          <w:rFonts w:hint="eastAsia" w:ascii="宋体" w:hAnsi="宋体" w:cs="宋体"/>
          <w:kern w:val="0"/>
          <w:sz w:val="24"/>
          <w:szCs w:val="24"/>
        </w:rPr>
      </w:pPr>
    </w:p>
    <w:p>
      <w:pPr>
        <w:pStyle w:val="13"/>
        <w:rPr>
          <w:rFonts w:hint="eastAsia"/>
        </w:rPr>
      </w:pPr>
      <w:bookmarkStart w:id="62" w:name="_Toc510107597"/>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3" w:name="_Toc510107598"/>
      <w:r>
        <w:rPr>
          <w:rFonts w:hint="eastAsia"/>
          <w:b/>
          <w:bCs/>
        </w:rPr>
        <w:t>12.1 报告期内单一投资者持有基金份额比例达到或超过20%的情况</w:t>
      </w:r>
      <w:bookmarkEnd w:id="63"/>
    </w:p>
    <w:tbl>
      <w:tblPr>
        <w:tblStyle w:val="7"/>
        <w:tblW w:w="10200" w:type="dxa"/>
        <w:tblInd w:w="108" w:type="dxa"/>
        <w:tblLayout w:type="autofit"/>
        <w:tblCellMar>
          <w:top w:w="0" w:type="dxa"/>
          <w:left w:w="108" w:type="dxa"/>
          <w:bottom w:w="0" w:type="dxa"/>
          <w:right w:w="108" w:type="dxa"/>
        </w:tblCellMar>
      </w:tblPr>
      <w:tblGrid>
        <w:gridCol w:w="472"/>
        <w:gridCol w:w="549"/>
        <w:gridCol w:w="1275"/>
        <w:gridCol w:w="1808"/>
        <w:gridCol w:w="1694"/>
        <w:gridCol w:w="1694"/>
        <w:gridCol w:w="1866"/>
        <w:gridCol w:w="842"/>
      </w:tblGrid>
      <w:tr>
        <w:tblPrEx>
          <w:tblCellMar>
            <w:top w:w="0" w:type="dxa"/>
            <w:left w:w="108" w:type="dxa"/>
            <w:bottom w:w="0" w:type="dxa"/>
            <w:right w:w="108" w:type="dxa"/>
          </w:tblCellMar>
        </w:tblPrEx>
        <w:trPr>
          <w:wBefore w:w="0" w:type="auto"/>
        </w:trPr>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b/>
                <w:color w:val="000000"/>
              </w:rPr>
              <w:t>投资者类别</w:t>
            </w:r>
          </w:p>
        </w:tc>
        <w:tc>
          <w:tcPr>
            <w:tcW w:w="350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报告期内持有基金份额变化情况</w:t>
            </w:r>
          </w:p>
        </w:tc>
        <w:tc>
          <w:tcPr>
            <w:tcW w:w="13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12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持有基金份额比例达到或者超过20%的时间区间</w:t>
            </w:r>
          </w:p>
        </w:tc>
        <w:tc>
          <w:tcPr>
            <w:tcW w:w="32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期初份额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申购份额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赎回份额</w:t>
            </w:r>
          </w:p>
        </w:tc>
        <w:tc>
          <w:tcPr>
            <w:tcW w:w="2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11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20170101-20171231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60,001,400.00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293,093,094.09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283,094,494.09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99.33%</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20170101-20170906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130,004,200.00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130,004,200.00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本基金在报告期内，存在报告期间单一投资者持有基金份额达到或超过20%的情形，可能会存在以下风险：</w:t>
            </w:r>
            <w:r>
              <w:rPr>
                <w:rFonts w:hint="eastAsia"/>
              </w:rPr>
              <w:br w:type="textWrapping"/>
            </w:r>
            <w:r>
              <w:rPr>
                <w:rFonts w:hint="eastAsia"/>
              </w:rPr>
              <w:t>  1、大额申购风险</w:t>
            </w:r>
            <w:r>
              <w:rPr>
                <w:rFonts w:hint="eastAsia"/>
              </w:rPr>
              <w:br w:type="textWrapping"/>
            </w:r>
            <w:r>
              <w:rPr>
                <w:rFonts w:hint="eastAsia"/>
              </w:rPr>
              <w:t>  在发生投资者大额申购时，若本基金所投资的标的资产未及时准备，则可能降低基金净值涨幅。</w:t>
            </w:r>
            <w:r>
              <w:rPr>
                <w:rFonts w:hint="eastAsia"/>
              </w:rPr>
              <w:br w:type="textWrapping"/>
            </w:r>
            <w:r>
              <w:rPr>
                <w:rFonts w:hint="eastAsia"/>
              </w:rPr>
              <w:t>  2、大额赎回风险</w:t>
            </w:r>
            <w:r>
              <w:rPr>
                <w:rFonts w:hint="eastAsia"/>
              </w:rPr>
              <w:br w:type="textWrapping"/>
            </w:r>
            <w:r>
              <w:rPr>
                <w:rFonts w:hint="eastAsia"/>
              </w:rPr>
              <w:t>  （1）若本基金在短时间内难以变现足够的资产予以应对，可能导致流动性风险；</w:t>
            </w:r>
            <w:r>
              <w:rPr>
                <w:rFonts w:hint="eastAsia"/>
              </w:rPr>
              <w:br w:type="textWrapping"/>
            </w:r>
            <w:r>
              <w:rPr>
                <w:rFonts w:hint="eastAsia"/>
              </w:rPr>
              <w:t>  （2）若持有基金份额比例达到或超过基金份额总额20%的单一投资者大额赎回引发巨额赎回，将可能对基金管理人的管理造成影响；</w:t>
            </w:r>
            <w:r>
              <w:rPr>
                <w:rFonts w:hint="eastAsia"/>
              </w:rPr>
              <w:br w:type="textWrapping"/>
            </w:r>
            <w:r>
              <w:rPr>
                <w:rFonts w:hint="eastAsia"/>
              </w:rPr>
              <w:t>  （3）基金管理人被迫大量卖出基金投资标的以赎回现金，可能使基金资产净值受到不利影响，影响基金的投资运作；</w:t>
            </w:r>
            <w:r>
              <w:rPr>
                <w:rFonts w:hint="eastAsia"/>
              </w:rPr>
              <w:br w:type="textWrapping"/>
            </w:r>
            <w:r>
              <w:rPr>
                <w:rFonts w:hint="eastAsia"/>
              </w:rPr>
              <w:t>  （4）因基金净值精度计算问题，可能因赎回费归入基金资产，导致基金净值有较大波动；</w:t>
            </w:r>
            <w:r>
              <w:rPr>
                <w:rFonts w:hint="eastAsia"/>
              </w:rPr>
              <w:br w:type="textWrapping"/>
            </w:r>
            <w:r>
              <w:rPr>
                <w:rFonts w:hint="eastAsia"/>
              </w:rPr>
              <w:t>  （5）大额赎回导致基金资产规模过小，不能满足存续条件，可能导致基金合同终止、清算等风险。</w:t>
            </w:r>
            <w:r>
              <w:rPr>
                <w:rFonts w:hint="eastAsia"/>
              </w:rPr>
              <w:br w:type="textWrapping"/>
            </w:r>
            <w:r>
              <w:rPr>
                <w:rFonts w:hint="eastAsia"/>
              </w:rPr>
              <w:t>  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4" w:name="_Toc510107599"/>
      <w:r>
        <w:rPr>
          <w:rFonts w:hint="eastAsia"/>
          <w:b/>
          <w:bCs/>
        </w:rPr>
        <w:t>12.2 影响投资者决策的其他重要信息</w:t>
      </w:r>
      <w:bookmarkEnd w:id="64"/>
    </w:p>
    <w:p>
      <w:pPr>
        <w:pStyle w:val="17"/>
        <w:rPr>
          <w:rFonts w:hint="eastAsia"/>
        </w:rPr>
      </w:pPr>
      <w:r>
        <w:rPr>
          <w:rFonts w:hint="eastAsia"/>
        </w:rPr>
        <w:t>  本报告期，未出现影响投资者决策的其他重要信息。</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5" w:name="_Toc510107600"/>
      <w:r>
        <w:rPr>
          <w:rFonts w:hint="eastAsia" w:hAnsi="Calibri"/>
          <w:b/>
          <w:color w:val="000000"/>
        </w:rPr>
        <w:t>§13  备查文件目录</w:t>
      </w:r>
      <w:bookmarkEnd w:id="65"/>
    </w:p>
    <w:p>
      <w:pPr>
        <w:widowControl/>
        <w:jc w:val="left"/>
        <w:rPr>
          <w:rFonts w:hint="eastAsia" w:ascii="宋体" w:hAnsi="宋体" w:cs="宋体"/>
          <w:kern w:val="0"/>
          <w:sz w:val="24"/>
          <w:szCs w:val="24"/>
        </w:rPr>
      </w:pPr>
    </w:p>
    <w:p>
      <w:pPr>
        <w:pStyle w:val="14"/>
        <w:rPr>
          <w:rFonts w:hint="eastAsia"/>
        </w:rPr>
      </w:pPr>
      <w:bookmarkStart w:id="66" w:name="_Toc510107601"/>
      <w:r>
        <w:rPr>
          <w:rFonts w:hint="eastAsia"/>
          <w:b/>
          <w:bCs/>
        </w:rPr>
        <w:t>13.1 备查文件目录</w:t>
      </w:r>
      <w:r>
        <w:rPr>
          <w:rFonts w:hint="eastAsia"/>
        </w:rPr>
        <w:t>.</w:t>
      </w:r>
      <w:bookmarkEnd w:id="66"/>
    </w:p>
    <w:p>
      <w:pPr>
        <w:pStyle w:val="20"/>
        <w:rPr>
          <w:rFonts w:hint="eastAsia"/>
        </w:rPr>
      </w:pPr>
      <w:r>
        <w:rPr>
          <w:rFonts w:hint="eastAsia"/>
        </w:rPr>
        <w:t>  1、《创金合信鑫收益灵活配置混合型证券投资基金基金合同》；</w:t>
      </w:r>
      <w:r>
        <w:rPr>
          <w:rFonts w:hint="eastAsia"/>
        </w:rPr>
        <w:br w:type="textWrapping"/>
      </w:r>
      <w:r>
        <w:rPr>
          <w:rFonts w:hint="eastAsia"/>
        </w:rPr>
        <w:t>  2、《创金合信鑫收益灵活配置混合型证券投资基金托管协议》；</w:t>
      </w:r>
      <w:r>
        <w:rPr>
          <w:rFonts w:hint="eastAsia"/>
        </w:rPr>
        <w:br w:type="textWrapping"/>
      </w:r>
      <w:r>
        <w:rPr>
          <w:rFonts w:hint="eastAsia"/>
        </w:rPr>
        <w:t>  3、创金合信鑫收益灵活配置混合型证券投资基金2017年年度报告</w:t>
      </w:r>
    </w:p>
    <w:p>
      <w:pPr>
        <w:pStyle w:val="14"/>
        <w:rPr>
          <w:rFonts w:hint="eastAsia"/>
        </w:rPr>
      </w:pPr>
      <w:bookmarkStart w:id="67" w:name="_Toc510107602"/>
      <w:r>
        <w:rPr>
          <w:rFonts w:hint="eastAsia"/>
          <w:b/>
          <w:bCs/>
        </w:rPr>
        <w:t>13.2 存放地点</w:t>
      </w:r>
      <w:bookmarkEnd w:id="67"/>
    </w:p>
    <w:p>
      <w:pPr>
        <w:pStyle w:val="20"/>
        <w:rPr>
          <w:rFonts w:hint="eastAsia"/>
        </w:rPr>
      </w:pPr>
      <w:r>
        <w:rPr>
          <w:rFonts w:hint="eastAsia"/>
        </w:rPr>
        <w:t>  深圳市福田中心区福华一路115号投行大厦15楼</w:t>
      </w:r>
    </w:p>
    <w:p>
      <w:pPr>
        <w:pStyle w:val="14"/>
        <w:rPr>
          <w:rFonts w:hint="eastAsia"/>
        </w:rPr>
      </w:pPr>
      <w:bookmarkStart w:id="68" w:name="_Toc510107603"/>
      <w:r>
        <w:rPr>
          <w:rFonts w:hint="eastAsia"/>
          <w:b/>
          <w:bCs/>
        </w:rPr>
        <w:t>13.3 查阅方式</w:t>
      </w:r>
      <w:bookmarkEnd w:id="68"/>
    </w:p>
    <w:p>
      <w:pPr>
        <w:pStyle w:val="20"/>
        <w:rPr>
          <w:rFonts w:hint="eastAsia"/>
        </w:rPr>
      </w:pPr>
      <w:r>
        <w:rPr>
          <w:rFonts w:hint="eastAsia"/>
        </w:rPr>
        <w:t>  www.cjhxfund.com</w:t>
      </w:r>
    </w:p>
    <w:p>
      <w:pPr>
        <w:widowControl/>
        <w:spacing w:after="240"/>
        <w:jc w:val="left"/>
        <w:rPr>
          <w:rFonts w:hint="eastAsia" w:ascii="宋体" w:hAnsi="宋体" w:cs="宋体"/>
          <w:kern w:val="0"/>
          <w:sz w:val="24"/>
          <w:szCs w:val="24"/>
        </w:rPr>
      </w:pPr>
      <w:r>
        <w:rPr>
          <w:rFonts w:hint="eastAsia" w:ascii="宋体" w:hAnsi="宋体" w:cs="宋体"/>
          <w:kern w:val="0"/>
          <w:sz w:val="24"/>
          <w:szCs w:val="24"/>
        </w:rPr>
        <w:br w:type="textWrapping"/>
      </w: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二〇一八年三月三十一日</w:t>
      </w:r>
    </w:p>
    <w:p>
      <w:pPr>
        <w:pStyle w:val="26"/>
        <w:autoSpaceDE w:val="0"/>
        <w:autoSpaceDN w:val="0"/>
        <w:adjustRightInd w:val="0"/>
        <w:spacing w:before="145" w:beforeAutospacing="0" w:after="0" w:afterAutospacing="0" w:line="288" w:lineRule="auto"/>
        <w:ind w:left="15"/>
        <w:jc w:val="right"/>
        <w:rPr>
          <w:rFonts w:hint="eastAsia"/>
          <w:b/>
        </w:rPr>
      </w:pPr>
    </w:p>
    <w:sectPr>
      <w:headerReference r:id="rId5" w:type="first"/>
      <w:footerReference r:id="rId8" w:type="first"/>
      <w:headerReference r:id="rId3" w:type="default"/>
      <w:footerReference r:id="rId6" w:type="default"/>
      <w:headerReference r:id="rId4" w:type="even"/>
      <w:footerReference r:id="rId7"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4</w:t>
    </w:r>
    <w:r>
      <w:rPr>
        <w:rStyle w:val="10"/>
      </w:rPr>
      <w:fldChar w:fldCharType="end"/>
    </w:r>
  </w:p>
  <w:p>
    <w:pPr>
      <w:pStyle w:val="2"/>
      <w:jc w:val="center"/>
    </w:pPr>
    <w:r>
      <w:rPr>
        <w:rFonts w:hint="eastAsia"/>
      </w:rPr>
      <w:t xml:space="preserve">                   第       页，共65页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rFonts w:hint="eastAsia"/>
      </w:rPr>
      <w:t>创金合信鑫收益灵活配置混合型证券投资基金2017年年度报告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73719"/>
    <w:rsid w:val="000B1661"/>
    <w:rsid w:val="002B065E"/>
    <w:rsid w:val="00527464"/>
    <w:rsid w:val="00573719"/>
    <w:rsid w:val="1BD7644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8"/>
    <w:unhideWhenUsed/>
    <w:uiPriority w:val="99"/>
    <w:pPr>
      <w:tabs>
        <w:tab w:val="center" w:pos="4153"/>
        <w:tab w:val="right" w:pos="8306"/>
      </w:tabs>
      <w:snapToGrid w:val="0"/>
      <w:jc w:val="left"/>
    </w:pPr>
    <w:rPr>
      <w:sz w:val="18"/>
      <w:szCs w:val="18"/>
    </w:rPr>
  </w:style>
  <w:style w:type="paragraph" w:styleId="3">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2465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5">
    <w:name w:val="$2474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6">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7">
    <w:name w:val="页眉 Char"/>
    <w:link w:val="3"/>
    <w:locked/>
    <w:uiPriority w:val="99"/>
    <w:rPr>
      <w:rFonts w:hint="default" w:ascii="Times New Roman" w:hAnsi="Times New Roman" w:cs="Times New Roman"/>
      <w:sz w:val="18"/>
      <w:szCs w:val="18"/>
    </w:rPr>
  </w:style>
  <w:style w:type="character" w:customStyle="1" w:styleId="28">
    <w:name w:val="页脚 Char"/>
    <w:link w:val="2"/>
    <w:locked/>
    <w:uiPriority w:val="99"/>
    <w:rPr>
      <w:rFonts w:hint="default" w:ascii="Times New Roman" w:hAnsi="Times New Roman" w:cs="Times New Roman"/>
      <w:sz w:val="18"/>
      <w:szCs w:val="18"/>
    </w:rPr>
  </w:style>
  <w:style w:type="character" w:customStyle="1" w:styleId="29">
    <w:name w:val="biaoge_left1"/>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64</Pages>
  <Words>7508</Words>
  <Characters>42798</Characters>
  <Lines>356</Lines>
  <Paragraphs>100</Paragraphs>
  <TotalTime>0</TotalTime>
  <ScaleCrop>false</ScaleCrop>
  <LinksUpToDate>false</LinksUpToDate>
  <CharactersWithSpaces>50206</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2018-03-29T09:22:00Z</dcterms:created>
  <dc:creator>贺祎琪</dc:creator>
  <cp:lastModifiedBy>Administrator</cp:lastModifiedBy>
  <dcterms:modified xsi:type="dcterms:W3CDTF">2019-12-26T14:09:20Z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