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69" w:name="_GoBack"/>
      <w:bookmarkEnd w:id="69"/>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创金合信量化多因子股票型证券投资基金</w:t>
      </w:r>
    </w:p>
    <w:p>
      <w:pPr>
        <w:widowControl/>
        <w:spacing w:before="240" w:after="120"/>
        <w:jc w:val="center"/>
        <w:rPr>
          <w:rFonts w:ascii="宋体" w:hAnsi="宋体"/>
          <w:b/>
          <w:color w:val="000000"/>
          <w:sz w:val="36"/>
        </w:rPr>
      </w:pPr>
    </w:p>
    <w:p>
      <w:pPr>
        <w:widowControl/>
        <w:spacing w:before="240" w:after="120"/>
        <w:jc w:val="center"/>
        <w:rPr>
          <w:rFonts w:ascii="黑体" w:hAnsi="黑体" w:eastAsia="黑体"/>
          <w:b/>
          <w:color w:val="000000"/>
          <w:sz w:val="36"/>
        </w:rPr>
      </w:pPr>
      <w:r>
        <w:rPr>
          <w:rFonts w:ascii="黑体" w:hAnsi="黑体" w:eastAsia="黑体"/>
          <w:b/>
          <w:color w:val="000000"/>
          <w:sz w:val="36"/>
        </w:rPr>
        <w:t>2018年年度报告</w:t>
      </w:r>
    </w:p>
    <w:p>
      <w:pPr>
        <w:widowControl/>
        <w:spacing w:before="240" w:after="120"/>
        <w:jc w:val="center"/>
        <w:rPr>
          <w:rFonts w:ascii="宋体" w:hAnsi="宋体"/>
          <w:b/>
          <w:color w:val="000000"/>
          <w:sz w:val="24"/>
        </w:rPr>
      </w:pPr>
      <w:r>
        <w:rPr>
          <w:rFonts w:ascii="宋体" w:hAnsi="宋体"/>
          <w:b/>
          <w:color w:val="000000"/>
          <w:sz w:val="24"/>
        </w:rPr>
        <w:t>2018年12月31日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基金托管人:中国工商银行股份有限公司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送出日期:2019年03月29日</w:t>
      </w:r>
      <w:r>
        <w:rPr>
          <w:b/>
          <w:color w:val="000000"/>
        </w:rPr>
        <w:br w:type="page"/>
      </w:r>
    </w:p>
    <w:p>
      <w:pPr>
        <w:pStyle w:val="13"/>
        <w:spacing w:before="240" w:after="120"/>
      </w:pPr>
      <w:bookmarkStart w:id="0" w:name="_Toc4490162"/>
      <w:r>
        <w:rPr>
          <w:rFonts w:hint="eastAsia" w:hAnsi="Calibri"/>
          <w:b/>
          <w:color w:val="000000"/>
        </w:rPr>
        <w:t>§1  重要提示及目录</w:t>
      </w:r>
      <w:bookmarkEnd w:id="0"/>
      <w:r>
        <w:rPr>
          <w:rFonts w:hint="eastAsia"/>
        </w:rPr>
        <w:t xml:space="preserve"> </w:t>
      </w:r>
    </w:p>
    <w:p>
      <w:pPr>
        <w:pStyle w:val="14"/>
        <w:rPr>
          <w:rFonts w:hint="eastAsia"/>
        </w:rPr>
      </w:pPr>
      <w:bookmarkStart w:id="1" w:name="_Toc4490163"/>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pStyle w:val="17"/>
              <w:wordWrap w:val="0"/>
              <w:spacing w:before="0"/>
              <w:ind w:left="0" w:firstLine="480"/>
              <w:rPr>
                <w:rFonts w:hint="eastAsia"/>
              </w:rPr>
            </w:pPr>
            <w:r>
              <w:rPr>
                <w:rFonts w:hint="eastAsia"/>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pStyle w:val="20"/>
              <w:wordWrap w:val="0"/>
              <w:spacing w:before="0"/>
              <w:ind w:left="0" w:firstLine="480"/>
              <w:rPr>
                <w:rFonts w:hint="eastAsia"/>
              </w:rPr>
            </w:pPr>
            <w:r>
              <w:rPr>
                <w:rFonts w:hint="eastAsia"/>
              </w:rPr>
              <w:t>基金托管人中国工商银行股份有限公司根据本基金合同规定，于2019年3月27日复核了本报告中的财务指标、净值表现、利润分配情况、财务会计报告、投资组合报告等内容，保证复核内容不存在虚假记载、误导性陈述或者重大遗漏。　　</w:t>
            </w:r>
          </w:p>
          <w:p>
            <w:pPr>
              <w:pStyle w:val="20"/>
              <w:wordWrap w:val="0"/>
              <w:spacing w:before="0"/>
              <w:ind w:left="0" w:firstLine="480"/>
              <w:rPr>
                <w:rFonts w:hint="eastAsia"/>
              </w:rPr>
            </w:pPr>
            <w:r>
              <w:rPr>
                <w:rFonts w:hint="eastAsia"/>
              </w:rPr>
              <w:t>基金管理人承诺以诚实信用、勤勉尽责的原则管理和运用基金资产，但不保证基金一定盈利。</w:t>
            </w:r>
          </w:p>
          <w:p>
            <w:pPr>
              <w:pStyle w:val="20"/>
              <w:wordWrap w:val="0"/>
              <w:spacing w:before="0"/>
              <w:ind w:left="0" w:firstLine="480"/>
              <w:rPr>
                <w:rFonts w:hint="eastAsia"/>
              </w:rPr>
            </w:pPr>
            <w:r>
              <w:rPr>
                <w:rFonts w:hint="eastAsia"/>
              </w:rPr>
              <w:t>基金的过往业绩并不代表其未来表现。投资有风险，投资者在作出投资决策前应仔细阅读本基金的招募说明书及其更新。</w:t>
            </w:r>
          </w:p>
          <w:p>
            <w:pPr>
              <w:pStyle w:val="20"/>
              <w:wordWrap w:val="0"/>
              <w:spacing w:before="0"/>
              <w:ind w:left="0" w:firstLine="480"/>
              <w:rPr>
                <w:rFonts w:hint="eastAsia"/>
              </w:rPr>
            </w:pPr>
            <w:r>
              <w:rPr>
                <w:rFonts w:hint="eastAsia"/>
              </w:rPr>
              <w:t>本报告期自2018年01月01日起至2018年12月31日止。</w:t>
            </w:r>
          </w:p>
        </w:tc>
      </w:tr>
    </w:tbl>
    <w:p>
      <w:pPr>
        <w:pStyle w:val="14"/>
        <w:rPr>
          <w:rFonts w:hint="eastAsia"/>
        </w:rPr>
      </w:pPr>
      <w:r>
        <w:rPr>
          <w:rFonts w:ascii="Times New Roman" w:hAnsi="Times New Roman"/>
        </w:rPr>
        <w:br w:type="page"/>
      </w:r>
      <w:bookmarkStart w:id="2" w:name="_Toc4490164"/>
      <w:r>
        <w:rPr>
          <w:rFonts w:hint="eastAsia"/>
          <w:b/>
          <w:bCs/>
        </w:rPr>
        <w:t>1.2 目录</w:t>
      </w:r>
      <w:bookmarkEnd w:id="2"/>
    </w:p>
    <w:p>
      <w:pPr>
        <w:pStyle w:val="4"/>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1"/>
          <w:lang/>
        </w:rPr>
        <w:fldChar w:fldCharType="begin"/>
      </w:r>
      <w:r>
        <w:rPr>
          <w:rStyle w:val="11"/>
          <w:lang/>
        </w:rPr>
        <w:instrText xml:space="preserve"> </w:instrText>
      </w:r>
      <w:r>
        <w:rPr>
          <w:lang/>
        </w:rPr>
        <w:instrText xml:space="preserve">HYPERLINK \l "_Toc4490162"</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_Toc4490162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"_Toc4490163"</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_Toc4490163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"_Toc4490164"</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_Toc4490164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"_Toc4490165"</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_Toc4490165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"_Toc4490166"</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_Toc4490166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"_Toc4490167"</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_Toc4490167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"_Toc4490168"</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_Toc4490168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"_Toc4490169"</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_Toc4490169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"_Toc4490170"</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_Toc4490170 \h </w:instrText>
      </w:r>
      <w:r>
        <w:rPr>
          <w:lang/>
        </w:rPr>
        <w:fldChar w:fldCharType="separate"/>
      </w:r>
      <w:r>
        <w:rPr>
          <w:lang/>
        </w:rPr>
        <w:t>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"_Toc4490171"</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_Toc4490171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"_Toc4490172"</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_Toc4490172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"_Toc4490173"</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_Toc4490173 \h </w:instrText>
      </w:r>
      <w:r>
        <w:rPr>
          <w:lang/>
        </w:rPr>
        <w:fldChar w:fldCharType="separate"/>
      </w:r>
      <w:r>
        <w:rPr>
          <w:lang/>
        </w:rPr>
        <w:t>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"_Toc4490174"</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_Toc4490174 \h </w:instrText>
      </w:r>
      <w:r>
        <w:rPr>
          <w:lang/>
        </w:rPr>
        <w:fldChar w:fldCharType="separate"/>
      </w:r>
      <w:r>
        <w:rPr>
          <w:lang/>
        </w:rPr>
        <w:t>11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"_Toc4490175"</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_Toc4490175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"_Toc4490176"</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_Toc4490176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"_Toc4490177"</w:instrText>
      </w:r>
      <w:r>
        <w:rPr>
          <w:rStyle w:val="11"/>
          <w:lang/>
        </w:rPr>
        <w:instrText xml:space="preserve"> </w:instrText>
      </w:r>
      <w:r>
        <w:rPr>
          <w:rStyle w:val="11"/>
          <w:lang/>
        </w:rPr>
        <w:fldChar w:fldCharType="separate"/>
      </w:r>
      <w:r>
        <w:rPr>
          <w:rStyle w:val="11"/>
          <w:b/>
          <w:lang/>
        </w:rPr>
        <w:t xml:space="preserve">4.2 </w:t>
      </w:r>
      <w:r>
        <w:rPr>
          <w:rStyle w:val="11"/>
          <w:rFonts w:hint="eastAsia"/>
          <w:b/>
          <w:lang/>
        </w:rPr>
        <w:t>管理人对报告期内本基金运作遵规守信情况的说明</w:t>
      </w:r>
      <w:r>
        <w:rPr>
          <w:lang/>
        </w:rPr>
        <w:tab/>
      </w:r>
      <w:r>
        <w:rPr>
          <w:lang/>
        </w:rPr>
        <w:fldChar w:fldCharType="begin"/>
      </w:r>
      <w:r>
        <w:rPr>
          <w:lang/>
        </w:rPr>
        <w:instrText xml:space="preserve"> PAGEREF _Toc4490177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"_Toc4490178"</w:instrText>
      </w:r>
      <w:r>
        <w:rPr>
          <w:rStyle w:val="11"/>
          <w:lang/>
        </w:rPr>
        <w:instrText xml:space="preserve"> </w:instrText>
      </w:r>
      <w:r>
        <w:rPr>
          <w:rStyle w:val="11"/>
          <w:lang/>
        </w:rPr>
        <w:fldChar w:fldCharType="separate"/>
      </w:r>
      <w:r>
        <w:rPr>
          <w:rStyle w:val="11"/>
          <w:b/>
          <w:lang/>
        </w:rPr>
        <w:t xml:space="preserve">4.3 </w:t>
      </w:r>
      <w:r>
        <w:rPr>
          <w:rStyle w:val="11"/>
          <w:rFonts w:hint="eastAsia"/>
          <w:b/>
          <w:lang/>
        </w:rPr>
        <w:t>管理人对报告期内公平交易情况的专项说明</w:t>
      </w:r>
      <w:r>
        <w:rPr>
          <w:lang/>
        </w:rPr>
        <w:tab/>
      </w:r>
      <w:r>
        <w:rPr>
          <w:lang/>
        </w:rPr>
        <w:fldChar w:fldCharType="begin"/>
      </w:r>
      <w:r>
        <w:rPr>
          <w:lang/>
        </w:rPr>
        <w:instrText xml:space="preserve"> PAGEREF _Toc4490178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"_Toc4490179"</w:instrText>
      </w:r>
      <w:r>
        <w:rPr>
          <w:rStyle w:val="11"/>
          <w:lang/>
        </w:rPr>
        <w:instrText xml:space="preserve"> </w:instrText>
      </w:r>
      <w:r>
        <w:rPr>
          <w:rStyle w:val="11"/>
          <w:lang/>
        </w:rPr>
        <w:fldChar w:fldCharType="separate"/>
      </w:r>
      <w:r>
        <w:rPr>
          <w:rStyle w:val="11"/>
          <w:b/>
          <w:lang/>
        </w:rPr>
        <w:t xml:space="preserve">4.4 </w:t>
      </w:r>
      <w:r>
        <w:rPr>
          <w:rStyle w:val="11"/>
          <w:rFonts w:hint="eastAsia"/>
          <w:b/>
          <w:lang/>
        </w:rPr>
        <w:t>管理人对报告期内基金的投资策略和业绩表现的说明</w:t>
      </w:r>
      <w:r>
        <w:rPr>
          <w:lang/>
        </w:rPr>
        <w:tab/>
      </w:r>
      <w:r>
        <w:rPr>
          <w:lang/>
        </w:rPr>
        <w:fldChar w:fldCharType="begin"/>
      </w:r>
      <w:r>
        <w:rPr>
          <w:lang/>
        </w:rPr>
        <w:instrText xml:space="preserve"> PAGEREF _Toc4490179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"_Toc4490180"</w:instrText>
      </w:r>
      <w:r>
        <w:rPr>
          <w:rStyle w:val="11"/>
          <w:lang/>
        </w:rPr>
        <w:instrText xml:space="preserve"> </w:instrText>
      </w:r>
      <w:r>
        <w:rPr>
          <w:rStyle w:val="11"/>
          <w:lang/>
        </w:rPr>
        <w:fldChar w:fldCharType="separate"/>
      </w:r>
      <w:r>
        <w:rPr>
          <w:rStyle w:val="11"/>
          <w:b/>
          <w:lang/>
        </w:rPr>
        <w:t xml:space="preserve">4.5 </w:t>
      </w:r>
      <w:r>
        <w:rPr>
          <w:rStyle w:val="11"/>
          <w:rFonts w:hint="eastAsia"/>
          <w:b/>
          <w:lang/>
        </w:rPr>
        <w:t>管理人对宏观经济、证券市场及行业走势的简要展望</w:t>
      </w:r>
      <w:r>
        <w:rPr>
          <w:lang/>
        </w:rPr>
        <w:tab/>
      </w:r>
      <w:r>
        <w:rPr>
          <w:lang/>
        </w:rPr>
        <w:fldChar w:fldCharType="begin"/>
      </w:r>
      <w:r>
        <w:rPr>
          <w:lang/>
        </w:rPr>
        <w:instrText xml:space="preserve"> PAGEREF _Toc4490180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"_Toc4490181"</w:instrText>
      </w:r>
      <w:r>
        <w:rPr>
          <w:rStyle w:val="11"/>
          <w:lang/>
        </w:rPr>
        <w:instrText xml:space="preserve"> </w:instrText>
      </w:r>
      <w:r>
        <w:rPr>
          <w:rStyle w:val="11"/>
          <w:lang/>
        </w:rPr>
        <w:fldChar w:fldCharType="separate"/>
      </w:r>
      <w:r>
        <w:rPr>
          <w:rStyle w:val="11"/>
          <w:b/>
          <w:lang/>
        </w:rPr>
        <w:t xml:space="preserve">4.6 </w:t>
      </w:r>
      <w:r>
        <w:rPr>
          <w:rStyle w:val="11"/>
          <w:rFonts w:hint="eastAsia"/>
          <w:b/>
          <w:lang/>
        </w:rPr>
        <w:t>管理人内部有关本基金的监察稽核工作情况</w:t>
      </w:r>
      <w:r>
        <w:rPr>
          <w:lang/>
        </w:rPr>
        <w:tab/>
      </w:r>
      <w:r>
        <w:rPr>
          <w:lang/>
        </w:rPr>
        <w:fldChar w:fldCharType="begin"/>
      </w:r>
      <w:r>
        <w:rPr>
          <w:lang/>
        </w:rPr>
        <w:instrText xml:space="preserve"> PAGEREF _Toc4490181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"_Toc4490182"</w:instrText>
      </w:r>
      <w:r>
        <w:rPr>
          <w:rStyle w:val="11"/>
          <w:lang/>
        </w:rPr>
        <w:instrText xml:space="preserve"> </w:instrText>
      </w:r>
      <w:r>
        <w:rPr>
          <w:rStyle w:val="11"/>
          <w:lang/>
        </w:rPr>
        <w:fldChar w:fldCharType="separate"/>
      </w:r>
      <w:r>
        <w:rPr>
          <w:rStyle w:val="11"/>
          <w:b/>
          <w:lang/>
        </w:rPr>
        <w:t xml:space="preserve">4.7 </w:t>
      </w:r>
      <w:r>
        <w:rPr>
          <w:rStyle w:val="11"/>
          <w:rFonts w:hint="eastAsia"/>
          <w:b/>
          <w:lang/>
        </w:rPr>
        <w:t>管理人对报告期内基金估值程序等事项的说明</w:t>
      </w:r>
      <w:r>
        <w:rPr>
          <w:lang/>
        </w:rPr>
        <w:tab/>
      </w:r>
      <w:r>
        <w:rPr>
          <w:lang/>
        </w:rPr>
        <w:fldChar w:fldCharType="begin"/>
      </w:r>
      <w:r>
        <w:rPr>
          <w:lang/>
        </w:rPr>
        <w:instrText xml:space="preserve"> PAGEREF _Toc4490182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"_Toc4490183"</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_Toc4490183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"_Toc4490184"</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_Toc4490184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"_Toc4490185"</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_Toc4490185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"_Toc4490186"</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_Toc4490186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"_Toc4490187"</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_Toc4490187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"_Toc4490188"</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_Toc4490188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"_Toc4490189"</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_Toc4490189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"_Toc4490190"</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_Toc4490190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"_Toc4490191"</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_Toc4490191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"_Toc4490192"</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_Toc4490192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"_Toc4490193"</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_Toc4490193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"_Toc4490194"</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_Toc4490194 \h </w:instrText>
      </w:r>
      <w:r>
        <w:rPr>
          <w:lang/>
        </w:rPr>
        <w:fldChar w:fldCharType="separate"/>
      </w:r>
      <w:r>
        <w:rPr>
          <w:lang/>
        </w:rPr>
        <w:t>21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"_Toc4490195"</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_Toc4490195 \h </w:instrText>
      </w:r>
      <w:r>
        <w:rPr>
          <w:lang/>
        </w:rPr>
        <w:fldChar w:fldCharType="separate"/>
      </w:r>
      <w:r>
        <w:rPr>
          <w:lang/>
        </w:rPr>
        <w:t>23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"_Toc4490196"</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_Toc4490196 \h </w:instrText>
      </w:r>
      <w:r>
        <w:rPr>
          <w:lang/>
        </w:rPr>
        <w:fldChar w:fldCharType="separate"/>
      </w:r>
      <w:r>
        <w:rPr>
          <w:lang/>
        </w:rPr>
        <w:t>25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"_Toc4490197"</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_Toc4490197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"_Toc4490198"</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_Toc4490198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"_Toc4490199"</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_Toc4490199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"_Toc4490200"</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_Toc4490200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"_Toc4490201"</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_Toc4490201 \h </w:instrText>
      </w:r>
      <w:r>
        <w:rPr>
          <w:lang/>
        </w:rPr>
        <w:fldChar w:fldCharType="separate"/>
      </w:r>
      <w:r>
        <w:rPr>
          <w:lang/>
        </w:rPr>
        <w:t>67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"_Toc4490202"</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_Toc4490202 \h </w:instrText>
      </w:r>
      <w:r>
        <w:rPr>
          <w:lang/>
        </w:rPr>
        <w:fldChar w:fldCharType="separate"/>
      </w:r>
      <w:r>
        <w:rPr>
          <w:lang/>
        </w:rPr>
        <w:t>70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"_Toc4490203"</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_Toc4490203 \h </w:instrText>
      </w:r>
      <w:r>
        <w:rPr>
          <w:lang/>
        </w:rPr>
        <w:fldChar w:fldCharType="separate"/>
      </w:r>
      <w:r>
        <w:rPr>
          <w:lang/>
        </w:rPr>
        <w:t>70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"_Toc4490204"</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_Toc4490204 \h </w:instrText>
      </w:r>
      <w:r>
        <w:rPr>
          <w:lang/>
        </w:rPr>
        <w:fldChar w:fldCharType="separate"/>
      </w:r>
      <w:r>
        <w:rPr>
          <w:lang/>
        </w:rPr>
        <w:t>70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"_Toc4490205"</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_Toc4490205 \h </w:instrText>
      </w:r>
      <w:r>
        <w:rPr>
          <w:lang/>
        </w:rPr>
        <w:fldChar w:fldCharType="separate"/>
      </w:r>
      <w:r>
        <w:rPr>
          <w:lang/>
        </w:rPr>
        <w:t>70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"_Toc4490206"</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_Toc4490206 \h </w:instrText>
      </w:r>
      <w:r>
        <w:rPr>
          <w:lang/>
        </w:rPr>
        <w:fldChar w:fldCharType="separate"/>
      </w:r>
      <w:r>
        <w:rPr>
          <w:lang/>
        </w:rPr>
        <w:t>70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"_Toc4490207"</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_Toc4490207 \h </w:instrText>
      </w:r>
      <w:r>
        <w:rPr>
          <w:lang/>
        </w:rPr>
        <w:fldChar w:fldCharType="separate"/>
      </w:r>
      <w:r>
        <w:rPr>
          <w:lang/>
        </w:rPr>
        <w:t>71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"_Toc4490208"</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_Toc4490208 \h </w:instrText>
      </w:r>
      <w:r>
        <w:rPr>
          <w:lang/>
        </w:rPr>
        <w:fldChar w:fldCharType="separate"/>
      </w:r>
      <w:r>
        <w:rPr>
          <w:lang/>
        </w:rPr>
        <w:t>71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"_Toc4490209"</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_Toc4490209 \h </w:instrText>
      </w:r>
      <w:r>
        <w:rPr>
          <w:lang/>
        </w:rPr>
        <w:fldChar w:fldCharType="separate"/>
      </w:r>
      <w:r>
        <w:rPr>
          <w:lang/>
        </w:rPr>
        <w:t>71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"_Toc4490210"</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_Toc4490210 \h </w:instrText>
      </w:r>
      <w:r>
        <w:rPr>
          <w:lang/>
        </w:rPr>
        <w:fldChar w:fldCharType="separate"/>
      </w:r>
      <w:r>
        <w:rPr>
          <w:lang/>
        </w:rPr>
        <w:t>72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"_Toc4490211"</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_Toc4490211 \h </w:instrText>
      </w:r>
      <w:r>
        <w:rPr>
          <w:lang/>
        </w:rPr>
        <w:fldChar w:fldCharType="separate"/>
      </w:r>
      <w:r>
        <w:rPr>
          <w:lang/>
        </w:rPr>
        <w:t>72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"_Toc4490212"</w:instrText>
      </w:r>
      <w:r>
        <w:rPr>
          <w:rStyle w:val="11"/>
          <w:lang/>
        </w:rPr>
        <w:instrText xml:space="preserve"> </w:instrText>
      </w:r>
      <w:r>
        <w:rPr>
          <w:rStyle w:val="11"/>
          <w:lang/>
        </w:rPr>
        <w:fldChar w:fldCharType="separate"/>
      </w:r>
      <w:r>
        <w:rPr>
          <w:rStyle w:val="11"/>
          <w:b/>
          <w:lang/>
        </w:rPr>
        <w:t xml:space="preserve">9.2 </w:t>
      </w:r>
      <w:r>
        <w:rPr>
          <w:rStyle w:val="11"/>
          <w:rFonts w:hint="eastAsia"/>
          <w:b/>
          <w:lang/>
        </w:rPr>
        <w:t>期末基金管理人的从业人员持有本基金的情况</w:t>
      </w:r>
      <w:r>
        <w:rPr>
          <w:lang/>
        </w:rPr>
        <w:tab/>
      </w:r>
      <w:r>
        <w:rPr>
          <w:lang/>
        </w:rPr>
        <w:fldChar w:fldCharType="begin"/>
      </w:r>
      <w:r>
        <w:rPr>
          <w:lang/>
        </w:rPr>
        <w:instrText xml:space="preserve"> PAGEREF _Toc4490212 \h </w:instrText>
      </w:r>
      <w:r>
        <w:rPr>
          <w:lang/>
        </w:rPr>
        <w:fldChar w:fldCharType="separate"/>
      </w:r>
      <w:r>
        <w:rPr>
          <w:lang/>
        </w:rPr>
        <w:t>73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"_Toc4490213"</w:instrText>
      </w:r>
      <w:r>
        <w:rPr>
          <w:rStyle w:val="11"/>
          <w:lang/>
        </w:rPr>
        <w:instrText xml:space="preserve"> </w:instrText>
      </w:r>
      <w:r>
        <w:rPr>
          <w:rStyle w:val="11"/>
          <w:lang/>
        </w:rPr>
        <w:fldChar w:fldCharType="separate"/>
      </w:r>
      <w:r>
        <w:rPr>
          <w:rStyle w:val="11"/>
          <w:b/>
          <w:bCs/>
          <w:lang/>
        </w:rPr>
        <w:t xml:space="preserve">9.3 </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_Toc4490213 \h </w:instrText>
      </w:r>
      <w:r>
        <w:rPr>
          <w:lang/>
        </w:rPr>
        <w:fldChar w:fldCharType="separate"/>
      </w:r>
      <w:r>
        <w:rPr>
          <w:lang/>
        </w:rPr>
        <w:t>73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"_Toc4490214"</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_Toc4490214 \h </w:instrText>
      </w:r>
      <w:r>
        <w:rPr>
          <w:lang/>
        </w:rPr>
        <w:fldChar w:fldCharType="separate"/>
      </w:r>
      <w:r>
        <w:rPr>
          <w:lang/>
        </w:rPr>
        <w:t>74</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"_Toc4490215"</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_Toc4490215 \h </w:instrText>
      </w:r>
      <w:r>
        <w:rPr>
          <w:lang/>
        </w:rPr>
        <w:fldChar w:fldCharType="separate"/>
      </w:r>
      <w:r>
        <w:rPr>
          <w:lang/>
        </w:rPr>
        <w:t>74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"_Toc4490216"</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_Toc4490216 \h </w:instrText>
      </w:r>
      <w:r>
        <w:rPr>
          <w:lang/>
        </w:rPr>
        <w:fldChar w:fldCharType="separate"/>
      </w:r>
      <w:r>
        <w:rPr>
          <w:lang/>
        </w:rPr>
        <w:t>74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"_Toc4490217"</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_Toc4490217 \h </w:instrText>
      </w:r>
      <w:r>
        <w:rPr>
          <w:lang/>
        </w:rPr>
        <w:fldChar w:fldCharType="separate"/>
      </w:r>
      <w:r>
        <w:rPr>
          <w:lang/>
        </w:rPr>
        <w:t>74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"_Toc4490218"</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_Toc4490218 \h </w:instrText>
      </w:r>
      <w:r>
        <w:rPr>
          <w:lang/>
        </w:rPr>
        <w:fldChar w:fldCharType="separate"/>
      </w:r>
      <w:r>
        <w:rPr>
          <w:lang/>
        </w:rPr>
        <w:t>74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"_Toc4490219"</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_Toc4490219 \h </w:instrText>
      </w:r>
      <w:r>
        <w:rPr>
          <w:lang/>
        </w:rPr>
        <w:fldChar w:fldCharType="separate"/>
      </w:r>
      <w:r>
        <w:rPr>
          <w:lang/>
        </w:rPr>
        <w:t>74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"_Toc4490220"</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_Toc4490220 \h </w:instrText>
      </w:r>
      <w:r>
        <w:rPr>
          <w:lang/>
        </w:rPr>
        <w:fldChar w:fldCharType="separate"/>
      </w:r>
      <w:r>
        <w:rPr>
          <w:lang/>
        </w:rPr>
        <w:t>74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"_Toc4490221"</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_Toc4490221 \h </w:instrText>
      </w:r>
      <w:r>
        <w:rPr>
          <w:lang/>
        </w:rPr>
        <w:fldChar w:fldCharType="separate"/>
      </w:r>
      <w:r>
        <w:rPr>
          <w:lang/>
        </w:rPr>
        <w:t>74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"_Toc4490222"</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_Toc4490222 \h </w:instrText>
      </w:r>
      <w:r>
        <w:rPr>
          <w:lang/>
        </w:rPr>
        <w:fldChar w:fldCharType="separate"/>
      </w:r>
      <w:r>
        <w:rPr>
          <w:lang/>
        </w:rPr>
        <w:t>74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"_Toc4490223"</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_Toc4490223 \h </w:instrText>
      </w:r>
      <w:r>
        <w:rPr>
          <w:lang/>
        </w:rPr>
        <w:fldChar w:fldCharType="separate"/>
      </w:r>
      <w:r>
        <w:rPr>
          <w:lang/>
        </w:rPr>
        <w:t>78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"_Toc4490224"</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_Toc4490224 \h </w:instrText>
      </w:r>
      <w:r>
        <w:rPr>
          <w:lang/>
        </w:rPr>
        <w:fldChar w:fldCharType="separate"/>
      </w:r>
      <w:r>
        <w:rPr>
          <w:lang/>
        </w:rPr>
        <w:t>82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"_Toc4490225"</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_Toc4490225 \h </w:instrText>
      </w:r>
      <w:r>
        <w:rPr>
          <w:lang/>
        </w:rPr>
        <w:fldChar w:fldCharType="separate"/>
      </w:r>
      <w:r>
        <w:rPr>
          <w:lang/>
        </w:rPr>
        <w:t>82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"_Toc4490226"</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_Toc4490226 \h </w:instrText>
      </w:r>
      <w:r>
        <w:rPr>
          <w:lang/>
        </w:rPr>
        <w:fldChar w:fldCharType="separate"/>
      </w:r>
      <w:r>
        <w:rPr>
          <w:lang/>
        </w:rPr>
        <w:t>82</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"_Toc4490227"</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_Toc4490227 \h </w:instrText>
      </w:r>
      <w:r>
        <w:rPr>
          <w:lang/>
        </w:rPr>
        <w:fldChar w:fldCharType="separate"/>
      </w:r>
      <w:r>
        <w:rPr>
          <w:lang/>
        </w:rPr>
        <w:t>82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"_Toc4490228"</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lang/>
        </w:rPr>
        <w:tab/>
      </w:r>
      <w:r>
        <w:rPr>
          <w:lang/>
        </w:rPr>
        <w:fldChar w:fldCharType="begin"/>
      </w:r>
      <w:r>
        <w:rPr>
          <w:lang/>
        </w:rPr>
        <w:instrText xml:space="preserve"> PAGEREF _Toc4490228 \h </w:instrText>
      </w:r>
      <w:r>
        <w:rPr>
          <w:lang/>
        </w:rPr>
        <w:fldChar w:fldCharType="separate"/>
      </w:r>
      <w:r>
        <w:rPr>
          <w:lang/>
        </w:rPr>
        <w:t>82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"_Toc4490229"</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_Toc4490229 \h </w:instrText>
      </w:r>
      <w:r>
        <w:rPr>
          <w:lang/>
        </w:rPr>
        <w:fldChar w:fldCharType="separate"/>
      </w:r>
      <w:r>
        <w:rPr>
          <w:lang/>
        </w:rPr>
        <w:t>83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"_Toc4490230"</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_Toc4490230 \h </w:instrText>
      </w:r>
      <w:r>
        <w:rPr>
          <w:lang/>
        </w:rPr>
        <w:fldChar w:fldCharType="separate"/>
      </w:r>
      <w:r>
        <w:rPr>
          <w:lang/>
        </w:rPr>
        <w:t>83</w:t>
      </w:r>
      <w:r>
        <w:rPr>
          <w:lang/>
        </w:rPr>
        <w:fldChar w:fldCharType="end"/>
      </w:r>
      <w:r>
        <w:rPr>
          <w:rStyle w:val="11"/>
          <w:lang/>
        </w:rPr>
        <w:fldChar w:fldCharType="end"/>
      </w:r>
    </w:p>
    <w:p>
      <w:pPr>
        <w:pStyle w:val="13"/>
        <w:rPr>
          <w:rFonts w:hint="eastAsia"/>
        </w:rPr>
      </w:pPr>
      <w:r>
        <w:rPr>
          <w:rFonts w:ascii="Times New Roman" w:hAnsi="Times New Roman"/>
        </w:rPr>
        <w:fldChar w:fldCharType="end"/>
      </w:r>
      <w:r>
        <w:rPr>
          <w:rFonts w:ascii="Times New Roman" w:hAnsi="Times New Roman"/>
        </w:rPr>
        <w:br w:type="page"/>
      </w:r>
      <w:bookmarkStart w:id="3" w:name="_Toc4490165"/>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4490166"/>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8"/>
        <w:gridCol w:w="2556"/>
        <w:gridCol w:w="255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创金合信量化多因子股票型证券投资基金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创金合信量化多因子股票</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002210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2016年01月22日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711,331,486.96份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创金合信量化多因子股票A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创金合信量化多因子股票C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002210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003865</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698,816,848.60份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12,514,638.36份</w:t>
            </w:r>
          </w:p>
        </w:tc>
      </w:tr>
    </w:tbl>
    <w:p>
      <w:pPr>
        <w:widowControl/>
        <w:jc w:val="left"/>
        <w:rPr>
          <w:rFonts w:hint="eastAsia" w:ascii="宋体" w:hAnsi="宋体" w:cs="宋体"/>
          <w:kern w:val="0"/>
          <w:sz w:val="24"/>
          <w:szCs w:val="24"/>
        </w:rPr>
      </w:pPr>
    </w:p>
    <w:p>
      <w:pPr>
        <w:pStyle w:val="14"/>
        <w:rPr>
          <w:rFonts w:hint="eastAsia"/>
        </w:rPr>
      </w:pPr>
      <w:bookmarkStart w:id="5" w:name="_Toc4490167"/>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在控制风险的同时，追求超越业绩比较基准的投资回报。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为股票型基金，股票投资部分占基金资产的比例不低于80%。本基金将采取定量与定性相结合的方法，运用“自上而下”的资产配置逻辑，形成对大类资产预期收益及风险的判断，进而确定资产配置的具体比例。其中，本基金在进行资产配置决策时将主要考虑宏观经济、政策预期、产业经济、市场情绪、投资者行为等因素。</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中证1000指数收益率×90%+银行人民币活期存款利率（税后）×10%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本基金为股票型基金，长期来看，其预期风险与预期收益水平高于混合型基金、债券型基金和货币市场基金。</w:t>
            </w:r>
          </w:p>
        </w:tc>
      </w:tr>
    </w:tbl>
    <w:p>
      <w:pPr>
        <w:pStyle w:val="20"/>
        <w:rPr>
          <w:rFonts w:hint="eastAsia"/>
        </w:rPr>
      </w:pPr>
      <w:r>
        <w:rPr>
          <w:rFonts w:hint="eastAsia"/>
        </w:rPr>
        <w:t>注：自2018年6月11日起，本基金的业绩比较基准由原来的"中证500指数收益率×90%+2%"变更为"中证1000指数收益率×90%+银行人民币活期存款利率（税后）×10%"。上述事项已于2018年6月7日在指定媒体上公告。</w:t>
      </w:r>
    </w:p>
    <w:p>
      <w:pPr>
        <w:widowControl/>
        <w:jc w:val="left"/>
        <w:rPr>
          <w:rFonts w:hint="eastAsia" w:ascii="宋体" w:hAnsi="宋体" w:cs="宋体"/>
          <w:kern w:val="0"/>
          <w:sz w:val="24"/>
          <w:szCs w:val="24"/>
        </w:rPr>
      </w:pPr>
    </w:p>
    <w:p>
      <w:pPr>
        <w:pStyle w:val="14"/>
        <w:rPr>
          <w:rFonts w:hint="eastAsia"/>
        </w:rPr>
      </w:pPr>
      <w:bookmarkStart w:id="6" w:name="_Toc4490168"/>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郭明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010-66105799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custody@icbc.com.cn</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95588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010-66105798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深圳市前海深港合作区前湾一路1号201室（入驻深圳市前海商务秘书有限公司）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100140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易会满</w:t>
            </w:r>
          </w:p>
        </w:tc>
      </w:tr>
    </w:tbl>
    <w:p>
      <w:pPr>
        <w:widowControl/>
        <w:jc w:val="left"/>
        <w:rPr>
          <w:rFonts w:hint="eastAsia" w:ascii="宋体" w:hAnsi="宋体" w:cs="宋体"/>
          <w:kern w:val="0"/>
          <w:sz w:val="24"/>
          <w:szCs w:val="24"/>
        </w:rPr>
      </w:pPr>
    </w:p>
    <w:p>
      <w:pPr>
        <w:pStyle w:val="14"/>
        <w:rPr>
          <w:rFonts w:hint="eastAsia"/>
        </w:rPr>
      </w:pPr>
      <w:bookmarkStart w:id="7" w:name="_Toc4490169"/>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证券时报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14"/>
        <w:rPr>
          <w:rFonts w:hint="eastAsia"/>
        </w:rPr>
      </w:pPr>
      <w:bookmarkStart w:id="8" w:name="_Toc4490170"/>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13"/>
        <w:rPr>
          <w:rFonts w:hint="eastAsia"/>
        </w:rPr>
      </w:pPr>
      <w:bookmarkStart w:id="9" w:name="_Toc4490171"/>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4490172"/>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328"/>
        <w:gridCol w:w="1287"/>
        <w:gridCol w:w="1286"/>
        <w:gridCol w:w="1286"/>
        <w:gridCol w:w="1286"/>
        <w:gridCol w:w="1286"/>
        <w:gridCol w:w="1286"/>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 </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2016年01月22日（基金合同生效日）-2016年12月31日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创金合信量化多因子股票A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创金合信量化多因子股票C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创金合信量化多因子股票A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创金合信量化多因子股票C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创金合信量化多因子股票A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创金合信量化多因子股票C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-212,253,254.54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-4,085,172.99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-187,545,265.21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-5,053,727.10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45,676,797.88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-215,090,789.82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-4,633,190.06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-146,028,655.13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-4,834,195.56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-14,337,349.61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-87,213,213.30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-1,727,105.99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124,514,699.13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5,466,454.07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363,709,164.66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0.2478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614,192,222.47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10,834,423.79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1,097,631,377.79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50,974,374.99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1,831,615,759.37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0.8789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0.8657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p>
    <w:p>
      <w:pPr>
        <w:widowControl/>
        <w:jc w:val="left"/>
        <w:rPr>
          <w:rFonts w:hint="eastAsia" w:ascii="宋体" w:hAnsi="宋体" w:cs="宋体"/>
          <w:kern w:val="0"/>
          <w:sz w:val="24"/>
          <w:szCs w:val="24"/>
        </w:rPr>
      </w:pPr>
    </w:p>
    <w:p>
      <w:pPr>
        <w:pStyle w:val="14"/>
        <w:rPr>
          <w:rFonts w:hint="eastAsia"/>
        </w:rPr>
      </w:pPr>
      <w:bookmarkStart w:id="11" w:name="_Toc4490173"/>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p>
      <w:pPr>
        <w:pStyle w:val="17"/>
        <w:rPr>
          <w:rFonts w:hint="eastAsia"/>
        </w:rPr>
      </w:pPr>
      <w:r>
        <w:rPr>
          <w:rFonts w:hint="eastAsia" w:hAnsi="Calibri"/>
          <w:color w:val="000000"/>
        </w:rPr>
        <w:t>创金合信量化多因子股票A</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-0.14%</w:t>
            </w:r>
          </w:p>
        </w:tc>
      </w:tr>
    </w:tbl>
    <w:p>
      <w:pPr>
        <w:pStyle w:val="17"/>
        <w:rPr>
          <w:rFonts w:hint="eastAsia"/>
        </w:rPr>
      </w:pPr>
      <w:r>
        <w:rPr>
          <w:rFonts w:hint="eastAsia" w:hAnsi="Calibri"/>
          <w:color w:val="000000"/>
        </w:rPr>
        <w:t>创金合信量化多因子股票C</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w:t>
            </w:r>
          </w:p>
        </w:tc>
      </w:tr>
    </w:tbl>
    <w:p>
      <w:pPr>
        <w:widowControl/>
        <w:jc w:val="left"/>
        <w:rPr>
          <w:rFonts w:hint="eastAsia" w:ascii="宋体" w:hAnsi="宋体" w:cs="宋体"/>
          <w:kern w:val="0"/>
          <w:sz w:val="24"/>
          <w:szCs w:val="24"/>
        </w:rPr>
      </w:pPr>
    </w:p>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D:\fcsc\HSFA\Bin\Bin\MOD\TMP\CN_50990000_002210_FB010010_20190002_2.jpg" type="#_x0000_t75" style="height:286.5pt;width:441pt;" filled="f" stroked="f" coordsize="21600,21600">
            <v:path/>
            <v:fill on="f" focussize="0,0"/>
            <v:stroke on="f"/>
            <v:imagedata r:id="rId7" grayscale="f" bilevel="f" o:title="CN_50990000_002210_FB010010_20190002_2"/>
            <o:lock v:ext="edit" grouping="f" rotation="f" aspectratio="t"/>
            <w10:wrap type="none"/>
            <w10:anchorlock/>
          </v:shape>
        </w:pict>
      </w:r>
    </w:p>
    <w:p>
      <w:pPr>
        <w:pStyle w:val="17"/>
        <w:rPr>
          <w:rFonts w:hint="eastAsia"/>
        </w:rPr>
      </w:pPr>
      <w:r>
        <w:rPr>
          <w:rFonts w:hAnsi="Calibri"/>
          <w:color w:val="000000"/>
          <w:lang/>
        </w:rPr>
        <w:pict>
          <v:shape id="_x0000_i1026" o:spt="75" alt="D:\fcsc\HSFA\Bin\Bin\MOD\TMP\CN_50990000_002210_FB010010_20190002_3.jpg" type="#_x0000_t75" style="height:286.5pt;width:441pt;" filled="f" stroked="f" coordsize="21600,21600">
            <v:path/>
            <v:fill on="f" focussize="0,0"/>
            <v:stroke on="f"/>
            <v:imagedata r:id="rId8" grayscale="f" bilevel="f" o:title="CN_50990000_002210_FB010010_20190002_3"/>
            <o:lock v:ext="edit" grouping="f" rotation="f" aspectratio="t"/>
            <w10:wrap type="none"/>
            <w10:anchorlock/>
          </v:shape>
        </w:pict>
      </w:r>
    </w:p>
    <w:p>
      <w:pPr>
        <w:widowControl/>
        <w:jc w:val="left"/>
        <w:rPr>
          <w:rFonts w:hint="eastAsia" w:ascii="宋体" w:hAnsi="宋体" w:cs="宋体"/>
          <w:kern w:val="0"/>
          <w:sz w:val="24"/>
          <w:szCs w:val="24"/>
        </w:rPr>
      </w:pP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D:\fcsc\HSFA\Bin\Bin\MOD\TMP\CN_50990000_002210_FB010010_20190002_6.jpg" type="#_x0000_t75" style="height:286.5pt;width:441pt;" filled="f" stroked="f" coordsize="21600,21600">
            <v:path/>
            <v:fill on="f" focussize="0,0"/>
            <v:stroke on="f"/>
            <v:imagedata r:id="rId9" grayscale="f" bilevel="f" o:title="CN_50990000_002210_FB010010_20190002_6"/>
            <o:lock v:ext="edit" grouping="f" rotation="f" aspectratio="t"/>
            <w10:wrap type="none"/>
            <w10:anchorlock/>
          </v:shape>
        </w:pict>
      </w:r>
    </w:p>
    <w:p>
      <w:pPr>
        <w:pStyle w:val="17"/>
        <w:rPr>
          <w:rFonts w:hint="eastAsia"/>
        </w:rPr>
      </w:pPr>
      <w:r>
        <w:rPr>
          <w:rFonts w:hAnsi="Calibri"/>
          <w:color w:val="000000"/>
          <w:lang/>
        </w:rPr>
        <w:pict>
          <v:shape id="_x0000_i1028" o:spt="75" alt="D:\fcsc\HSFA\Bin\Bin\MOD\TMP\CN_50990000_002210_FB010010_20190002_7.jpg" type="#_x0000_t75" style="height:286.5pt;width:441pt;" filled="f" stroked="f" coordsize="21600,21600">
            <v:path/>
            <v:fill on="f" focussize="0,0"/>
            <v:stroke on="f"/>
            <v:imagedata r:id="rId10" grayscale="f" bilevel="f" o:title="CN_50990000_002210_FB010010_20190002_7"/>
            <o:lock v:ext="edit" grouping="f" rotation="f" aspectratio="t"/>
            <w10:wrap type="none"/>
            <w10:anchorlock/>
          </v:shape>
        </w:pict>
      </w:r>
    </w:p>
    <w:p>
      <w:pPr>
        <w:widowControl/>
        <w:jc w:val="left"/>
        <w:rPr>
          <w:rFonts w:hint="eastAsia" w:ascii="宋体" w:hAnsi="宋体" w:cs="宋体"/>
          <w:kern w:val="0"/>
          <w:sz w:val="24"/>
          <w:szCs w:val="24"/>
        </w:rPr>
      </w:pPr>
      <w:r>
        <w:rPr>
          <w:rFonts w:hint="eastAsia" w:ascii="宋体" w:hAnsi="宋体" w:cs="宋体"/>
          <w:kern w:val="0"/>
          <w:sz w:val="24"/>
          <w:szCs w:val="24"/>
        </w:rPr>
        <w:t xml:space="preserve">注：自2018年6月11日起，本基金的业绩比较基准由原来的"中证500指数收益率×90%+2%"变更为"中证1000指数收益率×90%+银行人民币活期存款利率（税后）×10%"。上述事项已于2018年6月7日在指定媒体上公告。 </w:t>
      </w:r>
    </w:p>
    <w:p>
      <w:pPr>
        <w:widowControl/>
        <w:jc w:val="left"/>
        <w:rPr>
          <w:rFonts w:hint="eastAsia" w:ascii="宋体" w:hAnsi="宋体" w:cs="宋体"/>
          <w:kern w:val="0"/>
          <w:sz w:val="24"/>
          <w:szCs w:val="24"/>
        </w:rPr>
      </w:pPr>
    </w:p>
    <w:p>
      <w:pPr>
        <w:pStyle w:val="14"/>
        <w:rPr>
          <w:rFonts w:hint="eastAsia"/>
        </w:rPr>
      </w:pPr>
      <w:bookmarkStart w:id="12" w:name="_Toc4490174"/>
      <w:r>
        <w:rPr>
          <w:rFonts w:hint="eastAsia" w:hAnsi="Calibri"/>
          <w:b/>
          <w:color w:val="000000"/>
        </w:rPr>
        <w:t>3.3 过去三年基金的利润分配情况</w:t>
      </w:r>
      <w:bookmarkEnd w:id="12"/>
    </w:p>
    <w:p>
      <w:pPr>
        <w:pStyle w:val="20"/>
        <w:rPr>
          <w:rFonts w:hint="eastAsia"/>
        </w:rPr>
      </w:pPr>
      <w:r>
        <w:rPr>
          <w:rFonts w:hint="eastAsia"/>
        </w:rPr>
        <w:t>本基金自基金合同生效日(2016年1月22日)至本报告期末未发生利润分配。</w:t>
      </w:r>
    </w:p>
    <w:p>
      <w:pPr>
        <w:widowControl/>
        <w:jc w:val="left"/>
        <w:rPr>
          <w:rFonts w:hint="eastAsia" w:ascii="宋体" w:hAnsi="宋体" w:cs="宋体"/>
          <w:kern w:val="0"/>
          <w:sz w:val="24"/>
          <w:szCs w:val="24"/>
        </w:rPr>
      </w:pPr>
    </w:p>
    <w:p>
      <w:pPr>
        <w:pStyle w:val="13"/>
        <w:rPr>
          <w:rFonts w:hint="eastAsia"/>
        </w:rPr>
      </w:pPr>
      <w:bookmarkStart w:id="13" w:name="_Toc4490175"/>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4490176"/>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spacing w:before="0"/>
        <w:ind w:left="0" w:firstLine="480"/>
        <w:rPr>
          <w:rFonts w:hint="eastAsia"/>
        </w:rPr>
      </w:pPr>
      <w:r>
        <w:rPr>
          <w:rFonts w:hint="eastAsia"/>
        </w:rPr>
        <w:t>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p>
    <w:p>
      <w:pPr>
        <w:pStyle w:val="20"/>
        <w:spacing w:before="0"/>
        <w:ind w:left="0" w:firstLine="480"/>
        <w:rPr>
          <w:rFonts w:hint="eastAsia"/>
        </w:rPr>
      </w:pPr>
      <w:r>
        <w:rPr>
          <w:rFonts w:hint="eastAsia"/>
        </w:rPr>
        <w:t>公司始终坚持"客户利益至上"，致力于为客户实现长期稳定的投资回报，做客户投资理财的亲密伙伴。</w:t>
      </w:r>
    </w:p>
    <w:p>
      <w:pPr>
        <w:pStyle w:val="20"/>
        <w:spacing w:before="0"/>
        <w:ind w:left="0" w:firstLine="480"/>
        <w:rPr>
          <w:rFonts w:hint="eastAsia"/>
        </w:rPr>
      </w:pPr>
      <w:r>
        <w:rPr>
          <w:rFonts w:hint="eastAsia"/>
        </w:rPr>
        <w:t>报告期内，本公司共发行11只公募基金。截至2018年12月31日，本公司共管理39只公募基金，其中混合型产品9只、指数型产品8只、债券型产品12只、股票型产品9只、货币型产品1只；管理的公募基金规模约150.47亿元。</w:t>
      </w:r>
    </w:p>
    <w:p>
      <w:pPr>
        <w:widowControl/>
        <w:jc w:val="left"/>
        <w:rPr>
          <w:rFonts w:hint="eastAsia" w:ascii="宋体" w:hAnsi="宋体" w:cs="宋体"/>
          <w:kern w:val="0"/>
          <w:sz w:val="24"/>
          <w:szCs w:val="24"/>
        </w:rPr>
      </w:pP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920"/>
        <w:gridCol w:w="2943"/>
        <w:gridCol w:w="920"/>
        <w:gridCol w:w="920"/>
        <w:gridCol w:w="552"/>
        <w:gridCol w:w="2943"/>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程志田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本基金基金经理、量化投资部总监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2016-01-22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程志田先生，中国国籍，金融学硕士，2006年7月加入长江证券股份有限公司任高级研究经理。2009年7月加入国海证券股份有限公司任金融工程总监。2011年7月加入摩根士丹利华鑫基金管理有限公司，于2011年11月15日至2013年4月15日担任大摩深证300基金的基金经理。2013年9月加入泰康资产管理有限责任公司任量化投资总监。2015年5月加入创金合信基金管理有限公司，现任量化投资部总监、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庞世恩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2016-01-25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庞世恩先生，中国国籍，中国人民大学理学硕士。2011年7月加入泰康资产管理有限责任公司，历任金融工程助理研究员、金融工程研究经理、金融工程研究高级经理、金融工程研究总监、执行投资经理。2015年9月加入创金合信基金管理有限公司，2016年1月至2018年8月担任本基金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widowControl/>
        <w:jc w:val="left"/>
        <w:rPr>
          <w:rFonts w:hint="eastAsia" w:ascii="宋体" w:hAnsi="宋体" w:cs="宋体"/>
          <w:kern w:val="0"/>
          <w:sz w:val="24"/>
          <w:szCs w:val="24"/>
        </w:rPr>
      </w:pPr>
    </w:p>
    <w:p>
      <w:pPr>
        <w:pStyle w:val="14"/>
        <w:rPr>
          <w:rFonts w:hint="eastAsia"/>
        </w:rPr>
      </w:pPr>
      <w:bookmarkStart w:id="15" w:name="_Toc4490177"/>
      <w:r>
        <w:rPr>
          <w:rFonts w:hint="eastAsia" w:hAnsi="Calibri"/>
          <w:b/>
          <w:color w:val="000000"/>
        </w:rPr>
        <w:t>4.2 管理人对报告期内本基金运作遵规守信情况的说明</w:t>
      </w:r>
      <w:bookmarkEnd w:id="15"/>
    </w:p>
    <w:p>
      <w:pPr>
        <w:pStyle w:val="20"/>
        <w:spacing w:before="0"/>
        <w:ind w:left="0" w:firstLine="480"/>
        <w:rPr>
          <w:rFonts w:hint="eastAsia"/>
        </w:rPr>
      </w:pPr>
      <w:r>
        <w:rPr>
          <w:rFonts w:hint="eastAsia" w:hAnsi="Calibri"/>
          <w:color w:val="000000"/>
        </w:rPr>
        <w:t>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p>
    <w:p>
      <w:pPr>
        <w:widowControl/>
        <w:jc w:val="left"/>
        <w:rPr>
          <w:rFonts w:hint="eastAsia" w:ascii="宋体" w:hAnsi="宋体" w:cs="宋体"/>
          <w:kern w:val="0"/>
          <w:sz w:val="24"/>
          <w:szCs w:val="24"/>
        </w:rPr>
      </w:pPr>
    </w:p>
    <w:p>
      <w:pPr>
        <w:pStyle w:val="14"/>
        <w:rPr>
          <w:rFonts w:hint="eastAsia"/>
        </w:rPr>
      </w:pPr>
      <w:bookmarkStart w:id="16" w:name="_Toc4490178"/>
      <w:r>
        <w:rPr>
          <w:rFonts w:hint="eastAsia" w:hAnsi="Calibri"/>
          <w:b/>
          <w:color w:val="000000"/>
        </w:rPr>
        <w:t>4.3 管理人对报告期内公平交易情况的专项说明</w:t>
      </w:r>
      <w:bookmarkEnd w:id="16"/>
    </w:p>
    <w:p>
      <w:pPr>
        <w:pStyle w:val="15"/>
        <w:rPr>
          <w:rFonts w:hint="eastAsia"/>
        </w:rPr>
      </w:pPr>
      <w:r>
        <w:rPr>
          <w:rFonts w:hint="eastAsia" w:hAnsi="Calibri"/>
          <w:b/>
          <w:color w:val="000000"/>
        </w:rPr>
        <w:t>4.3.1 公平交易制度和控制方法</w:t>
      </w:r>
    </w:p>
    <w:p>
      <w:pPr>
        <w:pStyle w:val="20"/>
        <w:spacing w:before="0"/>
        <w:ind w:left="0" w:firstLine="480"/>
        <w:rPr>
          <w:rFonts w:hint="eastAsia" w:hAnsi="Calibri"/>
          <w:color w:val="000000"/>
        </w:rPr>
      </w:pPr>
      <w:r>
        <w:rPr>
          <w:rFonts w:hint="eastAsia" w:hAnsi="Calibri"/>
          <w:color w:val="000000"/>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pStyle w:val="20"/>
        <w:spacing w:before="0"/>
        <w:ind w:left="0" w:firstLine="480"/>
        <w:rPr>
          <w:rFonts w:hint="eastAsia" w:hAnsi="Calibri"/>
          <w:color w:val="000000"/>
        </w:rPr>
      </w:pPr>
      <w:r>
        <w:rPr>
          <w:rFonts w:hint="eastAsia" w:hAnsi="Calibri"/>
          <w:color w:val="000000"/>
        </w:rPr>
        <w:t>1、授权、研究分析与投资决策的内部控制</w:t>
      </w:r>
    </w:p>
    <w:p>
      <w:pPr>
        <w:pStyle w:val="20"/>
        <w:spacing w:before="0"/>
        <w:ind w:left="0" w:firstLine="480"/>
        <w:rPr>
          <w:rFonts w:hint="eastAsia" w:hAnsi="Calibri"/>
          <w:color w:val="000000"/>
        </w:rPr>
      </w:pPr>
      <w:r>
        <w:rPr>
          <w:rFonts w:hint="eastAsia" w:hAnsi="Calibri"/>
          <w:color w:val="000000"/>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pStyle w:val="20"/>
        <w:spacing w:before="0"/>
        <w:ind w:left="0" w:firstLine="480"/>
        <w:rPr>
          <w:rFonts w:hint="eastAsia" w:hAnsi="Calibri"/>
          <w:color w:val="000000"/>
        </w:rPr>
      </w:pPr>
      <w:r>
        <w:rPr>
          <w:rFonts w:hint="eastAsia" w:hAnsi="Calibri"/>
          <w:color w:val="000000"/>
        </w:rPr>
        <w:t>2、交易执行的内部控制</w:t>
      </w:r>
    </w:p>
    <w:p>
      <w:pPr>
        <w:pStyle w:val="20"/>
        <w:spacing w:before="0"/>
        <w:ind w:left="0" w:firstLine="480"/>
        <w:rPr>
          <w:rFonts w:hint="eastAsia" w:hAnsi="Calibri"/>
          <w:color w:val="000000"/>
        </w:rPr>
      </w:pPr>
      <w:r>
        <w:rPr>
          <w:rFonts w:hint="eastAsia" w:hAnsi="Calibri"/>
          <w:color w:val="000000"/>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pStyle w:val="20"/>
        <w:spacing w:before="0"/>
        <w:ind w:left="0" w:firstLine="480"/>
        <w:rPr>
          <w:rFonts w:hint="eastAsia" w:hAnsi="Calibri"/>
          <w:color w:val="000000"/>
        </w:rPr>
      </w:pPr>
      <w:r>
        <w:rPr>
          <w:rFonts w:hint="eastAsia" w:hAnsi="Calibri"/>
          <w:color w:val="000000"/>
        </w:rPr>
        <w:t>3、交易指令分配的控制</w:t>
      </w:r>
    </w:p>
    <w:p>
      <w:pPr>
        <w:pStyle w:val="20"/>
        <w:spacing w:before="0"/>
        <w:ind w:left="0" w:firstLine="480"/>
        <w:rPr>
          <w:rFonts w:hint="eastAsia" w:hAnsi="Calibri"/>
          <w:color w:val="000000"/>
        </w:rPr>
      </w:pPr>
      <w:r>
        <w:rPr>
          <w:rFonts w:hint="eastAsia" w:hAnsi="Calibri"/>
          <w:color w:val="000000"/>
        </w:rPr>
        <w:t>所有投资对象的投资指令必须经由交易室总监或其授权人审核后分配至交易员执行。</w:t>
      </w:r>
    </w:p>
    <w:p>
      <w:pPr>
        <w:pStyle w:val="20"/>
        <w:spacing w:before="0"/>
        <w:ind w:left="0" w:firstLine="480"/>
        <w:rPr>
          <w:rFonts w:hint="eastAsia" w:hAnsi="Calibri"/>
          <w:color w:val="000000"/>
        </w:rPr>
      </w:pPr>
      <w:r>
        <w:rPr>
          <w:rFonts w:hint="eastAsia" w:hAnsi="Calibri"/>
          <w:color w:val="000000"/>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pStyle w:val="20"/>
        <w:spacing w:before="0"/>
        <w:ind w:left="0" w:firstLine="480"/>
        <w:rPr>
          <w:rFonts w:hint="eastAsia" w:hAnsi="Calibri"/>
          <w:color w:val="000000"/>
        </w:rPr>
      </w:pPr>
      <w:r>
        <w:rPr>
          <w:rFonts w:hint="eastAsia" w:hAnsi="Calibri"/>
          <w:color w:val="000000"/>
        </w:rPr>
        <w:t>4、公平交易监控</w:t>
      </w:r>
    </w:p>
    <w:p>
      <w:pPr>
        <w:pStyle w:val="20"/>
        <w:spacing w:before="0"/>
        <w:ind w:left="0" w:firstLine="480"/>
        <w:rPr>
          <w:rFonts w:hint="eastAsia"/>
        </w:rPr>
      </w:pPr>
      <w:r>
        <w:rPr>
          <w:rFonts w:hint="eastAsia" w:hAnsi="Calibri"/>
          <w:color w:val="000000"/>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4.3.2 公平交易制度的执行情况</w:t>
      </w:r>
    </w:p>
    <w:p>
      <w:pPr>
        <w:pStyle w:val="20"/>
        <w:spacing w:before="0"/>
        <w:ind w:left="0" w:firstLine="480"/>
        <w:rPr>
          <w:rFonts w:hint="eastAsia"/>
        </w:rPr>
      </w:pPr>
      <w:r>
        <w:rPr>
          <w:rFonts w:hint="eastAsia" w:hAnsi="Calibri"/>
          <w:color w:val="000000"/>
        </w:rPr>
        <w:t>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4.3.3 异常交易行为的专项说明</w:t>
      </w:r>
    </w:p>
    <w:p>
      <w:pPr>
        <w:pStyle w:val="20"/>
        <w:spacing w:before="0"/>
        <w:ind w:left="0" w:firstLine="480"/>
        <w:rPr>
          <w:rFonts w:hint="eastAsia" w:hAnsi="Calibri"/>
          <w:color w:val="000000"/>
        </w:rPr>
      </w:pPr>
      <w:r>
        <w:rPr>
          <w:rFonts w:hint="eastAsia" w:hAnsi="Calibri"/>
          <w:color w:val="000000"/>
        </w:rPr>
        <w:t>本报告期内，公司旗下所有投资组合参与的交易所公开竞价交易中，本基金与其他基金构成同日反向且交易成交较少的单边交易量超过该证券当日成交量的5%的交易共117次，本基金为量化选股策略基金，发生反向交易行为的原因为：基金在调仓时点，多个选股模型在少数股票上产生分歧，产生了反向交易信号而发生反向交易。交易时采用算法交易，全天匀速缓慢成交，未对当天的股票价格产生冲击。</w:t>
      </w:r>
    </w:p>
    <w:p>
      <w:pPr>
        <w:pStyle w:val="20"/>
        <w:spacing w:before="0"/>
        <w:ind w:left="0" w:firstLine="480"/>
        <w:rPr>
          <w:rFonts w:hint="eastAsia"/>
        </w:rPr>
      </w:pPr>
      <w:r>
        <w:rPr>
          <w:rFonts w:hint="eastAsia" w:hAnsi="Calibri"/>
          <w:color w:val="000000"/>
        </w:rPr>
        <w:t>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4490179"/>
      <w:r>
        <w:rPr>
          <w:rFonts w:hint="eastAsia" w:hAnsi="Calibri"/>
          <w:b/>
          <w:color w:val="000000"/>
        </w:rPr>
        <w:t>4.4 管理人对报告期内基金的投资策略和业绩表现的说明</w:t>
      </w:r>
      <w:bookmarkEnd w:id="17"/>
    </w:p>
    <w:p>
      <w:pPr>
        <w:pStyle w:val="15"/>
        <w:rPr>
          <w:rFonts w:hint="eastAsia"/>
        </w:rPr>
      </w:pPr>
      <w:r>
        <w:rPr>
          <w:rFonts w:hint="eastAsia" w:hAnsi="Calibri"/>
          <w:b/>
          <w:color w:val="000000"/>
        </w:rPr>
        <w:t>4.4.1 报告期内基金投资策略和运作分析</w:t>
      </w:r>
    </w:p>
    <w:p>
      <w:pPr>
        <w:pStyle w:val="20"/>
        <w:spacing w:before="0"/>
        <w:ind w:left="0" w:firstLine="480"/>
        <w:rPr>
          <w:rFonts w:hint="eastAsia"/>
        </w:rPr>
      </w:pPr>
      <w:r>
        <w:rPr>
          <w:rFonts w:hint="eastAsia" w:hAnsi="Calibri"/>
          <w:color w:val="000000"/>
        </w:rPr>
        <w:t>回顾2018年，我们严格依据量化模型进行投资，并严格进行风险管理。一方面，量化选股模型提供了选股依据；另一方面，仓位管理上我们严格按照量化择时模型进行操作。</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4.4.2 报告期内基金的业绩表现</w:t>
      </w:r>
    </w:p>
    <w:p>
      <w:pPr>
        <w:pStyle w:val="20"/>
        <w:spacing w:before="0"/>
        <w:ind w:left="0" w:firstLine="480"/>
        <w:rPr>
          <w:rFonts w:hint="eastAsia"/>
        </w:rPr>
      </w:pPr>
      <w:r>
        <w:rPr>
          <w:rFonts w:hint="eastAsia" w:hAnsi="Calibri"/>
          <w:color w:val="000000"/>
        </w:rPr>
        <w:t>截至报告期末创金合信量化多因子股票A基金份额净值为0.8789元，本报告期内，该类基金份额净值增长率为-22.75%，同期业绩比较基准收益率为-31.59%；截至报告期末创金合信量化多因子股票C基金份额净值为0.8657元，本报告期内，该类基金份额净值增长率为-23.37%，同期业绩比较基准收益率为-31.59%。</w:t>
      </w:r>
    </w:p>
    <w:p>
      <w:pPr>
        <w:widowControl/>
        <w:jc w:val="left"/>
        <w:rPr>
          <w:rFonts w:hint="eastAsia" w:ascii="宋体" w:hAnsi="宋体" w:cs="宋体"/>
          <w:kern w:val="0"/>
          <w:sz w:val="24"/>
          <w:szCs w:val="24"/>
        </w:rPr>
      </w:pPr>
    </w:p>
    <w:p>
      <w:pPr>
        <w:pStyle w:val="14"/>
        <w:rPr>
          <w:rFonts w:hint="eastAsia"/>
        </w:rPr>
      </w:pPr>
      <w:bookmarkStart w:id="18" w:name="_Toc4490180"/>
      <w:r>
        <w:rPr>
          <w:rFonts w:hint="eastAsia" w:hAnsi="Calibri"/>
          <w:b/>
          <w:color w:val="000000"/>
        </w:rPr>
        <w:t>4.5 管理人对宏观经济、证券市场及行业走势的简要展望</w:t>
      </w:r>
      <w:bookmarkEnd w:id="18"/>
    </w:p>
    <w:p>
      <w:pPr>
        <w:pStyle w:val="20"/>
        <w:spacing w:before="0"/>
        <w:ind w:left="0" w:firstLine="480"/>
        <w:rPr>
          <w:rFonts w:hint="eastAsia"/>
        </w:rPr>
      </w:pPr>
      <w:r>
        <w:rPr>
          <w:rFonts w:hint="eastAsia" w:hAnsi="Calibri"/>
          <w:color w:val="000000"/>
        </w:rPr>
        <w:t>全球经济增长前景趋弱叠加中美贸易摩擦的背景下，出口外需受到一定抑制。2019年的宏观经济不确定性增强，企业利润回落压力加大，经济下行风险仍然存在。从股票市场主要指数的估值水平来看，当前估值均处于历史低位，下行空间有限，2019年或有结构性行情出现。</w:t>
      </w:r>
    </w:p>
    <w:p>
      <w:pPr>
        <w:widowControl/>
        <w:jc w:val="left"/>
        <w:rPr>
          <w:rFonts w:hint="eastAsia" w:ascii="宋体" w:hAnsi="宋体" w:cs="宋体"/>
          <w:kern w:val="0"/>
          <w:sz w:val="24"/>
          <w:szCs w:val="24"/>
        </w:rPr>
      </w:pPr>
    </w:p>
    <w:p>
      <w:pPr>
        <w:pStyle w:val="14"/>
        <w:rPr>
          <w:rFonts w:hint="eastAsia"/>
        </w:rPr>
      </w:pPr>
      <w:bookmarkStart w:id="19" w:name="_Toc4490181"/>
      <w:r>
        <w:rPr>
          <w:rFonts w:hint="eastAsia" w:hAnsi="Calibri"/>
          <w:b/>
          <w:color w:val="000000"/>
        </w:rPr>
        <w:t>4.6 管理人内部有关本基金的监察稽核工作情况</w:t>
      </w:r>
      <w:bookmarkEnd w:id="19"/>
    </w:p>
    <w:p>
      <w:pPr>
        <w:pStyle w:val="20"/>
        <w:spacing w:before="0"/>
        <w:ind w:left="0" w:firstLine="480"/>
        <w:rPr>
          <w:rFonts w:hint="eastAsia"/>
        </w:rPr>
      </w:pPr>
      <w:r>
        <w:rPr>
          <w:rFonts w:hint="eastAsia"/>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pStyle w:val="20"/>
        <w:spacing w:before="0"/>
        <w:ind w:left="0" w:firstLine="480"/>
        <w:rPr>
          <w:rFonts w:hint="eastAsia"/>
        </w:rPr>
      </w:pPr>
      <w:r>
        <w:rPr>
          <w:rFonts w:hint="eastAsia"/>
        </w:rPr>
        <w:t>本报告期内，本基金管理人的主要内部监察稽核工作如下：</w:t>
      </w:r>
    </w:p>
    <w:p>
      <w:pPr>
        <w:pStyle w:val="20"/>
        <w:spacing w:before="0"/>
        <w:ind w:left="0" w:firstLine="480"/>
        <w:rPr>
          <w:rFonts w:hint="eastAsia"/>
        </w:rPr>
      </w:pPr>
      <w:r>
        <w:rPr>
          <w:rFonts w:hint="eastAsia"/>
        </w:rPr>
        <w:t>（1）开展全面自查工作，排查各项业务活动中存在的问题或潜在的风险隐患，制定整改计划，并督促按计划完成整改；</w:t>
      </w:r>
    </w:p>
    <w:p>
      <w:pPr>
        <w:pStyle w:val="20"/>
        <w:spacing w:before="0"/>
        <w:ind w:left="0" w:firstLine="480"/>
        <w:rPr>
          <w:rFonts w:hint="eastAsia"/>
        </w:rPr>
      </w:pPr>
      <w:r>
        <w:rPr>
          <w:rFonts w:hint="eastAsia"/>
        </w:rPr>
        <w:t>（2）开展公司专项稽核工作，了解合规风险现状、发现薄弱环节，并持续督导改进；</w:t>
      </w:r>
    </w:p>
    <w:p>
      <w:pPr>
        <w:pStyle w:val="20"/>
        <w:spacing w:before="0"/>
        <w:ind w:left="0" w:firstLine="480"/>
        <w:rPr>
          <w:rFonts w:hint="eastAsia"/>
        </w:rPr>
      </w:pPr>
      <w:r>
        <w:rPr>
          <w:rFonts w:hint="eastAsia"/>
        </w:rPr>
        <w:t>（3）强化合规法务工作。严格审核公司业务、产品及其合同等法律文件，解读最新的法律法规，发布合规提示或警示，举办合规培训；</w:t>
      </w:r>
    </w:p>
    <w:p>
      <w:pPr>
        <w:pStyle w:val="20"/>
        <w:spacing w:before="0"/>
        <w:ind w:left="0" w:firstLine="480"/>
        <w:rPr>
          <w:rFonts w:hint="eastAsia"/>
        </w:rPr>
      </w:pPr>
      <w:r>
        <w:rPr>
          <w:rFonts w:hint="eastAsia"/>
        </w:rPr>
        <w:t>（4）建立健全全面风险管理体系。全面梳理各业务部门的职责与权限，理顺工作流程；同时加强权限管理，健全事前、事中和事后的风险管理体系；</w:t>
      </w:r>
    </w:p>
    <w:p>
      <w:pPr>
        <w:pStyle w:val="20"/>
        <w:spacing w:before="0"/>
        <w:ind w:left="0" w:firstLine="480"/>
        <w:rPr>
          <w:rFonts w:hint="eastAsia"/>
        </w:rPr>
      </w:pPr>
      <w:r>
        <w:rPr>
          <w:rFonts w:hint="eastAsia"/>
        </w:rPr>
        <w:t>（5）完善信息披露工作。修订完善《信息披露制度》等制度，建立统一规范信息披露流程，明确各部门信息披露的职责分工，及时履行信息披露工作；</w:t>
      </w:r>
    </w:p>
    <w:p>
      <w:pPr>
        <w:pStyle w:val="20"/>
        <w:spacing w:before="0"/>
        <w:ind w:left="0" w:firstLine="480"/>
        <w:rPr>
          <w:rFonts w:hint="eastAsia"/>
        </w:rPr>
      </w:pPr>
      <w:r>
        <w:rPr>
          <w:rFonts w:hint="eastAsia"/>
        </w:rPr>
        <w:t>（6）加强关联交易管理。修订《关联交易管理制度》，履行关联交易决策审批程序；</w:t>
      </w:r>
    </w:p>
    <w:p>
      <w:pPr>
        <w:pStyle w:val="20"/>
        <w:spacing w:before="0"/>
        <w:ind w:left="0" w:firstLine="480"/>
        <w:rPr>
          <w:rFonts w:hint="eastAsia"/>
        </w:rPr>
      </w:pPr>
      <w:r>
        <w:rPr>
          <w:rFonts w:hint="eastAsia"/>
        </w:rPr>
        <w:t>（7）建立内幕交易防控机制。公司建立了《内幕交易防控管理办法》，定期开展关于防止内幕交易的合规培训，严防内幕信息传递和内幕交易发生；</w:t>
      </w:r>
    </w:p>
    <w:p>
      <w:pPr>
        <w:pStyle w:val="20"/>
        <w:spacing w:before="0"/>
        <w:ind w:left="0" w:firstLine="480"/>
        <w:rPr>
          <w:rFonts w:hint="eastAsia"/>
        </w:rPr>
      </w:pPr>
      <w:r>
        <w:rPr>
          <w:rFonts w:hint="eastAsia"/>
        </w:rPr>
        <w:t>（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p>
    <w:p>
      <w:pPr>
        <w:pStyle w:val="20"/>
        <w:spacing w:before="0"/>
        <w:ind w:left="0" w:firstLine="480"/>
        <w:rPr>
          <w:rFonts w:hint="eastAsia"/>
        </w:rPr>
      </w:pPr>
      <w:r>
        <w:rPr>
          <w:rFonts w:hint="eastAsia"/>
        </w:rPr>
        <w:t>（9）建立员工投资行为管理机制，规范员工的证券投资行为。</w:t>
      </w:r>
    </w:p>
    <w:p>
      <w:pPr>
        <w:pStyle w:val="20"/>
        <w:spacing w:before="0"/>
        <w:ind w:left="0" w:firstLine="480"/>
        <w:rPr>
          <w:rFonts w:hint="eastAsia"/>
        </w:rPr>
      </w:pPr>
      <w:r>
        <w:rPr>
          <w:rFonts w:hint="eastAsia"/>
        </w:rPr>
        <w:t>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4490182"/>
      <w:r>
        <w:rPr>
          <w:rFonts w:hint="eastAsia" w:hAnsi="Calibri"/>
          <w:b/>
          <w:color w:val="000000"/>
        </w:rPr>
        <w:t>4.7 管理人对报告期内基金估值程序等事项的说明</w:t>
      </w:r>
      <w:bookmarkEnd w:id="20"/>
    </w:p>
    <w:p>
      <w:pPr>
        <w:pStyle w:val="20"/>
        <w:spacing w:before="0"/>
        <w:ind w:left="0" w:firstLine="480"/>
        <w:rPr>
          <w:rFonts w:hint="eastAsia"/>
        </w:rPr>
      </w:pPr>
      <w:r>
        <w:rPr>
          <w:rFonts w:hint="eastAsia"/>
        </w:rPr>
        <w:t>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4490183"/>
      <w:r>
        <w:rPr>
          <w:rFonts w:hint="eastAsia"/>
          <w:b/>
          <w:bCs/>
        </w:rPr>
        <w:t>4.8 管理人对报告期内基金利润分配情况的说明</w:t>
      </w:r>
      <w:bookmarkEnd w:id="21"/>
    </w:p>
    <w:p>
      <w:pPr>
        <w:pStyle w:val="20"/>
        <w:spacing w:before="0"/>
        <w:ind w:left="0" w:firstLine="480"/>
        <w:rPr>
          <w:rFonts w:hint="eastAsia"/>
        </w:rPr>
      </w:pPr>
      <w:r>
        <w:rPr>
          <w:rFonts w:hint="eastAsia"/>
        </w:rPr>
        <w:t>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4490184"/>
      <w:r>
        <w:rPr>
          <w:rFonts w:hint="eastAsia"/>
          <w:b/>
          <w:bCs/>
        </w:rPr>
        <w:t>4.9 报告期内管理人对本基金持有人数或基金资产净值预警情形的说明</w:t>
      </w:r>
      <w:bookmarkEnd w:id="22"/>
    </w:p>
    <w:p>
      <w:pPr>
        <w:pStyle w:val="20"/>
        <w:spacing w:before="0"/>
        <w:ind w:left="0" w:firstLine="480"/>
        <w:rPr>
          <w:rFonts w:hint="eastAsia"/>
        </w:rPr>
      </w:pPr>
      <w:r>
        <w:rPr>
          <w:rFonts w:hint="eastAsia"/>
        </w:rPr>
        <w:t>本基金本报告期未出现连续二十个工作日基金份额持有人数量不满二百人或者基金资产净值低于五千万元的情形。</w:t>
      </w:r>
    </w:p>
    <w:p>
      <w:pPr>
        <w:widowControl/>
        <w:jc w:val="left"/>
        <w:rPr>
          <w:rFonts w:hint="eastAsia" w:ascii="宋体" w:hAnsi="宋体" w:cs="宋体"/>
          <w:kern w:val="0"/>
          <w:sz w:val="24"/>
          <w:szCs w:val="24"/>
        </w:rPr>
      </w:pPr>
    </w:p>
    <w:p>
      <w:pPr>
        <w:pStyle w:val="13"/>
        <w:rPr>
          <w:rFonts w:hint="eastAsia"/>
        </w:rPr>
      </w:pPr>
      <w:bookmarkStart w:id="23" w:name="_Toc4490185"/>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4490186"/>
      <w:r>
        <w:rPr>
          <w:rFonts w:hint="eastAsia"/>
          <w:b/>
          <w:bCs/>
        </w:rPr>
        <w:t>5.1 报告期内本基金托管人遵规守信情况声明</w:t>
      </w:r>
      <w:bookmarkEnd w:id="24"/>
    </w:p>
    <w:p>
      <w:pPr>
        <w:pStyle w:val="20"/>
        <w:spacing w:before="0"/>
        <w:ind w:left="0" w:firstLine="480"/>
        <w:rPr>
          <w:rFonts w:hint="eastAsia"/>
        </w:rPr>
      </w:pPr>
      <w:r>
        <w:rPr>
          <w:rFonts w:hint="eastAsia"/>
        </w:rPr>
        <w:t>本报告期内，本基金托管人在对创金合信量化多因子股票型证券投资基金的托管过程中，严格遵守《证券投资基金法》及其他法律法规和基金合同的有关规定，不存在任何损害基金份额持有人利益的行为，完全尽职尽责地履行了基金托管人应尽的义务。</w:t>
      </w:r>
    </w:p>
    <w:p>
      <w:pPr>
        <w:widowControl/>
        <w:jc w:val="left"/>
        <w:rPr>
          <w:rFonts w:hint="eastAsia" w:ascii="宋体" w:hAnsi="宋体" w:cs="宋体"/>
          <w:kern w:val="0"/>
          <w:sz w:val="24"/>
          <w:szCs w:val="24"/>
        </w:rPr>
      </w:pPr>
    </w:p>
    <w:p>
      <w:pPr>
        <w:pStyle w:val="14"/>
        <w:rPr>
          <w:rFonts w:hint="eastAsia"/>
        </w:rPr>
      </w:pPr>
      <w:bookmarkStart w:id="25" w:name="_Toc4490187"/>
      <w:r>
        <w:rPr>
          <w:rFonts w:hint="eastAsia"/>
          <w:b/>
          <w:bCs/>
        </w:rPr>
        <w:t>5.2 托管人对报告期内本基金投资运作遵规守信、净值计算、利润分配等情况的说明</w:t>
      </w:r>
      <w:bookmarkEnd w:id="25"/>
    </w:p>
    <w:p>
      <w:pPr>
        <w:pStyle w:val="20"/>
        <w:spacing w:before="0"/>
        <w:ind w:left="0" w:firstLine="480"/>
        <w:rPr>
          <w:rFonts w:hint="eastAsia"/>
        </w:rPr>
      </w:pPr>
      <w:r>
        <w:rPr>
          <w:rFonts w:hint="eastAsia"/>
        </w:rPr>
        <w:t>本报告期内，创金合信量化多因子股票型证券投资基金的管理人--创金合信基金管理有限公司在创金合信量化多因子股票型证券投资基金的投资运作、基金资产净值计算、基金份额申购赎回价格计算、基金费用开支等问题上，不存在任何损害基金份额持有人利益的行为，在各重要方面的运作严格按照基金合同的规定进行。本报告期内，创金合信量化多因子股票型证券投资基金未进行利润分配。</w:t>
      </w:r>
    </w:p>
    <w:p>
      <w:pPr>
        <w:widowControl/>
        <w:jc w:val="left"/>
        <w:rPr>
          <w:rFonts w:hint="eastAsia" w:ascii="宋体" w:hAnsi="宋体" w:cs="宋体"/>
          <w:kern w:val="0"/>
          <w:sz w:val="24"/>
          <w:szCs w:val="24"/>
        </w:rPr>
      </w:pPr>
    </w:p>
    <w:p>
      <w:pPr>
        <w:pStyle w:val="14"/>
        <w:rPr>
          <w:rFonts w:hint="eastAsia"/>
        </w:rPr>
      </w:pPr>
      <w:bookmarkStart w:id="26" w:name="_Toc4490188"/>
      <w:r>
        <w:rPr>
          <w:rFonts w:hint="eastAsia"/>
          <w:b/>
          <w:bCs/>
        </w:rPr>
        <w:t>5.3 托管人对本年度报告中财务信息等内容的真实、准确和完整发表意见</w:t>
      </w:r>
      <w:bookmarkEnd w:id="26"/>
    </w:p>
    <w:p>
      <w:pPr>
        <w:pStyle w:val="20"/>
        <w:spacing w:before="0"/>
        <w:ind w:left="0" w:firstLine="480"/>
        <w:rPr>
          <w:rFonts w:hint="eastAsia"/>
        </w:rPr>
      </w:pPr>
      <w:r>
        <w:rPr>
          <w:rFonts w:hint="eastAsia"/>
        </w:rPr>
        <w:t>本托管人依法对创金合信基金管理有限公司编制和披露的创金合信量化多因子股票型证券投资基金2018年年度报告中财务指标、净值表现、利润分配情况、财务会计报告、投资组合报告等内容进行了核查，以上内容真实、准确和完整。</w:t>
      </w:r>
    </w:p>
    <w:p>
      <w:pPr>
        <w:widowControl/>
        <w:jc w:val="left"/>
        <w:rPr>
          <w:rFonts w:hint="eastAsia" w:ascii="宋体" w:hAnsi="宋体" w:cs="宋体"/>
          <w:kern w:val="0"/>
          <w:sz w:val="24"/>
          <w:szCs w:val="24"/>
        </w:rPr>
      </w:pPr>
    </w:p>
    <w:p>
      <w:pPr>
        <w:pStyle w:val="13"/>
        <w:rPr>
          <w:rFonts w:hint="eastAsia"/>
        </w:rPr>
      </w:pPr>
      <w:bookmarkStart w:id="27" w:name="_Toc4490189"/>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4490190"/>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普华永道中天审字(2019)第24805号</w:t>
            </w:r>
          </w:p>
        </w:tc>
      </w:tr>
    </w:tbl>
    <w:p>
      <w:pPr>
        <w:widowControl/>
        <w:jc w:val="left"/>
        <w:rPr>
          <w:rFonts w:hint="eastAsia" w:ascii="宋体" w:hAnsi="宋体" w:cs="宋体"/>
          <w:kern w:val="0"/>
          <w:sz w:val="24"/>
          <w:szCs w:val="24"/>
        </w:rPr>
      </w:pPr>
    </w:p>
    <w:p>
      <w:pPr>
        <w:pStyle w:val="14"/>
        <w:rPr>
          <w:rFonts w:hint="eastAsia"/>
        </w:rPr>
      </w:pPr>
      <w:bookmarkStart w:id="29" w:name="_Toc4490191"/>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创金合信量化多因子股票型证券投资基金 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我们审计了创金合信量化多因子股票型证券投资基金(以下简称“ 创金合信量化多因子股票基金 ”)的财务报表，包括2018年12月31日的资产负债表，2018年度  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量化多因子股票基金 2018年12月31日的财务状况以及 2018年度的经营成果和基金净值变动情况。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按照中国注册会计师职业道德守则，我们独立于创金合信量化多因子股票基金，并履行了职业道德方面的其他责任。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多因子股票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量化多因子股票基金的持续经营能力，披露与持续经营相关的事项(如适用)，并运用持续经营假设，除非基金管理人管理层计划清算创金合信量化多因子股票基金、终止运营或别无其他现实的选择。 基金管理人治理层负责监督创金合信量化多因子股票基金的财务报告过程。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量化多因子股票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量化多因子股票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13"/>
        <w:rPr>
          <w:rFonts w:hint="eastAsia"/>
        </w:rPr>
      </w:pPr>
      <w:bookmarkStart w:id="30" w:name="_Toc4490192"/>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4490193"/>
      <w:r>
        <w:rPr>
          <w:rFonts w:hint="eastAsia"/>
          <w:b/>
          <w:bCs/>
        </w:rPr>
        <w:t>7.1 资产负债表</w:t>
      </w:r>
      <w:bookmarkEnd w:id="31"/>
    </w:p>
    <w:p>
      <w:pPr>
        <w:pStyle w:val="17"/>
        <w:rPr>
          <w:rFonts w:hint="eastAsia"/>
        </w:rPr>
      </w:pPr>
      <w:r>
        <w:rPr>
          <w:rFonts w:hint="eastAsia"/>
        </w:rPr>
        <w:t>会计主体：创金合信量化多因子股票型证券投资基金</w:t>
      </w:r>
    </w:p>
    <w:p>
      <w:pPr>
        <w:pStyle w:val="17"/>
        <w:rPr>
          <w:rFonts w:hint="eastAsia"/>
        </w:rPr>
      </w:pPr>
      <w:r>
        <w:rPr>
          <w:rFonts w:hint="eastAsia"/>
        </w:rPr>
        <w:t>报告截止日：2018年12月31日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608"/>
        <w:gridCol w:w="1363"/>
        <w:gridCol w:w="2529"/>
        <w:gridCol w:w="2620"/>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2018年12月31日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 </w:t>
            </w:r>
          </w:p>
          <w:p>
            <w:pPr>
              <w:pStyle w:val="18"/>
              <w:wordWrap w:val="0"/>
              <w:rPr>
                <w:rFonts w:hint="eastAsia"/>
              </w:rPr>
            </w:pPr>
            <w:r>
              <w:rPr>
                <w:rFonts w:hint="eastAsia" w:hAnsi="Calibri"/>
                <w:color w:val="000000"/>
              </w:rPr>
              <w:t>2017年12月31日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5,212,462.41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67,324,976.63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53,448,379.70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60,517,524.09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9,605,231.19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13,725,752.12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565,347,044.86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1,015,788,557.92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533,932,360.36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1,012,156,524.32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31,414,684.50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3,632,033.60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6,175,863.41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1,245,821.98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1,050,393.71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35,613.74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128,042.05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239,193.95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640,967,417.33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1,158,877,440.43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 </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7,028,069.21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3,622,760.19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503,942.68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2,386,290.87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831,922.37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1,509,787.69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138,653.73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251,631.30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7,152.27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32,973.32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1,723,375.80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2,257,842.78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209,048.36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210,401.50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15,940,771.07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10,271,687.65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711,331,486.96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1,009,924,932.46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-86,304,840.70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138,680,820.32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625,026,646.26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1,148,605,752.78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640,967,417.33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1,158,877,440.43</w:t>
            </w:r>
          </w:p>
        </w:tc>
      </w:tr>
    </w:tbl>
    <w:p>
      <w:pPr>
        <w:pStyle w:val="20"/>
        <w:rPr>
          <w:rFonts w:hint="eastAsia"/>
        </w:rPr>
      </w:pPr>
      <w:r>
        <w:rPr>
          <w:rFonts w:hint="eastAsia"/>
        </w:rPr>
        <w:t>注：报告截止日2018年12月31日，基金份额总额711,331,486.96份，其中下属A类基金份额698,816,848.60份，C类基金份额12,514,638.36份。下属A类基金份额净值0.8789元，C类基金份额净值0.8657元。</w:t>
      </w:r>
    </w:p>
    <w:p>
      <w:pPr>
        <w:widowControl/>
        <w:jc w:val="left"/>
        <w:rPr>
          <w:rFonts w:hint="eastAsia" w:ascii="宋体" w:hAnsi="宋体" w:cs="宋体"/>
          <w:kern w:val="0"/>
          <w:sz w:val="24"/>
          <w:szCs w:val="24"/>
        </w:rPr>
      </w:pPr>
    </w:p>
    <w:p>
      <w:pPr>
        <w:pStyle w:val="14"/>
        <w:rPr>
          <w:rFonts w:hint="eastAsia"/>
        </w:rPr>
      </w:pPr>
      <w:bookmarkStart w:id="32" w:name="_Toc4490194"/>
      <w:r>
        <w:rPr>
          <w:rFonts w:hint="eastAsia"/>
          <w:b/>
          <w:bCs/>
        </w:rPr>
        <w:t>7.2 利润表</w:t>
      </w:r>
      <w:bookmarkEnd w:id="32"/>
    </w:p>
    <w:p>
      <w:pPr>
        <w:pStyle w:val="17"/>
        <w:rPr>
          <w:rFonts w:hint="eastAsia"/>
        </w:rPr>
      </w:pPr>
      <w:r>
        <w:rPr>
          <w:rFonts w:hint="eastAsia"/>
        </w:rPr>
        <w:t>会计主体：创金合信量化多因子股票型证券投资基金</w:t>
      </w:r>
    </w:p>
    <w:p>
      <w:pPr>
        <w:pStyle w:val="17"/>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969"/>
        <w:gridCol w:w="1363"/>
        <w:gridCol w:w="2168"/>
        <w:gridCol w:w="2620"/>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2017年01月01日至2017年12月31日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-182,591,772.57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-85,211,384.52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1,802,442.62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2,589,071.17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1,267,122.86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1,320,231.60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535,319.76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402,961.60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865,877.97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-181,818,047.98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-132,962,530.39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-177,701,347.79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-136,264,360.39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62,634.82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432,681.26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-11,016,036.29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-7,400,436.00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6,836,701.28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10,269,584.74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-3,385,552.35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41,736,141.62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809,385.14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3,425,933.08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37,132,207.31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65,651,466.17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12,417,335.73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25,204,790.67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2,069,555.95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4,200,798.50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134,640.39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431,512.87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22,230,625.97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35,584,800.90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39,501.39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39,501.39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2,630.88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237,917.00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229,563.23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-219,723,979.88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-150,862,850.69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-219,723,979.88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-150,862,850.69</w:t>
            </w:r>
          </w:p>
        </w:tc>
      </w:tr>
    </w:tbl>
    <w:p>
      <w:pPr>
        <w:widowControl/>
        <w:jc w:val="left"/>
        <w:rPr>
          <w:rFonts w:hint="eastAsia" w:ascii="宋体" w:hAnsi="宋体" w:cs="宋体"/>
          <w:kern w:val="0"/>
          <w:sz w:val="24"/>
          <w:szCs w:val="24"/>
        </w:rPr>
      </w:pPr>
    </w:p>
    <w:p>
      <w:pPr>
        <w:pStyle w:val="14"/>
        <w:rPr>
          <w:rFonts w:hint="eastAsia"/>
        </w:rPr>
      </w:pPr>
      <w:bookmarkStart w:id="33" w:name="_Toc4490195"/>
      <w:r>
        <w:rPr>
          <w:rFonts w:hint="eastAsia"/>
          <w:b/>
          <w:bCs/>
        </w:rPr>
        <w:t>7.3 所有者权益（基金净值）变动表</w:t>
      </w:r>
      <w:bookmarkEnd w:id="33"/>
    </w:p>
    <w:p>
      <w:pPr>
        <w:pStyle w:val="17"/>
        <w:rPr>
          <w:rFonts w:hint="eastAsia"/>
        </w:rPr>
      </w:pPr>
      <w:r>
        <w:rPr>
          <w:rFonts w:hint="eastAsia"/>
        </w:rPr>
        <w:t>会计主体：创金合信量化多因子股票型证券投资基金</w:t>
      </w:r>
    </w:p>
    <w:p>
      <w:pPr>
        <w:pStyle w:val="17"/>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2299"/>
        <w:gridCol w:w="2156"/>
        <w:gridCol w:w="2156"/>
        <w:gridCol w:w="2587"/>
      </w:tblGrid>
      <w:tr>
        <w:tblPrEx>
          <w:tblCellMar>
            <w:top w:w="0" w:type="dxa"/>
            <w:left w:w="108" w:type="dxa"/>
            <w:bottom w:w="0" w:type="dxa"/>
            <w:right w:w="108" w:type="dxa"/>
          </w:tblCellMar>
        </w:tblPrEx>
        <w:trPr>
          <w:wBefore w:w="0" w:type="auto"/>
        </w:trPr>
        <w:tc>
          <w:tcPr>
            <w:tcW w:w="1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1,009,924,932.46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138,680,820.32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1,148,605,752.78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-219,723,979.88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-219,723,979.88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-298,593,445.50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-5,261,681.14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-303,855,126.64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270,470,199.05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16,255,718.24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286,725,917.29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-569,063,644.55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-21,517,399.38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-590,581,043.93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711,331,486.96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-86,304,840.70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625,026,646.26</w:t>
            </w: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2017年01月01日至2017年12月31日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1,467,906,594.71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363,709,164.66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1,831,615,759.37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-150,862,850.69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-150,862,850.69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-457,981,662.25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-74,165,493.65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-532,147,155.90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875,963,066.31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168,161,886.65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1,044,124,952.96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-1,333,944,728.56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-242,327,380.30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-1,576,272,108.86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1,009,924,932.46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138,680,820.32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1,148,605,752.78</w:t>
            </w:r>
          </w:p>
        </w:tc>
      </w:tr>
    </w:tbl>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4490196"/>
      <w:r>
        <w:rPr>
          <w:rFonts w:hint="eastAsia"/>
          <w:b/>
          <w:bCs/>
        </w:rPr>
        <w:t>7.4 报表附注</w:t>
      </w:r>
      <w:bookmarkEnd w:id="34"/>
    </w:p>
    <w:p>
      <w:pPr>
        <w:pStyle w:val="15"/>
        <w:rPr>
          <w:rFonts w:hint="eastAsia"/>
        </w:rPr>
      </w:pPr>
      <w:r>
        <w:rPr>
          <w:rFonts w:hint="eastAsia"/>
          <w:b/>
          <w:bCs/>
        </w:rPr>
        <w:t>7.4.1 基金基本情况</w:t>
      </w:r>
    </w:p>
    <w:p>
      <w:pPr>
        <w:pStyle w:val="20"/>
        <w:spacing w:before="0"/>
        <w:ind w:left="0" w:firstLine="480"/>
        <w:rPr>
          <w:rFonts w:hint="eastAsia"/>
        </w:rPr>
      </w:pPr>
      <w:r>
        <w:rPr>
          <w:rFonts w:hint="eastAsia"/>
        </w:rPr>
        <w:t>创金合信量化多因子股票型证券投资基金(以下简称"本基金")经中国证券监督管理委员会(以下简称"中国证监会")证监许可[2015]第2238号《关于准予创金合信量化多因子股票型证券投资基金注册的批复》核准，由创金合信基金管理有限公司依照《中华人民共和国证券投资基金法》和《创金合信量化多因子股票型证券投资基金基金合同》负责公开募集。本基金为契约型开放式，存续期限不定，首次设立募集不包括认购资金利息共募集人民币202,600,123.85元，业经普华永道中天会计师事务所(特殊普通合伙)普华永道中天验字(2016)第086号验资报告予以验证。经向中国证监会备案，《创金合信量化多因子股票型证券投资基金基金合同》于2016年1月22日正式生效，基金合同生效日的基金份额总额为202,639,215.47份基金份额，其中认购资金利息折合39,091.62份基金份额。本基金的基金管理人为创金合信基金管理有限公司，基金托管人为中国工商银行股份有限公司(以下简称"中国工商银行")。</w:t>
      </w:r>
    </w:p>
    <w:p>
      <w:pPr>
        <w:pStyle w:val="20"/>
        <w:spacing w:before="0"/>
        <w:ind w:left="0" w:firstLine="480"/>
        <w:rPr>
          <w:rFonts w:hint="eastAsia"/>
        </w:rPr>
      </w:pPr>
      <w:r>
        <w:rPr>
          <w:rFonts w:hint="eastAsia"/>
        </w:rPr>
        <w:t>根据《创金合信量化多因子股票型证券投资基金招募说明书》，本基金根据认购/申购费用与销售服务费收取方式的不同，将基金份额分为不同的类别。在投资人认购/申购时收取认购/申购费用的基金份额，称为A类基金份额；从本类别基金资产中计提销售服务费、不收取认购/申购费用的基金份额，称为C类基金份额。本基金A类、C类基金份额分别设置代码。由于基金费用的不同，本基金A类基金份额和C类基金份额将分别计算基金份额净值，计算公式为计算日各类别基金资产净值除以计算日发售在外的该类别基金份额总数。</w:t>
      </w:r>
    </w:p>
    <w:p>
      <w:pPr>
        <w:pStyle w:val="20"/>
        <w:spacing w:before="0"/>
        <w:ind w:left="0" w:firstLine="480"/>
        <w:rPr>
          <w:rFonts w:hint="eastAsia"/>
        </w:rPr>
      </w:pPr>
      <w:r>
        <w:rPr>
          <w:rFonts w:hint="eastAsia"/>
        </w:rPr>
        <w:t>根据《中华人民共和国证券投资基金法》和《创金合信量化多因子股票型证券投资基金基金合同》的有关规定，本基金的投资范围包括国内依法发行上市的股票(包括创业板、中小板以及其他中国证监会允许基金投资的股票)、债券(包括国债、央行票据、地方政府债、金融债、企业债、公司债、中小企业私募债、次级债、中期票据、短期融资券、可转换债券、可交换债券等)、资产支持证券、债券回购、银行存款、金融衍生品(权证、股指期货、股票期权等)及法律法规或中国证监会允许基金投资的其他金融工具。本基金的业绩比较基准为：中证1000指数收益率×90%+银行人民币活期存款利率(税后)×10%。</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量化多因子股票型证券投资基金基金合同》和在财务报表附注7.4.4所列示的中国证监会、中国基金业协会发布的有关规定及允许的基金行业实务操作编制。</w:t>
      </w:r>
    </w:p>
    <w:p>
      <w:pPr>
        <w:pStyle w:val="20"/>
        <w:spacing w:before="0"/>
        <w:ind w:left="0" w:firstLine="480"/>
        <w:rPr>
          <w:rFonts w:hint="eastAsia"/>
        </w:rPr>
      </w:pPr>
      <w:r>
        <w:rPr>
          <w:rFonts w:hint="eastAsia"/>
        </w:rPr>
        <w:t>本财务报表以持续经营为基础编制。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spacing w:before="0"/>
        <w:ind w:left="0" w:firstLine="480"/>
        <w:rPr>
          <w:rFonts w:hint="eastAsia"/>
        </w:rPr>
      </w:pPr>
      <w:r>
        <w:rPr>
          <w:rFonts w:hint="eastAsia"/>
        </w:rPr>
        <w:t>本基金2018年度财务报表符合企业会计准则的要求，真实、完整地反映了本基金2018年12月31日的财务状况以及2018年度的经营成果和基金净值变动情况等有关信息。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pStyle w:val="15"/>
        <w:rPr>
          <w:rFonts w:hint="eastAsia"/>
        </w:rPr>
      </w:pPr>
      <w:r>
        <w:rPr>
          <w:rFonts w:hint="eastAsia"/>
          <w:b/>
          <w:bCs/>
        </w:rPr>
        <w:t>7.4.4.1 会计年度</w:t>
      </w:r>
    </w:p>
    <w:p>
      <w:pPr>
        <w:pStyle w:val="20"/>
        <w:spacing w:before="0"/>
        <w:ind w:left="0" w:firstLine="480"/>
        <w:rPr>
          <w:rFonts w:hint="eastAsia"/>
        </w:rPr>
      </w:pPr>
      <w:r>
        <w:rPr>
          <w:rFonts w:hint="eastAsia"/>
        </w:rPr>
        <w:t>本基金会计年度为公历1月1日起至12月31日止。</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spacing w:before="0"/>
        <w:ind w:left="0" w:firstLine="480"/>
        <w:rPr>
          <w:rFonts w:hint="eastAsia"/>
        </w:rPr>
      </w:pPr>
      <w:r>
        <w:rPr>
          <w:rFonts w:hint="eastAsia"/>
        </w:rPr>
        <w:t>(1) 金融资产的分类</w:t>
      </w:r>
    </w:p>
    <w:p>
      <w:pPr>
        <w:pStyle w:val="20"/>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20"/>
        <w:spacing w:before="0"/>
        <w:ind w:left="0" w:firstLine="480"/>
        <w:rPr>
          <w:rFonts w:hint="eastAsia"/>
        </w:rPr>
      </w:pPr>
      <w:r>
        <w:rPr>
          <w:rFonts w:hint="eastAsia"/>
        </w:rPr>
        <w:t>本基金目前以交易目的持有的股票投资、债券投资、资产支持证券投资和衍生工具分类为以公允价值计量且其变动计入当期损益的金融资产。除衍生工具所产生的金融资产在资产负债表中以衍生金融资产列示外，以公允价值计量且其变动计入当期损益的金融资产在资产负债表中以交易性金融资产列示。</w:t>
      </w:r>
    </w:p>
    <w:p>
      <w:pPr>
        <w:pStyle w:val="20"/>
        <w:spacing w:before="0"/>
        <w:ind w:left="0" w:firstLine="480"/>
        <w:rPr>
          <w:rFonts w:hint="eastAsia"/>
        </w:rPr>
      </w:pPr>
      <w:r>
        <w:rPr>
          <w:rFonts w:hint="eastAsia"/>
        </w:rPr>
        <w:t>本基金持有的其他金融资产分类为应收款项，包括银行存款、买入返售金融资产和其他各类应收款项等。应收款项是指在活跃市场中没有报价、回收金额固定或可确定的非衍生金融资产。</w:t>
      </w:r>
    </w:p>
    <w:p>
      <w:pPr>
        <w:pStyle w:val="20"/>
        <w:spacing w:before="0"/>
        <w:ind w:left="0" w:firstLine="480"/>
        <w:rPr>
          <w:rFonts w:hint="eastAsia"/>
        </w:rPr>
      </w:pPr>
      <w:r>
        <w:rPr>
          <w:rFonts w:hint="eastAsia"/>
        </w:rPr>
        <w:t>(2) 金融负债的分类</w:t>
      </w:r>
    </w:p>
    <w:p>
      <w:pPr>
        <w:pStyle w:val="20"/>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pStyle w:val="20"/>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20"/>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20"/>
        <w:spacing w:before="0"/>
        <w:ind w:left="0" w:firstLine="480"/>
        <w:rPr>
          <w:rFonts w:hint="eastAsia"/>
        </w:rPr>
      </w:pPr>
      <w:r>
        <w:rPr>
          <w:rFonts w:hint="eastAsia"/>
        </w:rPr>
        <w:t>金融资产终止确认时，其账面价值与收到的对价的差额，计入当期损益。</w:t>
      </w:r>
    </w:p>
    <w:p>
      <w:pPr>
        <w:pStyle w:val="20"/>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spacing w:before="0"/>
        <w:ind w:left="0" w:firstLine="480"/>
        <w:rPr>
          <w:rFonts w:hint="eastAsia"/>
        </w:rPr>
      </w:pPr>
      <w:r>
        <w:rPr>
          <w:rFonts w:hint="eastAsia"/>
        </w:rPr>
        <w:t>本基金持有的股票投资、债券投资、资产支持证券投资和衍生工具按如下原则确定公允价值并进行估值：</w:t>
      </w:r>
    </w:p>
    <w:p>
      <w:pPr>
        <w:pStyle w:val="20"/>
        <w:spacing w:before="0"/>
        <w:ind w:left="0" w:firstLine="480"/>
        <w:rPr>
          <w:rFonts w:hint="eastAsia"/>
        </w:rPr>
      </w:pPr>
      <w:r>
        <w:rPr>
          <w:rFonts w:hint="eastAsia"/>
        </w:rPr>
        <w:t>(1) 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20"/>
        <w:spacing w:before="0"/>
        <w:ind w:left="0" w:firstLine="480"/>
        <w:rPr>
          <w:rFonts w:hint="eastAsia"/>
        </w:rPr>
      </w:pPr>
      <w:r>
        <w:rPr>
          <w:rFonts w:hint="eastAsia"/>
        </w:rPr>
        <w:t>(2)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20"/>
        <w:spacing w:before="0"/>
        <w:ind w:left="0" w:firstLine="480"/>
        <w:rPr>
          <w:rFonts w:hint="eastAsia"/>
        </w:rPr>
      </w:pPr>
      <w:r>
        <w:rPr>
          <w:rFonts w:hint="eastAsia"/>
        </w:rPr>
        <w:t>(3)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spacing w:before="0"/>
        <w:ind w:left="0" w:firstLine="480"/>
        <w:rPr>
          <w:rFonts w:hint="eastAsia"/>
        </w:rPr>
      </w:pPr>
      <w:r>
        <w:rPr>
          <w:rFonts w:hint="eastAsia"/>
        </w:rPr>
        <w:t>实收基金为对外发行基金份额所募集的总金额在扣除损益平准金分摊部分后的余额。由于申购和赎回引起的实收基金变动分别于基金申购确认日及基金赎回确认日认列。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spacing w:before="0"/>
        <w:ind w:left="0" w:firstLine="480"/>
        <w:rPr>
          <w:rFonts w:hint="eastAsia"/>
        </w:rPr>
      </w:pPr>
      <w:r>
        <w:rPr>
          <w:rFonts w:hint="eastAsia"/>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及由基金管理人缴纳的增值税后的净额确认为利息收入。资产支持证券在持有期间收到的款项，根据资产支持证券的预计收益率区分属于资产支持证券投资本金部分和投资收益部分，将本金部分冲减资产支持证券投资成本，并将投资收益部分扣除在适用情况下由基金管理人缴纳的增值税后的净额确认为利息收入。</w:t>
      </w:r>
    </w:p>
    <w:p>
      <w:pPr>
        <w:pStyle w:val="20"/>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20"/>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spacing w:before="0"/>
        <w:ind w:left="0" w:firstLine="480"/>
        <w:rPr>
          <w:rFonts w:hint="eastAsia"/>
        </w:rPr>
      </w:pPr>
      <w:r>
        <w:rPr>
          <w:rFonts w:hint="eastAsia"/>
        </w:rPr>
        <w:t>本基金的管理人报酬、托管费和销售服务费在费用涵盖期间按基金合同约定的费率和计算方法逐日确认。</w:t>
      </w:r>
    </w:p>
    <w:p>
      <w:pPr>
        <w:pStyle w:val="20"/>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spacing w:before="0"/>
        <w:ind w:left="0" w:firstLine="480"/>
        <w:rPr>
          <w:rFonts w:hint="eastAsia"/>
        </w:rPr>
      </w:pPr>
      <w:r>
        <w:rPr>
          <w:rFonts w:hint="eastAsia"/>
        </w:rPr>
        <w:t>本基金的收益分配政策为：(1) 本基金各基金份额类别在费用收取上不同，其对应的可分配收益可能有所不同。本基金同一类别的每一基金份额享有同等收益分配权；(2) 本基金收益分配方式分两种：现金分红与红利再投资，投资者可选择现金红利或将现金红利自动转为该类别基金份额进行再投资；若投资者不选择，本基金默认的收益分配方式是现金分红；(3) 基金收益分配后基金份额净值不能低于面值，即基金收益分配基准日的基金份额净值减去每单位基金份额收益分配金额后不能低于面值；(4) 在对基金份额持有人利益无实质不利影响的前提下，基金管理人可调整基金收益的分配原则和支付方式，不需召开基金份额持有人大会审议；(5) 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p>
    <w:p>
      <w:pPr>
        <w:pStyle w:val="20"/>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spacing w:before="0"/>
        <w:ind w:left="0" w:firstLine="480"/>
        <w:rPr>
          <w:rFonts w:hint="eastAsia"/>
        </w:rPr>
      </w:pPr>
      <w:r>
        <w:rPr>
          <w:rFonts w:hint="eastAsia"/>
        </w:rPr>
        <w:t>根据本基金的估值原则和中国证监会允许的基金行业估值实务操作，本基金确定以下类别股票投资和债券投资的公允价值时采用的估值方法及其关键假设如下：</w:t>
      </w:r>
    </w:p>
    <w:p>
      <w:pPr>
        <w:pStyle w:val="20"/>
        <w:spacing w:before="0"/>
        <w:ind w:left="0" w:firstLine="480"/>
        <w:rPr>
          <w:rFonts w:hint="eastAsia"/>
        </w:rPr>
      </w:pPr>
      <w:r>
        <w:rPr>
          <w:rFonts w:hint="eastAsia"/>
        </w:rPr>
        <w:t>(1) 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p>
    <w:p>
      <w:pPr>
        <w:pStyle w:val="20"/>
        <w:spacing w:before="0"/>
        <w:ind w:left="0" w:firstLine="480"/>
        <w:rPr>
          <w:rFonts w:hint="eastAsia"/>
        </w:rPr>
      </w:pPr>
      <w:r>
        <w:rPr>
          <w:rFonts w:hint="eastAsia"/>
        </w:rPr>
        <w:t>(2) 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债金融估值中心有限公司所独立提供的估值结果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20"/>
        <w:spacing w:before="0"/>
        <w:ind w:left="0" w:firstLine="480"/>
        <w:rPr>
          <w:rFonts w:hint="eastAsia"/>
        </w:rPr>
      </w:pPr>
      <w:r>
        <w:rPr>
          <w:rFonts w:hint="eastAsia"/>
        </w:rPr>
        <w:t>(1) 资管产品运营过程中发生的增值税应税行为，以资管产品管理人为增值税纳税人。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p>
    <w:p>
      <w:pPr>
        <w:pStyle w:val="20"/>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2018年1月1日起产生的利息及利息性质的收入为销售额。资管产品管理人运营资管产品转让2017年12月31日前取得的基金、非货物期货，可以选择按照实际买入价计算销售额，或者以2017年最后一个交易日的基金份额净值非货物期货结算价格作为买入价计算销售额。</w:t>
      </w:r>
    </w:p>
    <w:p>
      <w:pPr>
        <w:pStyle w:val="20"/>
        <w:spacing w:before="0"/>
        <w:ind w:left="0" w:firstLine="480"/>
        <w:rPr>
          <w:rFonts w:hint="eastAsia"/>
        </w:rPr>
      </w:pPr>
      <w:r>
        <w:rPr>
          <w:rFonts w:hint="eastAsia"/>
        </w:rPr>
        <w:t>(2) 对基金从证券市场中取得的收入，包括买卖股票、债券的差价收入，股票的股息、红利收入，债券的利息收入及其他收入，暂不征收企业所得税。</w:t>
      </w:r>
    </w:p>
    <w:p>
      <w:pPr>
        <w:pStyle w:val="20"/>
        <w:spacing w:before="0"/>
        <w:ind w:left="0" w:firstLine="480"/>
        <w:rPr>
          <w:rFonts w:hint="eastAsia"/>
        </w:rPr>
      </w:pPr>
      <w:r>
        <w:rPr>
          <w:rFonts w:hint="eastAsia"/>
        </w:rPr>
        <w:t>(3)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20"/>
        <w:spacing w:before="0"/>
        <w:ind w:left="0" w:firstLine="480"/>
        <w:rPr>
          <w:rFonts w:hint="eastAsia"/>
        </w:rPr>
      </w:pPr>
      <w:r>
        <w:rPr>
          <w:rFonts w:hint="eastAsia"/>
        </w:rPr>
        <w:t>(4) 基金卖出股票按0.1%的税率缴纳股票交易印花税，买入股票不征收股票交易印花税。</w:t>
      </w:r>
    </w:p>
    <w:p>
      <w:pPr>
        <w:pStyle w:val="20"/>
        <w:spacing w:before="0"/>
        <w:ind w:left="0" w:firstLine="480"/>
        <w:rPr>
          <w:rFonts w:hint="eastAsia"/>
        </w:rPr>
      </w:pPr>
      <w:r>
        <w:rPr>
          <w:rFonts w:hint="eastAsia"/>
        </w:rPr>
        <w:t>(5) 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075"/>
        <w:gridCol w:w="2985"/>
        <w:gridCol w:w="2985"/>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5,212,462.41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67,324,976.63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5,212,462.41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67,324,976.63</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554,424,687.38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533,932,360.36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-20,492,327.02</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31,441,715.70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31,414,684.50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-27,031.20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31,441,715.70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31,414,684.50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-27,031.20</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585,866,403.08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565,347,044.86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-20,519,358.22</w:t>
            </w:r>
          </w:p>
        </w:tc>
      </w:tr>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1,031,259,343.79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1,012,156,524.32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-19,102,819.47</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3,735,500.00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3,632,033.60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-103,466.40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3,735,500.00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3,632,033.60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-103,466.40</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1,034,994,843.79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1,015,788,557.92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-19,206,285.87</w:t>
            </w:r>
          </w:p>
        </w:tc>
      </w:tr>
    </w:tbl>
    <w:p>
      <w:pPr>
        <w:widowControl/>
        <w:jc w:val="left"/>
        <w:rPr>
          <w:rFonts w:hint="eastAsia" w:ascii="宋体" w:hAnsi="宋体" w:cs="宋体"/>
          <w:kern w:val="0"/>
          <w:sz w:val="24"/>
          <w:szCs w:val="24"/>
        </w:rPr>
      </w:pPr>
    </w:p>
    <w:p>
      <w:pPr>
        <w:pStyle w:val="15"/>
        <w:rPr>
          <w:rFonts w:hint="eastAsia"/>
        </w:rPr>
      </w:pPr>
      <w:r>
        <w:rPr>
          <w:rFonts w:hint="eastAsia"/>
          <w:b/>
          <w:bCs/>
        </w:rPr>
        <w:t>7.4.7.3 衍生金融资产/负债</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2514"/>
        <w:gridCol w:w="2159"/>
        <w:gridCol w:w="1084"/>
        <w:gridCol w:w="1283"/>
        <w:gridCol w:w="2158"/>
      </w:tblGrid>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合同/名义金额 </w:t>
            </w:r>
          </w:p>
        </w:tc>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8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资产</w:t>
            </w:r>
          </w:p>
        </w:tc>
        <w:tc>
          <w:tcPr>
            <w:tcW w:w="128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负债</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利率衍生工具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货币衍生工具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52,368,600.00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--股指期货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52,368,600.00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52,368,600.00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合同/名义金额 </w:t>
            </w:r>
          </w:p>
        </w:tc>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8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资产</w:t>
            </w:r>
          </w:p>
        </w:tc>
        <w:tc>
          <w:tcPr>
            <w:tcW w:w="128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负债</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利率衍生工具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货币衍生工具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62,921,480.00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--股指期货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62,921,480.00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62,921,480.00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pStyle w:val="20"/>
        <w:rPr>
          <w:rFonts w:hint="eastAsia"/>
        </w:rPr>
      </w:pPr>
      <w:r>
        <w:rPr>
          <w:rFonts w:hint="eastAsia"/>
        </w:rPr>
        <w:t>注：衍生金融资产项下的权益衍生工具为股指期货投资,净额为0。在当日无负债结算制度下,结算准备金已包括所持期货投资产生的持仓损益,则衍生金融资产项下的期货投资与相关的期货暂收款(结算所得的持仓损益)之间按抵销后的净额为0。</w:t>
      </w:r>
    </w:p>
    <w:p>
      <w:pPr>
        <w:widowControl/>
        <w:jc w:val="left"/>
        <w:rPr>
          <w:rFonts w:hint="eastAsia" w:ascii="宋体" w:hAnsi="宋体" w:cs="宋体"/>
          <w:kern w:val="0"/>
          <w:sz w:val="24"/>
          <w:szCs w:val="24"/>
        </w:rPr>
      </w:pP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20"/>
        <w:rPr>
          <w:rFonts w:hint="eastAsia"/>
        </w:rPr>
      </w:pPr>
      <w:r>
        <w:rPr>
          <w:rFonts w:hint="eastAsia"/>
        </w:rPr>
        <w:t>本基金本报告期末及上年度末未持有买入返售金融资产。</w:t>
      </w:r>
    </w:p>
    <w:p>
      <w:pPr>
        <w:widowControl/>
        <w:jc w:val="left"/>
        <w:rPr>
          <w:rFonts w:hint="eastAsia" w:ascii="宋体" w:hAnsi="宋体" w:cs="宋体"/>
          <w:kern w:val="0"/>
          <w:sz w:val="24"/>
          <w:szCs w:val="24"/>
        </w:rPr>
      </w:pPr>
    </w:p>
    <w:p>
      <w:pPr>
        <w:pStyle w:val="15"/>
        <w:rPr>
          <w:rFonts w:hint="eastAsia"/>
        </w:rPr>
      </w:pPr>
      <w:r>
        <w:rPr>
          <w:rFonts w:hint="eastAsia"/>
          <w:b/>
          <w:bCs/>
        </w:rPr>
        <w:t>7.4.7.4.2 期末买断式逆回购交易中取得的债券</w:t>
      </w:r>
    </w:p>
    <w:p>
      <w:pPr>
        <w:pStyle w:val="20"/>
        <w:rPr>
          <w:rFonts w:hint="eastAsia"/>
        </w:rPr>
      </w:pPr>
      <w:r>
        <w:rPr>
          <w:rFonts w:hint="eastAsia"/>
        </w:rPr>
        <w:t>本基金本报告期末及上年度末未持有买断式逆回购交易中取得的债券。</w:t>
      </w:r>
    </w:p>
    <w:p>
      <w:pPr>
        <w:widowControl/>
        <w:jc w:val="left"/>
        <w:rPr>
          <w:rFonts w:hint="eastAsia" w:ascii="宋体" w:hAnsi="宋体" w:cs="宋体"/>
          <w:kern w:val="0"/>
          <w:sz w:val="24"/>
          <w:szCs w:val="24"/>
        </w:rPr>
      </w:pP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1,213.64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19,729.30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181,982.62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12,819.38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867,007.04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2,786.32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278.74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1,050,393.71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35,613.74</w:t>
            </w:r>
          </w:p>
        </w:tc>
      </w:tr>
    </w:tbl>
    <w:p>
      <w:pPr>
        <w:widowControl/>
        <w:jc w:val="left"/>
        <w:rPr>
          <w:rFonts w:hint="eastAsia"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本基金本报告期末及上年度末未持有其他资产。</w:t>
      </w:r>
    </w:p>
    <w:p>
      <w:pPr>
        <w:widowControl/>
        <w:jc w:val="left"/>
        <w:rPr>
          <w:rFonts w:hint="eastAsia" w:ascii="宋体" w:hAnsi="宋体" w:cs="宋体"/>
          <w:kern w:val="0"/>
          <w:sz w:val="24"/>
          <w:szCs w:val="24"/>
        </w:rPr>
      </w:pP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1,723,375.80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2,257,617.78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225.00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1,723,375.80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2,257,842.78</w:t>
            </w:r>
          </w:p>
        </w:tc>
      </w:tr>
    </w:tbl>
    <w:p>
      <w:pPr>
        <w:widowControl/>
        <w:jc w:val="left"/>
        <w:rPr>
          <w:rFonts w:hint="eastAsia" w:ascii="宋体" w:hAnsi="宋体" w:cs="宋体"/>
          <w:kern w:val="0"/>
          <w:sz w:val="24"/>
          <w:szCs w:val="24"/>
        </w:rPr>
      </w:pP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1,401.50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209,048.36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210,401.50</w:t>
            </w:r>
          </w:p>
        </w:tc>
      </w:tr>
    </w:tbl>
    <w:p>
      <w:pPr>
        <w:widowControl/>
        <w:jc w:val="left"/>
        <w:rPr>
          <w:rFonts w:hint="eastAsia" w:ascii="宋体" w:hAnsi="宋体" w:cs="宋体"/>
          <w:kern w:val="0"/>
          <w:sz w:val="24"/>
          <w:szCs w:val="24"/>
        </w:rPr>
      </w:pP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创金合信量化多因子股票A</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(创金合信量化多因子股票A)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964,803,557.01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964,803,557.01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263,349,264.55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263,349,264.55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-529,335,972.96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-529,335,972.96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698,816,848.60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698,816,848.60</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创金合信量化多因子股票C</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(创金合信量化多因子股票C)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45,121,375.45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45,121,375.45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7,120,934.50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7,120,934.50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-39,727,671.59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-39,727,671.59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12,514,638.36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12,514,638.36</w:t>
            </w:r>
          </w:p>
        </w:tc>
      </w:tr>
    </w:tbl>
    <w:p>
      <w:pPr>
        <w:pStyle w:val="20"/>
        <w:rPr>
          <w:rFonts w:hint="eastAsia"/>
        </w:rPr>
      </w:pPr>
      <w:r>
        <w:rPr>
          <w:rFonts w:hint="eastAsia"/>
        </w:rPr>
        <w:t>申购含红利再投、转换入份(金)额,赎回含转换出份(金)额。</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创金合信量化多因子股票A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(创金合信量化多因子股票A)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124,514,699.13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8,313,121.65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132,827,820.78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-212,253,254.54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-2,837,535.28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-215,090,789.82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525,342.11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-2,886,999.20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-2,361,657.09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14,744,149.99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1,794,346.27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16,538,496.26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-14,218,807.88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-4,681,345.47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-18,900,153.35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-87,213,213.30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2,588,587.17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-84,624,626.13</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创金合信量化多因子股票C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(创金合信量化多因子股票C)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5,466,454.07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386,545.47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5,852,999.54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-4,085,172.99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-548,017.07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-4,633,190.06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-3,108,387.07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208,363.02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-2,900,024.05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-842,789.20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560,011.18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-282,778.02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-2,265,597.87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-351,648.16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-2,617,246.03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-1,727,105.99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46,891.42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-1,680,214.57</w:t>
            </w:r>
          </w:p>
        </w:tc>
      </w:tr>
    </w:tbl>
    <w:p>
      <w:pPr>
        <w:widowControl/>
        <w:jc w:val="left"/>
        <w:rPr>
          <w:rFonts w:hint="eastAsia" w:ascii="宋体" w:hAnsi="宋体" w:cs="宋体"/>
          <w:kern w:val="0"/>
          <w:sz w:val="24"/>
          <w:szCs w:val="24"/>
        </w:rPr>
      </w:pP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567"/>
        <w:gridCol w:w="3223"/>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311,271.76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696,083.06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949,419.98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614,842.67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6,431.12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9,305.87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1,267,122.86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1,320,231.60</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11,754,814,371.90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17,859,232,906.14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11,932,515,719.69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17,995,497,266.53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-177,701,347.79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-136,264,360.39</w:t>
            </w:r>
          </w:p>
        </w:tc>
      </w:tr>
    </w:tbl>
    <w:p>
      <w:pPr>
        <w:widowControl/>
        <w:jc w:val="left"/>
        <w:rPr>
          <w:rFonts w:hint="eastAsia" w:ascii="宋体" w:hAnsi="宋体" w:cs="宋体"/>
          <w:kern w:val="0"/>
          <w:sz w:val="24"/>
          <w:szCs w:val="24"/>
        </w:rPr>
      </w:pPr>
    </w:p>
    <w:p>
      <w:pPr>
        <w:pStyle w:val="15"/>
        <w:rPr>
          <w:rFonts w:hint="eastAsia"/>
        </w:rPr>
      </w:pPr>
      <w:r>
        <w:rPr>
          <w:rFonts w:hint="eastAsia"/>
          <w:b/>
          <w:bCs/>
        </w:rPr>
        <w:t>7.4.7.13 债券投资收益</w:t>
      </w:r>
    </w:p>
    <w:p>
      <w:pPr>
        <w:pStyle w:val="15"/>
        <w:rPr>
          <w:rFonts w:hint="eastAsia"/>
        </w:rPr>
      </w:pPr>
      <w:r>
        <w:rPr>
          <w:rFonts w:hint="eastAsia"/>
          <w:b/>
          <w:bCs/>
        </w:rPr>
        <w:t>7.4.7.13.1 债券投资收益项目构成</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7"/>
        <w:gridCol w:w="2939"/>
        <w:gridCol w:w="293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62,634.82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432,681.26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62,634.82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432,681.26</w:t>
            </w:r>
          </w:p>
        </w:tc>
      </w:tr>
    </w:tbl>
    <w:p>
      <w:pPr>
        <w:widowControl/>
        <w:jc w:val="left"/>
        <w:rPr>
          <w:rFonts w:hint="eastAsia" w:ascii="宋体" w:hAnsi="宋体" w:cs="宋体"/>
          <w:kern w:val="0"/>
          <w:sz w:val="24"/>
          <w:szCs w:val="24"/>
        </w:rPr>
      </w:pPr>
    </w:p>
    <w:p>
      <w:pPr>
        <w:pStyle w:val="15"/>
        <w:rPr>
          <w:rFonts w:hint="eastAsia"/>
        </w:rPr>
      </w:pPr>
      <w:r>
        <w:rPr>
          <w:rFonts w:hint="eastAsia"/>
          <w:b/>
          <w:bCs/>
        </w:rPr>
        <w:t>7.4.7.13.2 债券投资收益——买卖债券差价收入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261"/>
        <w:gridCol w:w="3392"/>
        <w:gridCol w:w="3392"/>
      </w:tblGrid>
      <w:tr>
        <w:tblPrEx>
          <w:tblCellMar>
            <w:top w:w="0" w:type="dxa"/>
            <w:left w:w="108" w:type="dxa"/>
            <w:bottom w:w="0" w:type="dxa"/>
            <w:right w:w="108" w:type="dxa"/>
          </w:tblCellMar>
        </w:tblPrEx>
        <w:trPr>
          <w:wBefore w:w="0" w:type="auto"/>
        </w:trPr>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4,203,920.01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125,292,085.26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4,137,300.00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124,453,990.00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3,985.19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405,414.00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62,634.82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432,681.26</w:t>
            </w:r>
          </w:p>
        </w:tc>
      </w:tr>
    </w:tbl>
    <w:p>
      <w:pPr>
        <w:widowControl/>
        <w:jc w:val="left"/>
        <w:rPr>
          <w:rFonts w:hint="eastAsia" w:ascii="宋体" w:hAnsi="宋体" w:cs="宋体"/>
          <w:kern w:val="0"/>
          <w:sz w:val="24"/>
          <w:szCs w:val="24"/>
        </w:rPr>
      </w:pPr>
    </w:p>
    <w:p>
      <w:pPr>
        <w:pStyle w:val="15"/>
        <w:rPr>
          <w:rFonts w:hint="eastAsia"/>
        </w:rPr>
      </w:pPr>
      <w:r>
        <w:rPr>
          <w:rFonts w:hint="eastAsia"/>
          <w:b/>
          <w:bCs/>
        </w:rPr>
        <w:t>7.4.7.14 衍生工具收益</w:t>
      </w:r>
    </w:p>
    <w:p>
      <w:pPr>
        <w:pStyle w:val="20"/>
        <w:rPr>
          <w:rFonts w:hint="eastAsia"/>
        </w:rPr>
      </w:pPr>
      <w:r>
        <w:rPr>
          <w:rFonts w:hint="eastAsia"/>
        </w:rPr>
        <w:t>本基金本报告期及上年度可比期间无衍生工具收益。</w:t>
      </w:r>
    </w:p>
    <w:p>
      <w:pPr>
        <w:widowControl/>
        <w:jc w:val="left"/>
        <w:rPr>
          <w:rFonts w:hint="eastAsia" w:ascii="宋体" w:hAnsi="宋体" w:cs="宋体"/>
          <w:kern w:val="0"/>
          <w:sz w:val="24"/>
          <w:szCs w:val="24"/>
        </w:rPr>
      </w:pPr>
    </w:p>
    <w:p>
      <w:pPr>
        <w:pStyle w:val="15"/>
        <w:rPr>
          <w:rFonts w:hint="eastAsia"/>
        </w:rPr>
      </w:pPr>
      <w:r>
        <w:rPr>
          <w:rFonts w:hint="eastAsia"/>
          <w:b/>
          <w:bCs/>
        </w:rPr>
        <w:t>7.4.7.14.2 衍生工具收益——其他投资收益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本期收益金额</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上年度可比期间收益金额</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期货投资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-11,016,036.29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-7,400,436.00</w:t>
            </w:r>
          </w:p>
        </w:tc>
      </w:tr>
    </w:tbl>
    <w:p>
      <w:pPr>
        <w:widowControl/>
        <w:jc w:val="left"/>
        <w:rPr>
          <w:rFonts w:hint="eastAsia" w:ascii="宋体" w:hAnsi="宋体" w:cs="宋体"/>
          <w:kern w:val="0"/>
          <w:sz w:val="24"/>
          <w:szCs w:val="24"/>
        </w:rPr>
      </w:pP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6,836,701.28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10,269,584.74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6,836,701.28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10,269,584.74</w:t>
            </w:r>
          </w:p>
        </w:tc>
      </w:tr>
    </w:tbl>
    <w:p>
      <w:pPr>
        <w:widowControl/>
        <w:jc w:val="left"/>
        <w:rPr>
          <w:rFonts w:hint="eastAsia" w:ascii="宋体" w:hAnsi="宋体" w:cs="宋体"/>
          <w:kern w:val="0"/>
          <w:sz w:val="24"/>
          <w:szCs w:val="24"/>
        </w:rPr>
      </w:pP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3166"/>
        <w:gridCol w:w="3166"/>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-1,313,072.35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40,807,861.62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-1,389,507.55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40,911,328.02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76,435.20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-103,466.40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-2,072,480.00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928,280.00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——期货投资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-2,072,480.00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928,280.00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-3,385,552.35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41,736,141.62</w:t>
            </w:r>
          </w:p>
        </w:tc>
      </w:tr>
    </w:tbl>
    <w:p>
      <w:pPr>
        <w:widowControl/>
        <w:jc w:val="left"/>
        <w:rPr>
          <w:rFonts w:hint="eastAsia" w:ascii="宋体" w:hAnsi="宋体" w:cs="宋体"/>
          <w:kern w:val="0"/>
          <w:sz w:val="24"/>
          <w:szCs w:val="24"/>
        </w:rPr>
      </w:pP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804,423.92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3,407,013.62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转换费收入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4,961.22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18,919.46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809,385.14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3,425,933.08</w:t>
            </w:r>
          </w:p>
        </w:tc>
      </w:tr>
    </w:tbl>
    <w:p>
      <w:pPr>
        <w:widowControl/>
        <w:jc w:val="left"/>
        <w:rPr>
          <w:rFonts w:hint="eastAsia" w:ascii="宋体" w:hAnsi="宋体" w:cs="宋体"/>
          <w:kern w:val="0"/>
          <w:sz w:val="24"/>
          <w:szCs w:val="24"/>
        </w:rPr>
      </w:pP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22,208,208.59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35,570,399.46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725.00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期货市场交易费用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22,417.38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13,676.44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22,230,625.97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35,584,800.90</w:t>
            </w:r>
          </w:p>
        </w:tc>
      </w:tr>
    </w:tbl>
    <w:p>
      <w:pPr>
        <w:widowControl/>
        <w:jc w:val="left"/>
        <w:rPr>
          <w:rFonts w:hint="eastAsia" w:ascii="宋体" w:hAnsi="宋体" w:cs="宋体"/>
          <w:kern w:val="0"/>
          <w:sz w:val="24"/>
          <w:szCs w:val="24"/>
        </w:rPr>
      </w:pP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1,963.23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查询服务费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237,917.00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229,563.23</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spacing w:before="0"/>
        <w:ind w:left="0" w:firstLine="480"/>
        <w:rPr>
          <w:rFonts w:hint="eastAsia"/>
        </w:rPr>
      </w:pPr>
      <w:r>
        <w:rPr>
          <w:rFonts w:hint="eastAsia"/>
        </w:rPr>
        <w:t>截至本财务报表批准报出日,本基金无须作披露的资产负债表日后事项。</w:t>
      </w:r>
    </w:p>
    <w:p>
      <w:pPr>
        <w:widowControl/>
        <w:jc w:val="left"/>
        <w:rPr>
          <w:rFonts w:hint="eastAsia" w:ascii="宋体" w:hAnsi="宋体" w:cs="宋体"/>
          <w:kern w:val="0"/>
          <w:sz w:val="24"/>
          <w:szCs w:val="24"/>
        </w:rPr>
      </w:pPr>
    </w:p>
    <w:p>
      <w:pPr>
        <w:pStyle w:val="15"/>
        <w:rPr>
          <w:b/>
          <w:bCs/>
        </w:rPr>
      </w:pPr>
      <w:r>
        <w:rPr>
          <w:rFonts w:hint="eastAsia"/>
          <w:b/>
          <w:bCs/>
        </w:rPr>
        <w:t>7.4.9 关联方关系</w:t>
      </w:r>
    </w:p>
    <w:p>
      <w:pPr>
        <w:pStyle w:val="15"/>
        <w:rPr>
          <w:b/>
        </w:rPr>
      </w:pPr>
      <w:r>
        <w:rPr>
          <w:rFonts w:hint="eastAsia"/>
          <w:b/>
          <w:bCs/>
        </w:rPr>
        <w:t>7.4.9.1</w:t>
      </w:r>
      <w:r>
        <w:rPr>
          <w:b/>
          <w:bCs/>
        </w:rPr>
        <w:t xml:space="preserve"> </w:t>
      </w:r>
      <w:r>
        <w:rPr>
          <w:rFonts w:hint="eastAsia"/>
          <w:b/>
        </w:rPr>
        <w:t>本报告期存在控制关系或其他重大利害关系的关联方发生变化的情况</w:t>
      </w:r>
    </w:p>
    <w:p>
      <w:pPr>
        <w:pStyle w:val="15"/>
        <w:ind w:firstLine="480" w:firstLineChars="200"/>
      </w:pPr>
      <w:r>
        <w:rPr>
          <w:rFonts w:hint="eastAsia"/>
        </w:rPr>
        <w:t>本报告期不存在重大关联方发生变化的情况。</w:t>
      </w:r>
    </w:p>
    <w:p>
      <w:pPr>
        <w:pStyle w:val="15"/>
      </w:pPr>
      <w:r>
        <w:rPr>
          <w:rFonts w:hint="eastAsia"/>
          <w:b/>
          <w:bCs/>
        </w:rPr>
        <w:t xml:space="preserve">7.4.9.2 </w:t>
      </w:r>
      <w:r>
        <w:rPr>
          <w:rFonts w:hint="eastAsia"/>
          <w:b/>
        </w:rPr>
        <w:t>本报告期与基金发生关联交易的各关联方</w:t>
      </w:r>
    </w:p>
    <w:tbl>
      <w:tblPr>
        <w:tblStyle w:val="7"/>
        <w:tblW w:w="9045" w:type="dxa"/>
        <w:tblInd w:w="108" w:type="dxa"/>
        <w:tblLayout w:type="autofit"/>
        <w:tblCellMar>
          <w:top w:w="0" w:type="dxa"/>
          <w:left w:w="108" w:type="dxa"/>
          <w:bottom w:w="0" w:type="dxa"/>
          <w:right w:w="108" w:type="dxa"/>
        </w:tblCellMar>
      </w:tblPr>
      <w:tblGrid>
        <w:gridCol w:w="4741"/>
        <w:gridCol w:w="430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中国工商银行股份有限公司(“中国工商银行”)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pStyle w:val="20"/>
        <w:rPr>
          <w:rFonts w:hint="eastAsia"/>
        </w:rPr>
      </w:pPr>
      <w:r>
        <w:rPr>
          <w:rFonts w:hint="eastAsia"/>
        </w:rPr>
        <w:t>注：下述关联交易均在正常业务范围内按一般商业条款订立。</w:t>
      </w:r>
    </w:p>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512,106,425.85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4,263,973,763.81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12.13%</w:t>
            </w:r>
          </w:p>
        </w:tc>
      </w:tr>
    </w:tbl>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本基金于本报告期及上年度可比期间均未通过关联方交易单元进行权证交易。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债券交易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481,272.22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8.72%</w:t>
            </w:r>
          </w:p>
        </w:tc>
      </w:tr>
    </w:tbl>
    <w:p>
      <w:pPr>
        <w:widowControl/>
        <w:jc w:val="left"/>
        <w:rPr>
          <w:rFonts w:hint="eastAsia" w:ascii="宋体" w:hAnsi="宋体" w:cs="宋体"/>
          <w:kern w:val="0"/>
          <w:sz w:val="24"/>
          <w:szCs w:val="24"/>
        </w:rPr>
      </w:pPr>
    </w:p>
    <w:p>
      <w:pPr>
        <w:pStyle w:val="15"/>
        <w:rPr>
          <w:rFonts w:hint="eastAsia"/>
        </w:rPr>
      </w:pPr>
      <w:r>
        <w:rPr>
          <w:rFonts w:hint="eastAsia"/>
          <w:b/>
          <w:bCs/>
        </w:rPr>
        <w:t>7.4.10.1.4 债券回购交易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1,176,000,000.00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19.25%</w:t>
            </w:r>
          </w:p>
        </w:tc>
      </w:tr>
    </w:tbl>
    <w:p>
      <w:pPr>
        <w:widowControl/>
        <w:jc w:val="left"/>
        <w:rPr>
          <w:rFonts w:hint="eastAsia" w:ascii="宋体" w:hAnsi="宋体" w:cs="宋体"/>
          <w:kern w:val="0"/>
          <w:sz w:val="24"/>
          <w:szCs w:val="24"/>
        </w:rPr>
      </w:pPr>
    </w:p>
    <w:p>
      <w:pPr>
        <w:pStyle w:val="15"/>
        <w:rPr>
          <w:rFonts w:hint="eastAsia"/>
        </w:rPr>
      </w:pPr>
      <w:r>
        <w:rPr>
          <w:rFonts w:hint="eastAsia"/>
          <w:b/>
          <w:bCs/>
        </w:rPr>
        <w:t>7.4.10.1.5 应支付关联方的佣金</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6"/>
        <w:gridCol w:w="2714"/>
        <w:gridCol w:w="1105"/>
        <w:gridCol w:w="2714"/>
        <w:gridCol w:w="124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162,899.17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2,321,111.91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329,267.36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14.58%</w:t>
            </w:r>
          </w:p>
        </w:tc>
      </w:tr>
    </w:tbl>
    <w:p>
      <w:pPr>
        <w:pStyle w:val="20"/>
        <w:rPr>
          <w:rFonts w:hint="eastAsia"/>
        </w:rPr>
      </w:pPr>
      <w:r>
        <w:rPr>
          <w:rFonts w:hint="eastAsia"/>
        </w:rPr>
        <w:t>注：1.上述佣金参考市场价格经本基金的基金管理人与对方协商确定,以扣除由中国证券登记结算有限责任公司收取的证管费和经手费的净额列示。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2607"/>
        <w:gridCol w:w="260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12,417,335.73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25,204,790.67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7,493,233.05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14,535,147.34</w:t>
            </w:r>
          </w:p>
        </w:tc>
      </w:tr>
    </w:tbl>
    <w:p>
      <w:pPr>
        <w:pStyle w:val="20"/>
        <w:rPr>
          <w:rFonts w:hint="eastAsia"/>
        </w:rPr>
      </w:pPr>
      <w:r>
        <w:rPr>
          <w:rFonts w:hint="eastAsia"/>
        </w:rPr>
        <w:t>注:本基金的管理费按前一日基金资产净值的1.50%年费率计提。管理费的计算方法如下：</w:t>
      </w:r>
      <w:r>
        <w:rPr>
          <w:rFonts w:hint="eastAsia"/>
        </w:rPr>
        <w:br w:type="textWrapping"/>
      </w:r>
      <w:r>
        <w:rPr>
          <w:rFonts w:hint="eastAsia"/>
        </w:rPr>
        <w:t>H＝E×1.50%÷当年天数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由基金管理人向基金托管人发送基金管理费划款指令，基金托管人复核后于次月前3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2727"/>
        <w:gridCol w:w="27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2,069,555.95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4,200,798.50</w:t>
            </w:r>
          </w:p>
        </w:tc>
      </w:tr>
    </w:tbl>
    <w:p>
      <w:pPr>
        <w:pStyle w:val="20"/>
        <w:rPr>
          <w:rFonts w:hint="eastAsia"/>
        </w:rPr>
      </w:pPr>
      <w:r>
        <w:rPr>
          <w:rFonts w:hint="eastAsia"/>
        </w:rPr>
        <w:t>注:本基金的托管费按前一日基金资产净值的0.25%的年费率计提。托管费的计算方法如下：</w:t>
      </w:r>
      <w:r>
        <w:rPr>
          <w:rFonts w:hint="eastAsia"/>
        </w:rPr>
        <w:br w:type="textWrapping"/>
      </w:r>
      <w:r>
        <w:rPr>
          <w:rFonts w:hint="eastAsia"/>
        </w:rPr>
        <w:t>H＝E×0.25%÷当年天数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由基金管理人向基金托管人发送基金托管费划款指令，基金托管人复核后于次月前3个工作日内从基金财产中一次性支付给基金托管人。若遇法定节假日、公休日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357"/>
        <w:gridCol w:w="3153"/>
        <w:gridCol w:w="3153"/>
        <w:gridCol w:w="1382"/>
      </w:tblGrid>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创金合信量化多因子股票A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创金合信量化多因子股票C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2,466.61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2,516.36</w:t>
            </w:r>
          </w:p>
        </w:tc>
      </w:tr>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创金合信量化多因子股票A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创金合信量化多因子股票C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1,162.74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77,031.38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77,031.38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78,194.12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78,194.12</w:t>
            </w:r>
          </w:p>
        </w:tc>
      </w:tr>
    </w:tbl>
    <w:p>
      <w:pPr>
        <w:pStyle w:val="20"/>
        <w:rPr>
          <w:rFonts w:hint="eastAsia"/>
        </w:rPr>
      </w:pPr>
      <w:r>
        <w:rPr>
          <w:rFonts w:hint="eastAsia"/>
        </w:rPr>
        <w:t>本基金C类基金份额的销售服务费按前一日C类基金份额基金资产净值的0.75%的年费率计提。销售服务费的计算方法如下：</w:t>
      </w:r>
      <w:r>
        <w:rPr>
          <w:rFonts w:hint="eastAsia"/>
        </w:rPr>
        <w:br w:type="textWrapping"/>
      </w:r>
      <w:r>
        <w:rPr>
          <w:rFonts w:hint="eastAsia"/>
        </w:rPr>
        <w:t>H＝E×0.75%÷当年天数</w:t>
      </w:r>
      <w:r>
        <w:rPr>
          <w:rFonts w:hint="eastAsia"/>
        </w:rPr>
        <w:br w:type="textWrapping"/>
      </w:r>
      <w:r>
        <w:rPr>
          <w:rFonts w:hint="eastAsia"/>
        </w:rPr>
        <w:t>H 为C类基金份额每日应计提的销售服务费</w:t>
      </w:r>
      <w:r>
        <w:rPr>
          <w:rFonts w:hint="eastAsia"/>
        </w:rPr>
        <w:br w:type="textWrapping"/>
      </w:r>
      <w:r>
        <w:rPr>
          <w:rFonts w:hint="eastAsia"/>
        </w:rPr>
        <w:t>E 为C类基金份额前一日的基金资产净值</w:t>
      </w:r>
      <w:r>
        <w:rPr>
          <w:rFonts w:hint="eastAsia"/>
        </w:rPr>
        <w:br w:type="textWrapping"/>
      </w:r>
      <w:r>
        <w:rPr>
          <w:rFonts w:hint="eastAsia"/>
        </w:rPr>
        <w:t>销售服务费每日计提，逐日累计至每月月末，按月支付。经基金管理人与基金托管人双方核对无误后，基金托管人按照与基金管理人协商一致的方式于次月前5个工作日内从基金财产中一次性支付，由登记机构代收，登记机构收到后按相关合同规定支付给基金销售机构。若遇法定节假日、休息日等，支付日期顺延。</w:t>
      </w:r>
      <w:r>
        <w:rPr>
          <w:rFonts w:hint="eastAsia"/>
        </w:rPr>
        <w:br w:type="textWrapping"/>
      </w:r>
      <w:r>
        <w:rPr>
          <w:rFonts w:hint="eastAsia"/>
        </w:rPr>
        <w:t>销售服务费可用于本基金市场推广、销售以及基金份额持有人服务等各项费用。</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本基金本报告期内及上年度可比期间均未与关联方进行银行间同业市场的债券(含回购)交易。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20"/>
        <w:rPr>
          <w:rFonts w:hint="eastAsia"/>
        </w:rPr>
      </w:pPr>
      <w:r>
        <w:rPr>
          <w:rFonts w:hint="eastAsia"/>
        </w:rPr>
        <w:t>本报告期及上年度可比期间内无基金管理人运用固有资金投资本基金的情况。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265"/>
        <w:gridCol w:w="1945"/>
        <w:gridCol w:w="1945"/>
        <w:gridCol w:w="2012"/>
        <w:gridCol w:w="1878"/>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5,212,462.41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311,271.76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67,324,976.63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696,083.06</w:t>
            </w:r>
          </w:p>
        </w:tc>
      </w:tr>
    </w:tbl>
    <w:p>
      <w:pPr>
        <w:pStyle w:val="20"/>
        <w:rPr>
          <w:rFonts w:hint="eastAsia"/>
        </w:rPr>
      </w:pPr>
      <w:r>
        <w:rPr>
          <w:rFonts w:hint="eastAsia"/>
        </w:rPr>
        <w:t>注：本基金的银行存款由基金托管人中国工商银行保管，按银行同业存款利率计息。</w:t>
      </w:r>
    </w:p>
    <w:p>
      <w:pPr>
        <w:widowControl/>
        <w:jc w:val="left"/>
        <w:rPr>
          <w:rFonts w:hint="eastAsia" w:ascii="宋体" w:hAnsi="宋体" w:cs="宋体"/>
          <w:kern w:val="0"/>
          <w:sz w:val="24"/>
          <w:szCs w:val="24"/>
        </w:rPr>
      </w:pP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本基金本报告期及上年度可比期间均未在承销期内参与关联方承销的证券。</w:t>
      </w:r>
    </w:p>
    <w:p>
      <w:pPr>
        <w:widowControl/>
        <w:jc w:val="left"/>
        <w:rPr>
          <w:rFonts w:hint="eastAsia" w:ascii="宋体" w:hAnsi="宋体" w:cs="宋体"/>
          <w:kern w:val="0"/>
          <w:sz w:val="24"/>
          <w:szCs w:val="24"/>
        </w:rPr>
      </w:pPr>
    </w:p>
    <w:p>
      <w:pPr>
        <w:pStyle w:val="15"/>
        <w:rPr>
          <w:rFonts w:hint="eastAsia"/>
        </w:rPr>
      </w:pPr>
      <w:r>
        <w:rPr>
          <w:rFonts w:hint="eastAsia"/>
          <w:b/>
          <w:bCs/>
        </w:rPr>
        <w:t>7.4.10.7 其他关联交易事项的说明</w:t>
      </w:r>
    </w:p>
    <w:p>
      <w:pPr>
        <w:pStyle w:val="20"/>
        <w:spacing w:before="0"/>
        <w:ind w:left="0" w:firstLine="480"/>
        <w:rPr>
          <w:rFonts w:hint="eastAsia"/>
        </w:rPr>
      </w:pPr>
      <w:r>
        <w:rPr>
          <w:rFonts w:hint="eastAsia"/>
        </w:rPr>
        <w:t>本基金本报告期及上年度可比期间无需作说明的其他关联交易事项。</w:t>
      </w:r>
    </w:p>
    <w:p>
      <w:pPr>
        <w:widowControl/>
        <w:jc w:val="left"/>
        <w:rPr>
          <w:rFonts w:hint="eastAsia" w:ascii="宋体" w:hAnsi="宋体" w:cs="宋体"/>
          <w:kern w:val="0"/>
          <w:sz w:val="24"/>
          <w:szCs w:val="24"/>
        </w:rPr>
      </w:pPr>
    </w:p>
    <w:p>
      <w:pPr>
        <w:pStyle w:val="15"/>
        <w:rPr>
          <w:rFonts w:hint="eastAsia"/>
        </w:rPr>
      </w:pPr>
      <w:r>
        <w:rPr>
          <w:rFonts w:hint="eastAsia"/>
          <w:b/>
          <w:bCs/>
        </w:rPr>
        <w:t>7.4.11 利润分配情况--非货币市场基金</w:t>
      </w:r>
    </w:p>
    <w:p>
      <w:pPr>
        <w:pStyle w:val="20"/>
        <w:rPr>
          <w:rFonts w:hint="eastAsia"/>
        </w:rPr>
      </w:pPr>
      <w:r>
        <w:rPr>
          <w:rFonts w:hint="eastAsia"/>
        </w:rPr>
        <w:t>本基金于本期未进行利润分配。</w:t>
      </w:r>
    </w:p>
    <w:p>
      <w:pPr>
        <w:widowControl/>
        <w:jc w:val="left"/>
        <w:rPr>
          <w:rFonts w:hint="eastAsia" w:ascii="宋体" w:hAnsi="宋体" w:cs="宋体"/>
          <w:kern w:val="0"/>
          <w:sz w:val="24"/>
          <w:szCs w:val="24"/>
        </w:rPr>
      </w:pPr>
    </w:p>
    <w:p>
      <w:pPr>
        <w:pStyle w:val="15"/>
        <w:rPr>
          <w:rFonts w:hint="eastAsia"/>
        </w:rPr>
      </w:pPr>
      <w:r>
        <w:rPr>
          <w:rFonts w:hint="eastAsia"/>
          <w:b/>
          <w:bCs/>
        </w:rPr>
        <w:t>7.4.12 期末（2018年12月31日）本基金持有的流通受限证券</w:t>
      </w:r>
    </w:p>
    <w:p>
      <w:pPr>
        <w:pStyle w:val="15"/>
        <w:rPr>
          <w:rFonts w:hint="eastAsia"/>
        </w:rPr>
      </w:pPr>
      <w:r>
        <w:rPr>
          <w:rFonts w:hint="eastAsia"/>
          <w:b/>
          <w:bCs/>
        </w:rPr>
        <w:t>7.4.12.1 因认购新发/增发证券而于期末持有的流通受限证券</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18"/>
        <w:gridCol w:w="818"/>
        <w:gridCol w:w="818"/>
        <w:gridCol w:w="818"/>
        <w:gridCol w:w="819"/>
        <w:gridCol w:w="819"/>
        <w:gridCol w:w="819"/>
        <w:gridCol w:w="1012"/>
        <w:gridCol w:w="819"/>
        <w:gridCol w:w="819"/>
        <w:gridCol w:w="819"/>
      </w:tblGrid>
      <w:tr>
        <w:tblPrEx>
          <w:tblCellMar>
            <w:top w:w="0" w:type="dxa"/>
            <w:left w:w="108" w:type="dxa"/>
            <w:bottom w:w="0" w:type="dxa"/>
            <w:right w:w="108" w:type="dxa"/>
          </w:tblCellMar>
        </w:tblPrEx>
        <w:trPr>
          <w:wBefore w:w="0" w:type="auto"/>
        </w:trPr>
        <w:tc>
          <w:tcPr>
            <w:tcW w:w="0" w:type="auto"/>
            <w:gridSpan w:val="11"/>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7.4.12.1.1 受限证券类别：股票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成功认购日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可流通日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流通受限类型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认购价格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数量（单位：股）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2019-01-03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50,145.80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50,145.80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7.4.12.2 期末持有的暂时停牌等流通受限股票</w:t>
      </w:r>
    </w:p>
    <w:p>
      <w:pPr>
        <w:pStyle w:val="20"/>
        <w:rPr>
          <w:rFonts w:hint="eastAsia"/>
        </w:rPr>
      </w:pPr>
      <w:r>
        <w:rPr>
          <w:rFonts w:hint="eastAsia"/>
        </w:rPr>
        <w:t>本基金本报告期末未持有暂时停牌等流通受限股票。</w:t>
      </w:r>
    </w:p>
    <w:p>
      <w:pPr>
        <w:widowControl/>
        <w:jc w:val="left"/>
        <w:rPr>
          <w:rFonts w:hint="eastAsia" w:ascii="宋体" w:hAnsi="宋体" w:cs="宋体"/>
          <w:kern w:val="0"/>
          <w:sz w:val="24"/>
          <w:szCs w:val="24"/>
        </w:rPr>
      </w:pPr>
    </w:p>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p>
      <w:pPr>
        <w:pStyle w:val="20"/>
        <w:rPr>
          <w:rFonts w:hint="eastAsia"/>
        </w:rPr>
      </w:pPr>
      <w:r>
        <w:rPr>
          <w:rFonts w:hint="eastAsia"/>
        </w:rPr>
        <w:t>截至本报告期末2018年12月31日止，本基金从事银行间市场债券正回购交易形成的卖出回购证券款余额为0，无抵押债券。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7.4.12.3.2 交易所市场债券正回购</w:t>
      </w:r>
    </w:p>
    <w:p>
      <w:pPr>
        <w:pStyle w:val="20"/>
        <w:spacing w:before="0"/>
        <w:ind w:left="0" w:firstLine="480"/>
        <w:rPr>
          <w:rFonts w:hint="eastAsia"/>
        </w:rPr>
      </w:pPr>
      <w:r>
        <w:rPr>
          <w:rFonts w:hint="eastAsia"/>
        </w:rPr>
        <w:t>截至本报告期末2018年12月31日止,基金从事证券交易所债券正回购交易形成的卖出回购证券款余额5,500,000.00元,于2019年1月2日到期。该类交易要求本基金在回购期内持有的证券交易所交易的债券和/或在新质押式回购下转入质押库的债券,按证券交易所规定的比例折算为标准券后,不低于债券回购交易的余额。</w:t>
      </w:r>
    </w:p>
    <w:p>
      <w:pPr>
        <w:widowControl/>
        <w:jc w:val="left"/>
        <w:rPr>
          <w:rFonts w:hint="eastAsia" w:ascii="宋体" w:hAnsi="宋体" w:cs="宋体"/>
          <w:kern w:val="0"/>
          <w:sz w:val="24"/>
          <w:szCs w:val="24"/>
        </w:rPr>
      </w:pP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20"/>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15"/>
        <w:rPr>
          <w:rFonts w:hint="eastAsia"/>
        </w:rPr>
      </w:pPr>
      <w:r>
        <w:rPr>
          <w:rFonts w:hint="eastAsia"/>
          <w:b/>
          <w:bCs/>
        </w:rPr>
        <w:t>7.4.13.2 信用风险</w:t>
      </w:r>
    </w:p>
    <w:p>
      <w:pPr>
        <w:pStyle w:val="20"/>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20"/>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工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20"/>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20"/>
        <w:spacing w:before="0"/>
        <w:ind w:left="0" w:firstLine="480"/>
        <w:rPr>
          <w:rFonts w:hint="eastAsia"/>
        </w:rPr>
      </w:pPr>
      <w:r>
        <w:rPr>
          <w:rFonts w:hint="eastAsia"/>
        </w:rPr>
        <w:t>本基金债券投资的信用评级情况按《中国人民银行信用评级管理指导意见》设定的标准统计及汇总。</w:t>
      </w:r>
    </w:p>
    <w:p>
      <w:pPr>
        <w:widowControl/>
        <w:jc w:val="left"/>
        <w:rPr>
          <w:rFonts w:hint="eastAsia" w:ascii="宋体" w:hAnsi="宋体" w:cs="宋体"/>
          <w:kern w:val="0"/>
          <w:sz w:val="24"/>
          <w:szCs w:val="24"/>
        </w:rPr>
      </w:pPr>
    </w:p>
    <w:p>
      <w:pPr>
        <w:pStyle w:val="15"/>
        <w:rPr>
          <w:rFonts w:hint="eastAsia"/>
        </w:rPr>
      </w:pPr>
      <w:r>
        <w:rPr>
          <w:rFonts w:hint="eastAsia"/>
          <w:b/>
          <w:bCs/>
        </w:rPr>
        <w:t>7.4.13.2.1 按长期信用评级列示的债券投资</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3,071,786.60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278,284.50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560,247.00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31,136,400.00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31,414,684.50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3,632,033.60</w:t>
            </w:r>
          </w:p>
        </w:tc>
      </w:tr>
    </w:tbl>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pStyle w:val="20"/>
        <w:spacing w:before="0"/>
        <w:ind w:left="0" w:firstLine="480"/>
        <w:rPr>
          <w:rFonts w:hint="eastAsia"/>
        </w:rPr>
      </w:pPr>
      <w:r>
        <w:rPr>
          <w:rFonts w:hint="eastAsia"/>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20"/>
        <w:spacing w:before="0"/>
        <w:ind w:left="0" w:firstLine="480"/>
        <w:rPr>
          <w:rFonts w:hint="eastAsia"/>
        </w:rPr>
      </w:pPr>
      <w:r>
        <w:rPr>
          <w:rFonts w:hint="eastAsia"/>
        </w:rPr>
        <w:t>于2018年12月31日，除卖出回购金融资产款余额中有5,500,000.00元将在一个月以内到期且计息(该利息金额不重大)外，本基金所承担的其他金融负债的合约约定到期日均为一个月以内且不计息，可赎回基金份额净值(所有者权益)无固定到期日且不计息，因此账面余额约为未折现的合约到期现金流量。</w:t>
      </w:r>
    </w:p>
    <w:p>
      <w:pPr>
        <w:widowControl/>
        <w:jc w:val="left"/>
        <w:rPr>
          <w:rFonts w:hint="eastAsia" w:ascii="宋体" w:hAnsi="宋体" w:cs="宋体"/>
          <w:kern w:val="0"/>
          <w:sz w:val="24"/>
          <w:szCs w:val="24"/>
        </w:rPr>
      </w:pPr>
    </w:p>
    <w:p>
      <w:pPr>
        <w:pStyle w:val="15"/>
        <w:rPr>
          <w:rFonts w:hint="eastAsia"/>
        </w:rPr>
      </w:pPr>
      <w:r>
        <w:rPr>
          <w:rFonts w:hint="eastAsia"/>
          <w:b/>
          <w:bCs/>
        </w:rPr>
        <w:t>7.4.13.3.1 报告期内本基金组合资产的流动性风险分析</w:t>
      </w:r>
    </w:p>
    <w:p>
      <w:pPr>
        <w:pStyle w:val="20"/>
        <w:spacing w:before="0"/>
        <w:ind w:left="0" w:firstLine="480"/>
        <w:rPr>
          <w:rFonts w:hint="eastAsia"/>
        </w:rPr>
      </w:pPr>
      <w:r>
        <w:rPr>
          <w:rFonts w:hint="eastAsia"/>
        </w:rPr>
        <w:t>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20"/>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20"/>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0.01%。</w:t>
      </w:r>
    </w:p>
    <w:p>
      <w:pPr>
        <w:pStyle w:val="20"/>
        <w:spacing w:before="0"/>
        <w:ind w:left="0" w:firstLine="480"/>
        <w:rPr>
          <w:rFonts w:hint="eastAsia"/>
        </w:rPr>
      </w:pPr>
      <w:r>
        <w:rPr>
          <w:rFonts w:hint="eastAsia"/>
        </w:rPr>
        <w:t>本基金的基金管理人每日对基金组合资产中7个工作日可变现资产的可变现价值进行审慎评估与测算，确保每日确认的净赎回申请不得超过7个工作日可变现资产的可变现价值。于2018年12月31日，本基金组合资产中7个工作日可变现资产的账面价值为577,680,273.97元，超过经确认的当日净赎回金额。</w:t>
      </w:r>
    </w:p>
    <w:p>
      <w:pPr>
        <w:pStyle w:val="20"/>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20"/>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15"/>
        <w:rPr>
          <w:rFonts w:hint="eastAsia"/>
        </w:rPr>
      </w:pPr>
      <w:r>
        <w:rPr>
          <w:rFonts w:hint="eastAsia"/>
          <w:b/>
          <w:bCs/>
        </w:rPr>
        <w:t>7.4.13.4 市场风险</w:t>
      </w:r>
    </w:p>
    <w:p>
      <w:pPr>
        <w:pStyle w:val="20"/>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20"/>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20"/>
        <w:spacing w:before="0"/>
        <w:ind w:left="0" w:firstLine="480"/>
        <w:rPr>
          <w:rFonts w:hint="eastAsia"/>
        </w:rPr>
      </w:pPr>
      <w:r>
        <w:rPr>
          <w:rFonts w:hint="eastAsia"/>
        </w:rPr>
        <w:t>本基金持有及承担的大部分金融资产和金融负债不计息，因此本基金的收入及经营活动的现金流量在很大程度上独立于市场利率变化。本基金持有的利率敏感性资产主要为银行存款、结算备付金、存出保证金、债券投资、资产支持证券投资及买入返售金融资产等。</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10200" w:type="dxa"/>
        <w:tblInd w:w="108" w:type="dxa"/>
        <w:tblLayout w:type="autofit"/>
        <w:tblCellMar>
          <w:top w:w="0" w:type="dxa"/>
          <w:left w:w="108" w:type="dxa"/>
          <w:bottom w:w="0" w:type="dxa"/>
          <w:right w:w="108" w:type="dxa"/>
        </w:tblCellMar>
      </w:tblPr>
      <w:tblGrid>
        <w:gridCol w:w="1020"/>
        <w:gridCol w:w="1882"/>
        <w:gridCol w:w="1650"/>
        <w:gridCol w:w="1418"/>
        <w:gridCol w:w="2115"/>
        <w:gridCol w:w="2115"/>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本期末2018年12月31日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5,212,462.41</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5,212,462.41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53,448,379.70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53,448,379.70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9,605,231.19</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9,605,231.19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31,136,400.00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278,284.50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533,932,360.36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565,347,044.86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6,175,863.41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6,175,863.41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1,050,393.71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1,050,393.71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128,042.05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128,042.05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99,402,473.30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278,284.50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541,286,659.53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640,967,417.33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卖出回购金融资产款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5,500,000.00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5,500,000.00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7,028,069.21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7,028,069.21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503,942.68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503,942.68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831,922.37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831,922.37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138,653.73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138,653.73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7,152.27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7,152.27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1,723,375.80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1,723,375.80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应交税费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3.47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-1,396.82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-1,396.82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209,048.36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209,048.36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5,500,000.00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10,440,771.07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15,940,771.07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93,902,473.30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278,284.50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530,845,888.46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625,026,646.26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上年度末2017年12月31日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67,324,976.63</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67,324,976.63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60,517,524.09</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60,517,524.09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13,725,752.12</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13,725,752.12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3,071,786.60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560,247.00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1,012,156,524.32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1,015,788,557.92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1,245,821.98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1,245,821.98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35,613.74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35,613.74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239,193.95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239,193.95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141,568,252.84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3,071,786.60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560,247.00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1,013,677,153.99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1,158,877,440.43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3,622,760.19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3,622,760.19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2,386,290.87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2,386,290.87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1,509,787.69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1,509,787.69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251,631.30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251,631.30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32,973.32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32,973.32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2,257,842.78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2,257,842.78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210,401.50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210,401.50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10,271,687.65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10,271,687.65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141,568,252.84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3,071,786.60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560,247.00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1,003,405,466.34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1,148,605,752.78</w:t>
            </w:r>
          </w:p>
        </w:tc>
      </w:tr>
    </w:tbl>
    <w:p>
      <w:pPr>
        <w:pStyle w:val="20"/>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15"/>
        <w:rPr>
          <w:rFonts w:hint="eastAsia"/>
        </w:rPr>
      </w:pPr>
      <w:r>
        <w:rPr>
          <w:rFonts w:hint="eastAsia"/>
          <w:b/>
          <w:bCs/>
        </w:rPr>
        <w:t>7.4.13.4.1.2 利率风险的敏感性分析</w:t>
      </w:r>
    </w:p>
    <w:p>
      <w:pPr>
        <w:pStyle w:val="20"/>
        <w:rPr>
          <w:rFonts w:hint="eastAsia"/>
        </w:rPr>
      </w:pPr>
      <w:r>
        <w:rPr>
          <w:rFonts w:hint="eastAsia"/>
        </w:rPr>
        <w:t>于2018年12月31日，本基金持有的交易性债券投资公允价值占基金资产净值的比例为5.03%(2017年12月31日：0.32%)，因此市场利率的变动对于本基金资产净值无重大影响(2017年12月31日：同)。</w:t>
      </w:r>
    </w:p>
    <w:p>
      <w:pPr>
        <w:widowControl/>
        <w:jc w:val="left"/>
        <w:rPr>
          <w:rFonts w:hint="eastAsia" w:ascii="宋体" w:hAnsi="宋体" w:cs="宋体"/>
          <w:kern w:val="0"/>
          <w:sz w:val="24"/>
          <w:szCs w:val="24"/>
        </w:rPr>
      </w:pPr>
    </w:p>
    <w:p>
      <w:pPr>
        <w:pStyle w:val="15"/>
        <w:rPr>
          <w:rFonts w:hint="eastAsia"/>
        </w:rPr>
      </w:pPr>
      <w:r>
        <w:rPr>
          <w:rFonts w:hint="eastAsia"/>
          <w:b/>
          <w:bCs/>
        </w:rPr>
        <w:t>7.4.13.4.2 外汇风险</w:t>
      </w:r>
    </w:p>
    <w:p>
      <w:pPr>
        <w:pStyle w:val="20"/>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15"/>
        <w:rPr>
          <w:rFonts w:hint="eastAsia"/>
        </w:rPr>
      </w:pPr>
      <w:r>
        <w:rPr>
          <w:rFonts w:hint="eastAsia"/>
          <w:b/>
          <w:bCs/>
        </w:rPr>
        <w:t>7.4.13.4.3 其他价格风险</w:t>
      </w:r>
    </w:p>
    <w:p>
      <w:pPr>
        <w:pStyle w:val="20"/>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20"/>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1809"/>
        <w:gridCol w:w="2533"/>
        <w:gridCol w:w="1085"/>
        <w:gridCol w:w="2533"/>
        <w:gridCol w:w="1085"/>
      </w:tblGrid>
      <w:tr>
        <w:tblPrEx>
          <w:tblCellMar>
            <w:top w:w="0" w:type="dxa"/>
            <w:left w:w="108" w:type="dxa"/>
            <w:bottom w:w="0" w:type="dxa"/>
            <w:right w:w="108" w:type="dxa"/>
          </w:tblCellMar>
        </w:tblPrEx>
        <w:trPr>
          <w:wBefore w:w="0" w:type="auto"/>
        </w:trPr>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533,932,360.36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85.43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1,012,156,524.32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88.12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533,932,360.36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85.43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1,012,156,524.32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88.12</w:t>
            </w:r>
          </w:p>
        </w:tc>
      </w:tr>
    </w:tbl>
    <w:p>
      <w:pPr>
        <w:widowControl/>
        <w:jc w:val="left"/>
        <w:rPr>
          <w:rFonts w:hint="eastAsia" w:ascii="宋体" w:hAnsi="宋体" w:cs="宋体"/>
          <w:kern w:val="0"/>
          <w:sz w:val="24"/>
          <w:szCs w:val="24"/>
        </w:rPr>
      </w:pPr>
    </w:p>
    <w:p>
      <w:pPr>
        <w:pStyle w:val="15"/>
        <w:rPr>
          <w:rFonts w:hint="eastAsia"/>
        </w:rPr>
      </w:pPr>
      <w:r>
        <w:rPr>
          <w:rFonts w:hint="eastAsia"/>
          <w:b/>
          <w:bCs/>
        </w:rPr>
        <w:t>7.4.13.4.3.2 其他价格风险的敏感性分析</w:t>
      </w:r>
    </w:p>
    <w:tbl>
      <w:tblPr>
        <w:tblStyle w:val="7"/>
        <w:tblW w:w="0" w:type="auto"/>
        <w:tblInd w:w="108" w:type="dxa"/>
        <w:tblLayout w:type="autofit"/>
        <w:tblCellMar>
          <w:top w:w="0" w:type="dxa"/>
          <w:left w:w="108" w:type="dxa"/>
          <w:bottom w:w="0" w:type="dxa"/>
          <w:right w:w="108" w:type="dxa"/>
        </w:tblCellMar>
      </w:tblPr>
      <w:tblGrid>
        <w:gridCol w:w="1081"/>
        <w:gridCol w:w="2759"/>
        <w:gridCol w:w="2679"/>
        <w:gridCol w:w="2679"/>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假设</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除业绩比较基准以外的其他市场变量保持不变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1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28,919,272.59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50,345,749.82</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-28,919,272.59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-50,345,749.82</w:t>
            </w:r>
          </w:p>
        </w:tc>
      </w:tr>
    </w:tbl>
    <w:p>
      <w:pPr>
        <w:widowControl/>
        <w:jc w:val="left"/>
        <w:rPr>
          <w:rFonts w:hint="eastAsia" w:ascii="宋体" w:hAnsi="宋体" w:cs="宋体"/>
          <w:kern w:val="0"/>
          <w:sz w:val="24"/>
          <w:szCs w:val="24"/>
        </w:rPr>
      </w:pPr>
    </w:p>
    <w:p>
      <w:pPr>
        <w:pStyle w:val="15"/>
        <w:rPr>
          <w:rFonts w:hint="eastAsia"/>
        </w:rPr>
      </w:pPr>
      <w:r>
        <w:rPr>
          <w:rFonts w:hint="eastAsia"/>
          <w:b/>
          <w:bCs/>
        </w:rPr>
        <w:t>7.4.14 有助于理解和分析会计报表需要说明的其他事项</w:t>
      </w:r>
    </w:p>
    <w:p>
      <w:pPr>
        <w:pStyle w:val="20"/>
        <w:spacing w:before="0"/>
        <w:ind w:left="0" w:firstLine="480"/>
        <w:rPr>
          <w:rFonts w:hint="eastAsia"/>
        </w:rPr>
      </w:pPr>
      <w:r>
        <w:rPr>
          <w:rFonts w:hint="eastAsia"/>
        </w:rPr>
        <w:t>(1)公允价值</w:t>
      </w:r>
    </w:p>
    <w:p>
      <w:pPr>
        <w:pStyle w:val="20"/>
        <w:spacing w:before="0"/>
        <w:ind w:left="0" w:firstLine="480"/>
        <w:rPr>
          <w:rFonts w:hint="eastAsia"/>
        </w:rPr>
      </w:pPr>
      <w:r>
        <w:rPr>
          <w:rFonts w:hint="eastAsia"/>
        </w:rPr>
        <w:t>(a)金融工具公允价值计量的方法</w:t>
      </w:r>
    </w:p>
    <w:p>
      <w:pPr>
        <w:pStyle w:val="20"/>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20"/>
        <w:spacing w:before="0"/>
        <w:ind w:left="0" w:firstLine="480"/>
        <w:rPr>
          <w:rFonts w:hint="eastAsia"/>
        </w:rPr>
      </w:pPr>
      <w:r>
        <w:rPr>
          <w:rFonts w:hint="eastAsia"/>
        </w:rPr>
        <w:t>第一层次：相同资产或负债在活跃市场上未经调整的报价。</w:t>
      </w:r>
    </w:p>
    <w:p>
      <w:pPr>
        <w:pStyle w:val="20"/>
        <w:spacing w:before="0"/>
        <w:ind w:left="0" w:firstLine="480"/>
        <w:rPr>
          <w:rFonts w:hint="eastAsia"/>
        </w:rPr>
      </w:pPr>
      <w:r>
        <w:rPr>
          <w:rFonts w:hint="eastAsia"/>
        </w:rPr>
        <w:t>第二层次：除第一层次输入值外相关资产或负债直接或间接可观察的输入值。</w:t>
      </w:r>
    </w:p>
    <w:p>
      <w:pPr>
        <w:pStyle w:val="20"/>
        <w:spacing w:before="0"/>
        <w:ind w:left="0" w:firstLine="480"/>
        <w:rPr>
          <w:rFonts w:hint="eastAsia"/>
        </w:rPr>
      </w:pPr>
      <w:r>
        <w:rPr>
          <w:rFonts w:hint="eastAsia"/>
        </w:rPr>
        <w:t>第三层次：相关资产或负债的不可观察输入值。</w:t>
      </w:r>
    </w:p>
    <w:p>
      <w:pPr>
        <w:pStyle w:val="20"/>
        <w:spacing w:before="0"/>
        <w:ind w:left="0" w:firstLine="480"/>
        <w:rPr>
          <w:rFonts w:hint="eastAsia"/>
        </w:rPr>
      </w:pPr>
      <w:r>
        <w:rPr>
          <w:rFonts w:hint="eastAsia"/>
        </w:rPr>
        <w:t>(b)持续的以公允价值计量的金融工具</w:t>
      </w:r>
    </w:p>
    <w:p>
      <w:pPr>
        <w:pStyle w:val="20"/>
        <w:spacing w:before="0"/>
        <w:ind w:left="0" w:firstLine="480"/>
        <w:rPr>
          <w:rFonts w:hint="eastAsia"/>
        </w:rPr>
      </w:pPr>
      <w:r>
        <w:rPr>
          <w:rFonts w:hint="eastAsia"/>
        </w:rPr>
        <w:t>(i)各层次金融工具公允价值</w:t>
      </w:r>
    </w:p>
    <w:p>
      <w:pPr>
        <w:pStyle w:val="20"/>
        <w:spacing w:before="0"/>
        <w:ind w:left="0" w:firstLine="480"/>
        <w:rPr>
          <w:rFonts w:hint="eastAsia"/>
        </w:rPr>
      </w:pPr>
      <w:r>
        <w:rPr>
          <w:rFonts w:hint="eastAsia"/>
        </w:rPr>
        <w:t>于2018年12月31日，本基金持有的以公允价值计量且其变动计入当期损益的金融资产中属于第一层次的余额为534,160,499.06元，属于第二层次的余额为31,186,545.80元，无属于第三层次的余额(2017年12月31日：第一层次956,415,505.92元，第二层次59,373,052.00元，无第三层次)。</w:t>
      </w:r>
    </w:p>
    <w:p>
      <w:pPr>
        <w:pStyle w:val="20"/>
        <w:spacing w:before="0"/>
        <w:ind w:left="0" w:firstLine="480"/>
        <w:rPr>
          <w:rFonts w:hint="eastAsia"/>
        </w:rPr>
      </w:pPr>
      <w:r>
        <w:rPr>
          <w:rFonts w:hint="eastAsia"/>
        </w:rPr>
        <w:t>(ii)公允价值所属层次间的重大变动</w:t>
      </w:r>
    </w:p>
    <w:p>
      <w:pPr>
        <w:pStyle w:val="20"/>
        <w:spacing w:before="0"/>
        <w:ind w:left="0" w:firstLine="480"/>
        <w:rPr>
          <w:rFonts w:hint="eastAsia"/>
        </w:rPr>
      </w:pPr>
      <w:r>
        <w:rPr>
          <w:rFonts w:hint="eastAsia"/>
        </w:rPr>
        <w:t>本基金以导致各层次之间转换的事项发生日为确认各层次之间转换的时点。</w:t>
      </w:r>
    </w:p>
    <w:p>
      <w:pPr>
        <w:pStyle w:val="20"/>
        <w:spacing w:before="0"/>
        <w:ind w:left="0" w:firstLine="480"/>
        <w:rPr>
          <w:rFonts w:hint="eastAsia"/>
        </w:rPr>
      </w:pPr>
      <w:r>
        <w:rPr>
          <w:rFonts w:hint="eastAsia"/>
        </w:rPr>
        <w:t>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pStyle w:val="20"/>
        <w:spacing w:before="0"/>
        <w:ind w:left="0" w:firstLine="480"/>
        <w:rPr>
          <w:rFonts w:hint="eastAsia"/>
        </w:rPr>
      </w:pPr>
      <w:r>
        <w:rPr>
          <w:rFonts w:hint="eastAsia"/>
        </w:rPr>
        <w:t>(iii)第三层次公允价值余额和本期变动金额</w:t>
      </w:r>
    </w:p>
    <w:p>
      <w:pPr>
        <w:pStyle w:val="20"/>
        <w:spacing w:before="0"/>
        <w:ind w:left="0" w:firstLine="480"/>
        <w:rPr>
          <w:rFonts w:hint="eastAsia"/>
        </w:rPr>
      </w:pPr>
      <w:r>
        <w:rPr>
          <w:rFonts w:hint="eastAsia"/>
        </w:rPr>
        <w:t>无。</w:t>
      </w:r>
    </w:p>
    <w:p>
      <w:pPr>
        <w:pStyle w:val="20"/>
        <w:spacing w:before="0"/>
        <w:ind w:left="0" w:firstLine="480"/>
        <w:rPr>
          <w:rFonts w:hint="eastAsia"/>
        </w:rPr>
      </w:pPr>
      <w:r>
        <w:rPr>
          <w:rFonts w:hint="eastAsia"/>
        </w:rPr>
        <w:t>(c)非持续的以公允价值计量的金融工具</w:t>
      </w:r>
    </w:p>
    <w:p>
      <w:pPr>
        <w:pStyle w:val="20"/>
        <w:spacing w:before="0"/>
        <w:ind w:left="0" w:firstLine="480"/>
        <w:rPr>
          <w:rFonts w:hint="eastAsia"/>
        </w:rPr>
      </w:pPr>
      <w:r>
        <w:rPr>
          <w:rFonts w:hint="eastAsia"/>
        </w:rPr>
        <w:t>于2018年12月31日，本基金未持有非持续的以公允价值计量的金融资产(2017年12月31日：同)。</w:t>
      </w:r>
    </w:p>
    <w:p>
      <w:pPr>
        <w:pStyle w:val="20"/>
        <w:spacing w:before="0"/>
        <w:ind w:left="0" w:firstLine="480"/>
        <w:rPr>
          <w:rFonts w:hint="eastAsia"/>
        </w:rPr>
      </w:pPr>
      <w:r>
        <w:rPr>
          <w:rFonts w:hint="eastAsia"/>
        </w:rPr>
        <w:t>(d)不以公允价值计量的金融工具</w:t>
      </w:r>
    </w:p>
    <w:p>
      <w:pPr>
        <w:pStyle w:val="20"/>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20"/>
        <w:spacing w:before="0"/>
        <w:ind w:left="0" w:firstLine="480"/>
        <w:rPr>
          <w:rFonts w:hint="eastAsia"/>
        </w:rPr>
      </w:pPr>
      <w:r>
        <w:rPr>
          <w:rFonts w:hint="eastAsia"/>
        </w:rPr>
        <w:t>(2)其他</w:t>
      </w:r>
    </w:p>
    <w:p>
      <w:pPr>
        <w:pStyle w:val="20"/>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13"/>
        <w:rPr>
          <w:rFonts w:hint="eastAsia"/>
        </w:rPr>
      </w:pPr>
      <w:bookmarkStart w:id="35" w:name="_Toc4490197"/>
      <w:r>
        <w:rPr>
          <w:rFonts w:hint="eastAsia" w:hAnsi="Calibri"/>
          <w:b/>
          <w:color w:val="000000"/>
        </w:rPr>
        <w:t>§8 投资组合报告</w:t>
      </w:r>
      <w:bookmarkEnd w:id="35"/>
    </w:p>
    <w:p>
      <w:pPr>
        <w:widowControl/>
        <w:jc w:val="left"/>
        <w:rPr>
          <w:rFonts w:hint="eastAsia" w:ascii="宋体" w:hAnsi="宋体" w:cs="宋体"/>
          <w:kern w:val="0"/>
          <w:sz w:val="24"/>
          <w:szCs w:val="24"/>
        </w:rPr>
      </w:pPr>
    </w:p>
    <w:p>
      <w:pPr>
        <w:pStyle w:val="14"/>
        <w:rPr>
          <w:rFonts w:hint="eastAsia"/>
        </w:rPr>
      </w:pPr>
      <w:bookmarkStart w:id="36" w:name="_Toc4490198"/>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533,932,360.36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83.30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533,932,360.36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83.30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31,414,684.50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31,414,684.50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58,660,842.11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16,959,530.36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640,967,417.33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bookmarkStart w:id="37" w:name="_Toc4490199"/>
      <w:r>
        <w:rPr>
          <w:rFonts w:hint="eastAsia"/>
          <w:b/>
          <w:bCs/>
        </w:rPr>
        <w:t>8.2 报告期末按行业分类的股票投资组合</w:t>
      </w:r>
      <w:bookmarkEnd w:id="37"/>
    </w:p>
    <w:tbl>
      <w:tblPr>
        <w:tblStyle w:val="7"/>
        <w:tblW w:w="0" w:type="auto"/>
        <w:tblInd w:w="108" w:type="dxa"/>
        <w:tblLayout w:type="autofit"/>
        <w:tblCellMar>
          <w:top w:w="0" w:type="dxa"/>
          <w:left w:w="108" w:type="dxa"/>
          <w:bottom w:w="0" w:type="dxa"/>
          <w:right w:w="108" w:type="dxa"/>
        </w:tblCellMar>
      </w:tblPr>
      <w:tblGrid>
        <w:gridCol w:w="720"/>
        <w:gridCol w:w="3974"/>
        <w:gridCol w:w="2167"/>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公允价值（元）</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8,938,739.00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5,640,632.00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325,260,766.39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52.04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18,407,864.52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9,902,106.24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32,275,103.97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20,806,719.00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27,678,264.82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2,620,864.80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0.42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36,324,792.22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8,360,878.00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351,868.00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19,176,453.67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15,812,621.73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2,374,686.00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533,932,360.36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85.43</w:t>
            </w:r>
          </w:p>
        </w:tc>
      </w:tr>
    </w:tbl>
    <w:p>
      <w:pPr>
        <w:widowControl/>
        <w:jc w:val="left"/>
        <w:rPr>
          <w:rFonts w:hint="eastAsia" w:ascii="宋体" w:hAnsi="宋体" w:cs="宋体"/>
          <w:kern w:val="0"/>
          <w:sz w:val="24"/>
          <w:szCs w:val="24"/>
        </w:rPr>
      </w:pPr>
    </w:p>
    <w:p>
      <w:pPr>
        <w:pStyle w:val="14"/>
        <w:rPr>
          <w:rFonts w:hint="eastAsia"/>
        </w:rPr>
      </w:pPr>
      <w:bookmarkStart w:id="38" w:name="_Toc4490200"/>
      <w:r>
        <w:rPr>
          <w:rFonts w:hint="eastAsia"/>
          <w:b/>
          <w:bCs/>
        </w:rPr>
        <w:t>8.3 期末按公允价值占基金资产净值比例大小排序的所有股票投资明细</w:t>
      </w:r>
      <w:bookmarkEnd w:id="38"/>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0"/>
        <w:gridCol w:w="1634"/>
        <w:gridCol w:w="1634"/>
        <w:gridCol w:w="1717"/>
        <w:gridCol w:w="1717"/>
        <w:gridCol w:w="167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公允价值(元)</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753,099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4,104,389.55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鸿路钢构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581,314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4,080,824.28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新联电子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4,073,862.00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宁波精达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358,383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4,064,063.22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苏美达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4,016,565.00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爱普股份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3,958,704.00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中电环保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3,951,018.00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远东传动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3,943,166.00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赣粤高速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3,748,680.00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泰豪科技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689,330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3,715,488.70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华录百纳</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3,664,575.00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宁波华翔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3,569,146.00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鸿利智汇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3,564,198.00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华谊集团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3,564,088.00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579,920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3,549,110.40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宁波联合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3,546,081.00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长海股份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3,471,956.00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恒丰纸业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3,424,662.00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远达环保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3,380,994.00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积成电子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551,918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3,377,738.16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三星医疗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599,672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3,376,153.36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海螺型材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3,348,069.00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太安堂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3,335,528.00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东方日升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3,252,404.00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郑煤机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3,243,898.00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明泰铝业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368,152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3,236,056.08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文化长城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3,166,353.00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聚力文化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3,153,422.00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天地科技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3,149,820.00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3,135,418.00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杭叉集团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3,012,918.00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华灿光电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3,006,234.00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690,586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3,004,049.10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联创电子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3,003,980.00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鹿港文化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2,993,328.00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峨眉山Ａ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526,082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2,977,624.12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长青股份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2,943,450.00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通润装备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2,902,840.00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2,844,702.00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吉林敖东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2,831,166.00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太龙药业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2,806,360.00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中航重机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376,341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2,799,977.04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常宝股份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2,792,200.00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484,946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2,788,439.50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康旗股份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2,685,235.00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轻纺城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732,140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2,672,311.00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羚锐制药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2,662,080.00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中华企业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473,743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2,643,485.94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大众交通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2,641,380.00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2,631,986.00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金枫酒业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549,522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2,615,724.72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银星能源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882,808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2,613,111.68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黑牡丹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2,612,466.00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迪马股份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2,603,640.00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众生药业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309,573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2,584,934.55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东宝生物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696,158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2,575,784.60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德宏股份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2,571,840.00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梦百合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2,498,089.00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淮北矿业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2,495,190.00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诺力股份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2,493,085.60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北辰实业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2,486,696.00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常铝股份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2,475,990.00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海信电器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2,472,064.00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粤 水 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906,792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2,466,474.24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东方电热</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2,457,917.00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方直科技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2,446,630.00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中原传媒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309,269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2,433,947.03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2,417,188.00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天源迪科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2,404,537.30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万向德农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2,324,375.00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金河生物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2,320,984.00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佛山照明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2,318,568.00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金发科技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2,290,365.00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中恒集团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2,286,015.00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通宝能源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2,285,871.00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京运通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2,282,175.00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2,267,350.00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益佰制药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2,265,408.00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博瑞传播</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2,257,906.00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中储股份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2,256,500.00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龙洲股份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523,150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2,249,545.00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旭光股份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2,218,839.00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时代出版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2,169,654.00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长江润发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2,160,965.00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兴蓉环境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2,133,885.00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仟源医药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2,131,272.00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大西洋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2,128,576.00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日照港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2,123,820.00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天地源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2,120,072.00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中联重科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2,112,504.00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2,103,720.00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黑芝麻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752,502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2,099,480.58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楚江新材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2,083,541.67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科远股份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2,068,092.00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南方传媒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2,042,692.00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阳谷华泰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2,040,094.98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穗恒运Ａ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390,914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1,978,024.84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汉宇集团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1,952,278.00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东风汽车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1,937,160.00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高能环境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1,929,530.00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莎普爱思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280,710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1,922,863.50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赛升药业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1,914,912.00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华邦健康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1,882,724.00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1,828,200.00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国祯环保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1,804,515.00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辽宁成大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170,942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1,788,053.32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阳光照明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1,785,817.00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江西长运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1,782,688.00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桂林旅游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1,781,076.50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信达地产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1,777,539.00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冠城大通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476,419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1,772,278.68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春兰股份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508,824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1,770,707.52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益盛药业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1,769,538.68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宏盛股份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1,765,280.00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华联控股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1,764,302.00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中飞股份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150,794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1,761,273.92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启明信息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1,760,701.32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联环药业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295,649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1,759,111.55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清水源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1,755,270.40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万邦德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1,752,750.00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黔轮胎Ａ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523,035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1,752,167.25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1,748,552.94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哈尔斯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1,740,611.25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 螳 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1,739,070.00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普丽盛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1,735,764.66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浙大网新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1,733,284.00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百洋股份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1,731,072.00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千金药业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221,921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1,722,106.96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鹭燕医药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1,720,106.00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瑞凌股份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357,241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1,714,756.80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嘉欣丝绸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1,700,765.00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中航电测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1,689,576.00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润达医疗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1,675,270.00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苏州固锝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1,662,520.00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仁和药业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1,650,576.00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1,613,480.00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福建高速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1,587,465.00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美克家居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401,493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1,585,897.35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1,584,610.00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力星股份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1,583,780.00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浙数文化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1,581,915.00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红日药业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1,560,075.00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香溢融通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1,552,918.00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如意集团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1,543,512.00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欧亚集团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1,522,692.00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中粮糖业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1,461,696.00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灵康药业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1,455,894.00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滨江集团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1,445,138.00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冰川网络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1,443,663.00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广宇发展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1,442,574.00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1,424,791.00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绿地控股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1,420,575.00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深康佳Ａ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1,419,768.00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广信股份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1,419,600.00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四川美丰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1,416,644.00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国星光电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1,413,963.60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金刚玻璃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1,411,410.00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1,411,200.00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新研股份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1,406,511.00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威孚高科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1,406,177.50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大金重工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1,401,130.00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鹏欣资源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1,400,490.00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长虹华意</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362,725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1,400,118.50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洪涛股份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1,397,091.00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天能重工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108,614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1,395,689.90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185,516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1,395,080.32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博思软件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1,393,063.20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金龙汽车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1,383,700.00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华东重机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1,360,872.00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鲁阳节能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1,353,506.00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创元科技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1,316,546.00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华力创通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164,433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1,246,402.14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维尔利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1,242,792.00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百隆东方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1,241,485.00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文山电力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1,238,714.00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精达股份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1,234,332.00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徐家汇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1,226,063.30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广安爱众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1,225,176.00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韶能股份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1,224,996.00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双良节能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367,780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1,224,707.40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海兴电力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1,224,600.00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现代投资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1,221,071.00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家家悦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1,219,463.00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莱克电气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1,219,050.00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天保基建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316,560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1,218,756.00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伟星股份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1,218,672.00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金晶科技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1,218,598.00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醋化股份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1,218,496.00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天房发展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373,240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1,213,030.00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九洲电气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1,210,703.76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金财互联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1,195,426.00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正虹科技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1,158,148.00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中油资本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1,142,725.00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金石东方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1,130,448.00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隧道股份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1,126,800.00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洲明科技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1,115,226.00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三祥新材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1,108,400.00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立讯精密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1,092,462.00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岭南股份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1,091,475.00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双星新材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1,084,770.00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海宁皮城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1,084,265.00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智度股份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1,082,809.00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申通快递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1,077,475.00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东北证券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1,072,338.00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特变电工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1,072,141.00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中航善达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1,071,884.00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瑞康医药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1,068,501.00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凌云股份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1,068,200.00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赞宇科技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1,067,430.00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巨化股份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1,066,767.00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博汇纸业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1,065,402.00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海伦钢琴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1,062,621.00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维格娜丝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1,061,730.00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同大股份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1,060,070.00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通程控股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1,059,576.00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深天马Ａ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1,059,480.00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新潮能源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1,058,140.00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幸福蓝海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1,056,720.00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皖维高新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1,056,655.00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惠而浦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1,054,104.00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蓝色光标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1,052,884.00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美晨生态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1,052,337.00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城发环境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1,047,537.00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激智科技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1,042,800.00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上工申贝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1,036,504.00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常熟汽饰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1,035,760.00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广东明珠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1,026,760.00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龙星化工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135,477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1,024,206.12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二六三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1,021,108.00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张家界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1,016,884.00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理工光科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1,016,825.00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云南城投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1,011,168.00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兰州黄河</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983,664.00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宏达高科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919,240.00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骆驼股份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880,351.00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良信电器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879,225.00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亿晶光电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878,149.00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877,590.00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孚日股份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877,540.00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世茂股份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871,944.00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天富能源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871,794.00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漳泽电力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867,958.00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汉缆股份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866,048.00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聚飞光电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859,977.00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中洲控股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835,890.00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华懋科技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800,850.00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日机密封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752,940.00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百大集团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733,710.00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高新兴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732,108.00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合众思壮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731,094.00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725,900.00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华虹计通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719,970.00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中集集团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718,382.00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玲珑轮胎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717,990.00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尖峰集团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717,440.00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雅戈尔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713,104.20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712,236.00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龙宇燃油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712,034.00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华远地产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710,512.00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北京利尔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709,440.00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交运股份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708,133.00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维力医疗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707,520.00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三湘印象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706,928.00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四方精创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704,925.00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宁夏建材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704,572.00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栖霞建设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704,130.00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中国联通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703,120.00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 融 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701,316.00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中水渔业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700,960.00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徐工机械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700,910.00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卧龙电气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698,040.00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好当家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696,240.00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初灵信息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689,310.00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梅安森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686,140.00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惠泉啤酒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684,981.00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秀强股份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669,962.40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潍柴重机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633,931.20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东华测试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599,571.05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中兴商业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582,743.00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凯龙股份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556,195.00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承德露露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526,620.00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鄂武商Ａ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519,504.00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迎驾贡酒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517,837.00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爱康科技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516,216.00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 玻Ａ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515,109.00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国药一致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513,856.00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恒源煤电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513,456.00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艾华集团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512,563.00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爱施德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512,148.00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大豪科技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510,670.00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贵绳股份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487,168.00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四方股份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406,691.00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浙江东日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385,020.00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开元股份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382,744.90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378,720.00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374,136.00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瀚蓝环境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373,198.00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368,875.00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浙能电力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367,521.00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美利云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367,200.00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多伦科技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367,136.00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北京城乡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366,265.00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人福医药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366,054.00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歌力思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363,759.76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海翔药业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363,408.00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安通控股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362,425.00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康缘药业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361,856.00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江苏神通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361,563.00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柳药股份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361,560.00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昆药集团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359,861.40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梅花生物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359,544.00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滨海能源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359,100.00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凤凰传媒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358,927.70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元祖股份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358,750.00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357,582.00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特一药业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356,864.00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威海广泰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356,484.00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长盈精密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356,265.00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步 步 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356,160.00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巨轮智能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355,884.00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五矿资本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355,656.00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软控股份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355,605.00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全筑股份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355,470.00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明星电力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355,110.00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氯碱化工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354,354.00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354,264.00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际华集团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353,760.00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天神娱乐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宏润建设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353,664.00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海王生物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353,428.00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红星发展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352,988.00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雄帝科技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三爱富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32,627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352,045.33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中矿资源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351,868.00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351,832.00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松芝股份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351,740.00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双塔食品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共进股份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351,540.00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北矿科技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351,461.00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光明地产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351,443.00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莫高股份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351,314.00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赛轮轮胎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351,225.00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众兴菌业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350,674.00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人民同泰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350,383.00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沈阳化工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350,168.00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维信诺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349,758.00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科华恒盛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349,624.00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好莱客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349,524.00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鼎捷软件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348,524.00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拓邦股份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348,488.00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崇达技术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347,718.00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荣丰控股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347,490.00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347,166.00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力源信息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347,016.00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胜宏科技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346,320.00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好利来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346,080.00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陕鼓动力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346,060.00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圣济堂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345,828.00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惠伦晶体</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345,681.00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宝莱特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345,086.00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344,871.00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金杯汽车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344,720.00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344,617.00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达志科技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343,392.00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郴电国际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343,347.00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真视通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新天然气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338,550.00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长信科技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336,980.00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丝路视觉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336,967.00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佳电股份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332,816.00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环旭电子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苏常柴Ａ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295,834.00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长园集团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274,188.00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武进不锈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261,723.00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京能置业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乐山电力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227,194.00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信捷电气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131,291.08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安利股份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108,402.00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汇中股份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76,694.00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上机数控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66,039.50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50,145.80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利通电子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40,684.21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博世科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545.05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国电南自</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bl>
    <w:p>
      <w:pPr>
        <w:widowControl/>
        <w:jc w:val="left"/>
        <w:rPr>
          <w:rFonts w:hint="eastAsia" w:ascii="宋体" w:hAnsi="宋体" w:cs="宋体"/>
          <w:kern w:val="0"/>
          <w:sz w:val="24"/>
          <w:szCs w:val="24"/>
        </w:rPr>
      </w:pPr>
    </w:p>
    <w:p>
      <w:pPr>
        <w:pStyle w:val="14"/>
        <w:rPr>
          <w:rFonts w:hint="eastAsia"/>
        </w:rPr>
      </w:pPr>
      <w:bookmarkStart w:id="39" w:name="_Toc4490201"/>
      <w:r>
        <w:rPr>
          <w:rFonts w:hint="eastAsia"/>
          <w:b/>
          <w:bCs/>
        </w:rPr>
        <w:t>8.4 报告期内股票投资组合的重大变动</w:t>
      </w:r>
      <w:bookmarkEnd w:id="39"/>
    </w:p>
    <w:p>
      <w:pPr>
        <w:pStyle w:val="15"/>
        <w:rPr>
          <w:rFonts w:hint="eastAsia"/>
        </w:rPr>
      </w:pPr>
      <w:r>
        <w:rPr>
          <w:rFonts w:hint="eastAsia"/>
          <w:b/>
          <w:bCs/>
        </w:rPr>
        <w:t>8.4.1 累计买入金额超出期初基金资产净值2%或前20名的股票明细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金诚信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31,345,437.03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郑煤机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30,700,536.22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创元科技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29,628,764.89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物产中大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29,163,136.53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广日股份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28,686,821.70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迪马股份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28,443,607.40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赣粤高速</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26,683,331.55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交运股份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25,598,118.60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聚飞光电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25,472,801.60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模塑科技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25,397,384.53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中原传媒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25,347,127.09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长青股份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25,087,871.64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川仪股份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25,027,945.82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九洲电气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24,826,334.90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东方电热</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24,737,918.40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金发科技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24,655,083.29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英威腾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24,634,761.35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宏达高科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24,550,877.98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聚力文化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24,498,276.30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天地科技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24,273,874.63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大众交通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24,197,012.26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南方传媒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23,951,127.82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凤凰传媒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23,886,288.94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深高速</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23,802,901.22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佛山照明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23,416,700.91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w:t>
            </w:r>
          </w:p>
        </w:tc>
      </w:tr>
    </w:tbl>
    <w:p>
      <w:pPr>
        <w:pStyle w:val="20"/>
        <w:rPr>
          <w:rFonts w:hint="eastAsia"/>
        </w:rPr>
      </w:pPr>
      <w:r>
        <w:rPr>
          <w:rFonts w:hint="eastAsia"/>
        </w:rPr>
        <w:t>本期累计买入金额按买卖成交金额,不考虑相关交易费用。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8.4.2 累计卖出金额超出期初基金资产净值2%或前20名的股票明细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物产中大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31,148,712.19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蓝盾股份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30,086,956.31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聚力文化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29,507,955.99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英威腾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29,329,240.88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聚飞光电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28,557,227.19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金诚信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28,255,113.81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卧龙地产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28,025,899.09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中原传媒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27,551,605.70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长青股份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27,544,534.37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川仪股份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27,205,394.89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厦门象屿</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27,126,481.37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天地源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26,938,791.86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26,510,113.23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新洋丰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26,473,179.11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天瑞仪器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26,442,484.13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创元科技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26,124,318.82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江苏国泰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26,016,731.96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郑煤机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25,977,937.88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东睦股份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25,629,389.95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广百股份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25,263,987.74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迪马股份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24,981,561.67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松芝股份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24,708,095.73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鲁阳节能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24,254,076.45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广宇集团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24,116,294.69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西泵股份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23,986,509.22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时代出版</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23,952,488.25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众业达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23,794,070.80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厦门信达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23,605,885.73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光明地产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23,599,011.36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精艺股份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23,593,098.08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深高速</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23,581,202.51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裕兴股份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23,431,255.45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模塑科技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23,419,680.32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拓邦股份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23,415,811.03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苏州高新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23,343,761.99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凤凰传媒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23,281,526.66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宏达高科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23,266,903.97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维尔利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23,265,345.34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世纪鼎利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23,228,506.13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江海股份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23,189,170.45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晨光生物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23,124,240.57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德尔股份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23,112,159.13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交运股份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23,042,581.49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w:t>
            </w:r>
          </w:p>
        </w:tc>
      </w:tr>
    </w:tbl>
    <w:p>
      <w:pPr>
        <w:pStyle w:val="20"/>
        <w:rPr>
          <w:rFonts w:hint="eastAsia"/>
        </w:rPr>
      </w:pPr>
      <w:r>
        <w:rPr>
          <w:rFonts w:hint="eastAsia"/>
        </w:rPr>
        <w:t>本期累计卖出金额按买卖成交金额,不考虑相关交易费用。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11,455,681,063.28</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11,754,814,371.90</w:t>
            </w:r>
          </w:p>
        </w:tc>
      </w:tr>
    </w:tbl>
    <w:p>
      <w:pPr>
        <w:pStyle w:val="20"/>
        <w:rPr>
          <w:rFonts w:hint="eastAsia"/>
        </w:rPr>
      </w:pPr>
      <w:r>
        <w:rPr>
          <w:rFonts w:hint="eastAsia"/>
        </w:rPr>
        <w:t>买入股票成本、卖出股票收入均按买卖成交金额填列,不考虑相关交易费用。</w:t>
      </w:r>
    </w:p>
    <w:p>
      <w:pPr>
        <w:widowControl/>
        <w:jc w:val="left"/>
        <w:rPr>
          <w:rFonts w:hint="eastAsia" w:ascii="宋体" w:hAnsi="宋体" w:cs="宋体"/>
          <w:kern w:val="0"/>
          <w:sz w:val="24"/>
          <w:szCs w:val="24"/>
        </w:rPr>
      </w:pPr>
    </w:p>
    <w:p>
      <w:pPr>
        <w:pStyle w:val="14"/>
        <w:rPr>
          <w:rFonts w:hint="eastAsia"/>
        </w:rPr>
      </w:pPr>
      <w:bookmarkStart w:id="40" w:name="_Toc4490202"/>
      <w:r>
        <w:rPr>
          <w:rFonts w:hint="eastAsia"/>
          <w:b/>
          <w:bCs/>
        </w:rPr>
        <w:t>8.5 期末按债券品种分类的债券投资组合</w:t>
      </w:r>
      <w:bookmarkEnd w:id="40"/>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31,136,400.00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31,136,400.00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278,284.50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31,414,684.50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5.03</w:t>
            </w:r>
          </w:p>
        </w:tc>
      </w:tr>
    </w:tbl>
    <w:p>
      <w:pPr>
        <w:widowControl/>
        <w:jc w:val="left"/>
        <w:rPr>
          <w:rFonts w:hint="eastAsia" w:ascii="宋体" w:hAnsi="宋体" w:cs="宋体"/>
          <w:kern w:val="0"/>
          <w:sz w:val="24"/>
          <w:szCs w:val="24"/>
        </w:rPr>
      </w:pPr>
    </w:p>
    <w:p>
      <w:pPr>
        <w:pStyle w:val="14"/>
        <w:rPr>
          <w:rFonts w:hint="eastAsia"/>
        </w:rPr>
      </w:pPr>
      <w:bookmarkStart w:id="41" w:name="_Toc4490203"/>
      <w:r>
        <w:rPr>
          <w:rFonts w:hint="eastAsia"/>
          <w:b/>
          <w:bCs/>
        </w:rPr>
        <w:t>8.6 期末按公允价值占基金资产净值比例大小排序的前五名债券投资明细</w:t>
      </w:r>
      <w:bookmarkEnd w:id="41"/>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92"/>
        <w:gridCol w:w="1543"/>
        <w:gridCol w:w="1543"/>
        <w:gridCol w:w="1734"/>
        <w:gridCol w:w="1995"/>
        <w:gridCol w:w="15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018005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国开1701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31,136,400.00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128018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时达转债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278,284.50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bl>
    <w:p>
      <w:pPr>
        <w:widowControl/>
        <w:jc w:val="left"/>
        <w:rPr>
          <w:rFonts w:hint="eastAsia" w:ascii="宋体" w:hAnsi="宋体" w:cs="宋体"/>
          <w:kern w:val="0"/>
          <w:sz w:val="24"/>
          <w:szCs w:val="24"/>
        </w:rPr>
      </w:pPr>
    </w:p>
    <w:p>
      <w:pPr>
        <w:pStyle w:val="14"/>
        <w:rPr>
          <w:rFonts w:hint="eastAsia"/>
        </w:rPr>
      </w:pPr>
      <w:bookmarkStart w:id="42" w:name="_Toc4490204"/>
      <w:r>
        <w:rPr>
          <w:rFonts w:hint="eastAsia"/>
          <w:b/>
          <w:bCs/>
        </w:rPr>
        <w:t>8.7 期末按公允价值占基金资产净值比例大小排序的所有资产支持证券投资明细</w:t>
      </w:r>
      <w:bookmarkEnd w:id="42"/>
    </w:p>
    <w:p>
      <w:pPr>
        <w:pStyle w:val="20"/>
        <w:rPr>
          <w:rFonts w:hint="eastAsia"/>
        </w:rPr>
      </w:pPr>
      <w:r>
        <w:rPr>
          <w:rFonts w:hint="eastAsia"/>
        </w:rPr>
        <w:t>本基金本报告期末未持有资产支持证券。</w:t>
      </w:r>
    </w:p>
    <w:p>
      <w:pPr>
        <w:widowControl/>
        <w:jc w:val="left"/>
        <w:rPr>
          <w:rFonts w:hint="eastAsia" w:ascii="宋体" w:hAnsi="宋体" w:cs="宋体"/>
          <w:kern w:val="0"/>
          <w:sz w:val="24"/>
          <w:szCs w:val="24"/>
        </w:rPr>
      </w:pPr>
    </w:p>
    <w:p>
      <w:pPr>
        <w:pStyle w:val="14"/>
        <w:rPr>
          <w:rFonts w:hint="eastAsia"/>
        </w:rPr>
      </w:pPr>
      <w:bookmarkStart w:id="43" w:name="_Toc4490205"/>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widowControl/>
        <w:jc w:val="left"/>
        <w:rPr>
          <w:rFonts w:hint="eastAsia" w:ascii="宋体" w:hAnsi="宋体" w:cs="宋体"/>
          <w:kern w:val="0"/>
          <w:sz w:val="24"/>
          <w:szCs w:val="24"/>
        </w:rPr>
      </w:pPr>
    </w:p>
    <w:p>
      <w:pPr>
        <w:pStyle w:val="14"/>
        <w:rPr>
          <w:rFonts w:hint="eastAsia"/>
        </w:rPr>
      </w:pPr>
      <w:bookmarkStart w:id="44" w:name="_Toc4490206"/>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widowControl/>
        <w:jc w:val="left"/>
        <w:rPr>
          <w:rFonts w:hint="eastAsia" w:ascii="宋体" w:hAnsi="宋体" w:cs="宋体"/>
          <w:kern w:val="0"/>
          <w:sz w:val="24"/>
          <w:szCs w:val="24"/>
        </w:rPr>
      </w:pPr>
    </w:p>
    <w:p>
      <w:pPr>
        <w:pStyle w:val="14"/>
        <w:rPr>
          <w:rFonts w:hint="eastAsia"/>
        </w:rPr>
      </w:pPr>
      <w:bookmarkStart w:id="45" w:name="_Toc4490207"/>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1524"/>
        <w:gridCol w:w="1525"/>
        <w:gridCol w:w="1574"/>
        <w:gridCol w:w="1525"/>
        <w:gridCol w:w="1525"/>
        <w:gridCol w:w="1525"/>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持仓量(买/卖)</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合约市值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公允价值变动</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风险说明</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IC1901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IC1901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51,224,400.00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-1,144,200.00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3602" w:type="dxa"/>
            <w:gridSpan w:val="5"/>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公允价值变动总额合计（元）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-1,144,200.00 </w:t>
            </w:r>
          </w:p>
        </w:tc>
      </w:tr>
      <w:tr>
        <w:tblPrEx>
          <w:tblCellMar>
            <w:top w:w="0" w:type="dxa"/>
            <w:left w:w="108" w:type="dxa"/>
            <w:bottom w:w="0" w:type="dxa"/>
            <w:right w:w="108" w:type="dxa"/>
          </w:tblCellMar>
        </w:tblPrEx>
        <w:trPr>
          <w:wBefore w:w="0" w:type="auto"/>
        </w:trPr>
        <w:tc>
          <w:tcPr>
            <w:tcW w:w="3602" w:type="dxa"/>
            <w:gridSpan w:val="5"/>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股指期货投资本期收益（元）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-11,016,036.29 </w:t>
            </w:r>
          </w:p>
        </w:tc>
      </w:tr>
      <w:tr>
        <w:tblPrEx>
          <w:tblCellMar>
            <w:top w:w="0" w:type="dxa"/>
            <w:left w:w="108" w:type="dxa"/>
            <w:bottom w:w="0" w:type="dxa"/>
            <w:right w:w="108" w:type="dxa"/>
          </w:tblCellMar>
        </w:tblPrEx>
        <w:trPr>
          <w:wBefore w:w="0" w:type="auto"/>
        </w:trPr>
        <w:tc>
          <w:tcPr>
            <w:tcW w:w="3602" w:type="dxa"/>
            <w:gridSpan w:val="5"/>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股指期货投资本期公允价值变动（元）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-2,072,480.00</w:t>
            </w:r>
          </w:p>
        </w:tc>
      </w:tr>
    </w:tbl>
    <w:p>
      <w:pPr>
        <w:widowControl/>
        <w:jc w:val="left"/>
        <w:rPr>
          <w:rFonts w:hint="eastAsia" w:ascii="宋体" w:hAnsi="宋体" w:cs="宋体"/>
          <w:kern w:val="0"/>
          <w:sz w:val="24"/>
          <w:szCs w:val="24"/>
        </w:rPr>
      </w:pPr>
    </w:p>
    <w:p>
      <w:pPr>
        <w:pStyle w:val="15"/>
        <w:rPr>
          <w:rFonts w:hint="eastAsia"/>
        </w:rPr>
      </w:pPr>
      <w:r>
        <w:rPr>
          <w:rFonts w:hint="eastAsia"/>
          <w:b/>
          <w:bCs/>
        </w:rPr>
        <w:t>8.10.2 本基金投资股指期货的投资政策</w:t>
      </w:r>
    </w:p>
    <w:p>
      <w:pPr>
        <w:pStyle w:val="20"/>
        <w:spacing w:before="0"/>
        <w:ind w:left="0" w:firstLine="480"/>
        <w:rPr>
          <w:rFonts w:hint="eastAsia"/>
        </w:rPr>
      </w:pPr>
      <w:r>
        <w:rPr>
          <w:rFonts w:hint="eastAsia"/>
        </w:rPr>
        <w:t>本基金投资于股指期货，均以套期保值为目的，包括多头套保和空头套保。本年度进行了少量的多头套保。</w:t>
      </w:r>
    </w:p>
    <w:p>
      <w:pPr>
        <w:widowControl/>
        <w:jc w:val="left"/>
        <w:rPr>
          <w:rFonts w:hint="eastAsia" w:ascii="宋体" w:hAnsi="宋体" w:cs="宋体"/>
          <w:kern w:val="0"/>
          <w:sz w:val="24"/>
          <w:szCs w:val="24"/>
        </w:rPr>
      </w:pPr>
    </w:p>
    <w:p>
      <w:pPr>
        <w:pStyle w:val="14"/>
        <w:rPr>
          <w:rFonts w:hint="eastAsia"/>
        </w:rPr>
      </w:pPr>
      <w:bookmarkStart w:id="46" w:name="_Toc4490208"/>
      <w:r>
        <w:rPr>
          <w:rFonts w:hint="eastAsia"/>
          <w:b/>
          <w:bCs/>
        </w:rPr>
        <w:t>8.11 报告期末本基金投资的国债期货交易情况说明</w:t>
      </w:r>
      <w:bookmarkEnd w:id="46"/>
    </w:p>
    <w:p>
      <w:pPr>
        <w:pStyle w:val="20"/>
        <w:rPr>
          <w:rFonts w:hint="eastAsia"/>
        </w:rPr>
      </w:pPr>
      <w:r>
        <w:rPr>
          <w:rFonts w:hint="eastAsia"/>
        </w:rPr>
        <w:t>本基金本报告期未投资国债期货。</w:t>
      </w:r>
    </w:p>
    <w:p>
      <w:pPr>
        <w:widowControl/>
        <w:jc w:val="left"/>
        <w:rPr>
          <w:rFonts w:hint="eastAsia" w:ascii="宋体" w:hAnsi="宋体" w:cs="宋体"/>
          <w:kern w:val="0"/>
          <w:sz w:val="24"/>
          <w:szCs w:val="24"/>
        </w:rPr>
      </w:pPr>
    </w:p>
    <w:p>
      <w:pPr>
        <w:pStyle w:val="14"/>
        <w:rPr>
          <w:rFonts w:hint="eastAsia"/>
        </w:rPr>
      </w:pPr>
      <w:bookmarkStart w:id="47" w:name="_Toc4490209"/>
      <w:r>
        <w:rPr>
          <w:rFonts w:hint="eastAsia"/>
          <w:b/>
          <w:bCs/>
        </w:rPr>
        <w:t>8.12 投资组合报告附注</w:t>
      </w:r>
      <w:bookmarkEnd w:id="47"/>
    </w:p>
    <w:p>
      <w:pPr>
        <w:pStyle w:val="15"/>
        <w:rPr>
          <w:rFonts w:hint="eastAsia"/>
        </w:rPr>
      </w:pPr>
      <w:r>
        <w:rPr>
          <w:rFonts w:hint="eastAsia"/>
          <w:b/>
          <w:bCs/>
        </w:rPr>
        <w:t>8.12.1 2018年4月14日，广州广日股份有限公司（下称"广日股份"，股票代码：600894）公告称第七届董事会董事袁志敏先生于2018年4月11日收到中国证券监督管理委员会的《调查通知书》，因涉嫌内幕交易金发科技股票而被立案调查。 本基金投研人员分析认为，公司已于2018年4月13日通过2018年第一次临时股东大会完成了董事会换届选举，袁志敏先生不再担任公司董事，也不在公司担任其他任何职务，公司生产经营活动不受影响。该公司作为国内电梯制造历史最悠久的企业之一，目前估值处于历史底部，维持持有评级。本基金基金经理依据基金合同和公司投资管理制度，在投资授权范围内，经正常投资决策程序对广日股份进行了投资。</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9,605,231.19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6,175,863.41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1,050,393.71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128,042.05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16,959,530.36</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03"/>
        <w:gridCol w:w="1905"/>
        <w:gridCol w:w="1905"/>
        <w:gridCol w:w="2510"/>
        <w:gridCol w:w="1975"/>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128018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时达转债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278,284.50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bl>
    <w:p>
      <w:pPr>
        <w:widowControl/>
        <w:jc w:val="left"/>
        <w:rPr>
          <w:rFonts w:hint="eastAsia" w:ascii="宋体" w:hAnsi="宋体" w:cs="宋体"/>
          <w:kern w:val="0"/>
          <w:sz w:val="24"/>
          <w:szCs w:val="24"/>
        </w:rPr>
      </w:pPr>
    </w:p>
    <w:p>
      <w:pPr>
        <w:pStyle w:val="15"/>
        <w:rPr>
          <w:rFonts w:hint="eastAsia"/>
        </w:rPr>
      </w:pPr>
      <w:r>
        <w:rPr>
          <w:rFonts w:hint="eastAsia"/>
          <w:b/>
          <w:bCs/>
        </w:rPr>
        <w:t>8.12.5 期末前十名股票中存在流通受限情况的说明</w:t>
      </w:r>
    </w:p>
    <w:p>
      <w:pPr>
        <w:pStyle w:val="20"/>
        <w:rPr>
          <w:rFonts w:hint="eastAsia"/>
        </w:rPr>
      </w:pPr>
      <w:r>
        <w:rPr>
          <w:rFonts w:hint="eastAsia"/>
        </w:rPr>
        <w:t>本基金本报告期末前十名股票不存在流通受限的情况。</w:t>
      </w:r>
    </w:p>
    <w:p>
      <w:pPr>
        <w:widowControl/>
        <w:jc w:val="left"/>
        <w:rPr>
          <w:rFonts w:hint="eastAsia" w:ascii="宋体" w:hAnsi="宋体" w:cs="宋体"/>
          <w:kern w:val="0"/>
          <w:sz w:val="24"/>
          <w:szCs w:val="24"/>
        </w:rPr>
      </w:pPr>
    </w:p>
    <w:p>
      <w:pPr>
        <w:pStyle w:val="13"/>
        <w:rPr>
          <w:rFonts w:hint="eastAsia"/>
        </w:rPr>
      </w:pPr>
      <w:bookmarkStart w:id="48" w:name="_Toc4490210"/>
      <w:r>
        <w:rPr>
          <w:rFonts w:hint="eastAsia" w:hAnsi="Calibri"/>
          <w:b/>
          <w:color w:val="000000"/>
        </w:rPr>
        <w:t>§9  基金份额持有人信息</w:t>
      </w:r>
      <w:bookmarkEnd w:id="48"/>
    </w:p>
    <w:p>
      <w:pPr>
        <w:widowControl/>
        <w:jc w:val="left"/>
        <w:rPr>
          <w:rFonts w:hint="eastAsia" w:ascii="宋体" w:hAnsi="宋体" w:cs="宋体"/>
          <w:kern w:val="0"/>
          <w:sz w:val="24"/>
          <w:szCs w:val="24"/>
        </w:rPr>
      </w:pPr>
    </w:p>
    <w:p>
      <w:pPr>
        <w:pStyle w:val="14"/>
        <w:rPr>
          <w:rFonts w:hint="eastAsia"/>
        </w:rPr>
      </w:pPr>
      <w:bookmarkStart w:id="49" w:name="_Toc4490211"/>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876"/>
        <w:gridCol w:w="711"/>
        <w:gridCol w:w="1600"/>
        <w:gridCol w:w="1962"/>
        <w:gridCol w:w="877"/>
        <w:gridCol w:w="1962"/>
        <w:gridCol w:w="1057"/>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9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3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创金合信量化多因子股票A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22,044.70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8,196.52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698,808,652.08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创金合信量化多因子股票C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4,517.92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5,260,942.76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7,253,695.60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20,773.65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5,269,139.28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706,062,347.68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99.26%</w:t>
            </w:r>
          </w:p>
        </w:tc>
      </w:tr>
    </w:tbl>
    <w:p>
      <w:pPr>
        <w:widowControl/>
        <w:jc w:val="left"/>
        <w:rPr>
          <w:rFonts w:hint="eastAsia" w:ascii="宋体" w:hAnsi="宋体" w:cs="宋体"/>
          <w:kern w:val="0"/>
          <w:sz w:val="24"/>
          <w:szCs w:val="24"/>
        </w:rPr>
      </w:pPr>
    </w:p>
    <w:p>
      <w:pPr>
        <w:pStyle w:val="14"/>
        <w:rPr>
          <w:rFonts w:hint="eastAsia"/>
        </w:rPr>
      </w:pPr>
      <w:bookmarkStart w:id="50" w:name="_Toc4490212"/>
      <w:r>
        <w:rPr>
          <w:rFonts w:hint="eastAsia" w:hAnsi="Calibri"/>
          <w:b/>
          <w:color w:val="000000"/>
        </w:rPr>
        <w:t>9.2 期末基金管理人的从业人员持有本基金的情况</w:t>
      </w:r>
      <w:bookmarkEnd w:id="50"/>
    </w:p>
    <w:tbl>
      <w:tblPr>
        <w:tblStyle w:val="7"/>
        <w:tblW w:w="9045" w:type="dxa"/>
        <w:tblInd w:w="108" w:type="dxa"/>
        <w:tblLayout w:type="autofit"/>
        <w:tblCellMar>
          <w:top w:w="0" w:type="dxa"/>
          <w:left w:w="108" w:type="dxa"/>
          <w:bottom w:w="0" w:type="dxa"/>
          <w:right w:w="108" w:type="dxa"/>
        </w:tblCellMar>
      </w:tblPr>
      <w:tblGrid>
        <w:gridCol w:w="2984"/>
        <w:gridCol w:w="2230"/>
        <w:gridCol w:w="1899"/>
        <w:gridCol w:w="1932"/>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创金合信量化多因子股票A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740,494.42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0.11%</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创金合信量化多因子股票C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84,685.20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0.68%</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825,179.62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0.12%</w:t>
            </w:r>
          </w:p>
        </w:tc>
      </w:tr>
    </w:tbl>
    <w:p>
      <w:pPr>
        <w:widowControl/>
        <w:jc w:val="left"/>
        <w:rPr>
          <w:rFonts w:hint="eastAsia" w:ascii="宋体" w:hAnsi="宋体" w:cs="宋体"/>
          <w:kern w:val="0"/>
          <w:sz w:val="24"/>
          <w:szCs w:val="24"/>
        </w:rPr>
      </w:pPr>
    </w:p>
    <w:p>
      <w:pPr>
        <w:pStyle w:val="14"/>
        <w:rPr>
          <w:rFonts w:hint="eastAsia"/>
        </w:rPr>
      </w:pPr>
      <w:bookmarkStart w:id="51" w:name="_Toc4490213"/>
      <w:r>
        <w:rPr>
          <w:rFonts w:hint="eastAsia"/>
          <w:b/>
          <w:bCs/>
        </w:rPr>
        <w:t>9.3 期末基金管理人的从业人员持有本开放式基金份额总量区间情况</w:t>
      </w:r>
      <w:bookmarkEnd w:id="51"/>
    </w:p>
    <w:tbl>
      <w:tblPr>
        <w:tblStyle w:val="7"/>
        <w:tblW w:w="9045" w:type="dxa"/>
        <w:tblInd w:w="108" w:type="dxa"/>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创金合信量化多因子股票A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创金合信量化多因子股票C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创金合信量化多因子股票A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创金合信量化多因子股票C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bl>
    <w:p>
      <w:pPr>
        <w:widowControl/>
        <w:jc w:val="left"/>
        <w:rPr>
          <w:rFonts w:hint="eastAsia" w:ascii="宋体" w:hAnsi="宋体" w:cs="宋体"/>
          <w:kern w:val="0"/>
          <w:sz w:val="24"/>
          <w:szCs w:val="24"/>
        </w:rPr>
      </w:pPr>
    </w:p>
    <w:p>
      <w:pPr>
        <w:pStyle w:val="13"/>
        <w:rPr>
          <w:rFonts w:hint="eastAsia"/>
        </w:rPr>
      </w:pPr>
      <w:bookmarkStart w:id="52" w:name="_Toc4490214"/>
      <w:r>
        <w:rPr>
          <w:rFonts w:hint="eastAsia" w:hAnsi="Calibri"/>
          <w:b/>
          <w:color w:val="000000"/>
        </w:rPr>
        <w:t>§10  开放式基金份额变动</w:t>
      </w:r>
      <w:bookmarkEnd w:id="52"/>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创金合信量化多因子股票A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创金合信量化多因子股票C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基金合同生效日(2016年01月22日)基金份额总额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202,639,215.47</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1,489,891,025.73</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本报告期期初基金份额总额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964,803,557.01</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45,121,375.45</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263,349,264.55</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7,120,934.50</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减：本报告期基金总赎回份额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529,335,972.96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39,727,671.59</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698,816,848.60</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12,514,638.36</w:t>
            </w:r>
          </w:p>
        </w:tc>
      </w:tr>
    </w:tbl>
    <w:p>
      <w:pPr>
        <w:widowControl/>
        <w:jc w:val="left"/>
        <w:rPr>
          <w:rFonts w:hint="eastAsia" w:ascii="宋体" w:hAnsi="宋体" w:cs="宋体"/>
          <w:kern w:val="0"/>
          <w:sz w:val="24"/>
          <w:szCs w:val="24"/>
        </w:rPr>
      </w:pPr>
    </w:p>
    <w:p>
      <w:pPr>
        <w:pStyle w:val="13"/>
        <w:rPr>
          <w:rFonts w:hint="eastAsia"/>
        </w:rPr>
      </w:pPr>
      <w:bookmarkStart w:id="53" w:name="_Toc4490215"/>
      <w:r>
        <w:rPr>
          <w:rFonts w:hint="eastAsia" w:hAnsi="Calibri"/>
          <w:b/>
          <w:color w:val="000000"/>
        </w:rPr>
        <w:t>§11  重大事件揭示</w:t>
      </w:r>
      <w:bookmarkEnd w:id="53"/>
    </w:p>
    <w:p>
      <w:pPr>
        <w:widowControl/>
        <w:jc w:val="left"/>
        <w:rPr>
          <w:rFonts w:hint="eastAsia" w:ascii="宋体" w:hAnsi="宋体" w:cs="宋体"/>
          <w:kern w:val="0"/>
          <w:sz w:val="24"/>
          <w:szCs w:val="24"/>
        </w:rPr>
      </w:pPr>
    </w:p>
    <w:p>
      <w:pPr>
        <w:pStyle w:val="14"/>
        <w:rPr>
          <w:rFonts w:hint="eastAsia"/>
        </w:rPr>
      </w:pPr>
      <w:bookmarkStart w:id="54" w:name="_Toc4490216"/>
      <w:r>
        <w:rPr>
          <w:rFonts w:hint="eastAsia"/>
          <w:b/>
          <w:bCs/>
        </w:rPr>
        <w:t>11.1 基金份额持有人大会决议</w:t>
      </w:r>
      <w:bookmarkEnd w:id="54"/>
    </w:p>
    <w:p>
      <w:pPr>
        <w:pStyle w:val="20"/>
        <w:spacing w:before="0"/>
        <w:ind w:left="0" w:firstLine="480"/>
        <w:rPr>
          <w:rFonts w:hint="eastAsia"/>
        </w:rPr>
      </w:pPr>
      <w:r>
        <w:rPr>
          <w:rFonts w:hint="eastAsia"/>
        </w:rPr>
        <w:t>本报告期内未召开基金份额持有人大会。</w:t>
      </w:r>
    </w:p>
    <w:p>
      <w:pPr>
        <w:widowControl/>
        <w:jc w:val="left"/>
        <w:rPr>
          <w:rFonts w:hint="eastAsia" w:ascii="宋体" w:hAnsi="宋体" w:cs="宋体"/>
          <w:kern w:val="0"/>
          <w:sz w:val="24"/>
          <w:szCs w:val="24"/>
        </w:rPr>
      </w:pPr>
    </w:p>
    <w:p>
      <w:pPr>
        <w:pStyle w:val="14"/>
        <w:rPr>
          <w:rFonts w:hint="eastAsia"/>
        </w:rPr>
      </w:pPr>
      <w:bookmarkStart w:id="55" w:name="_Toc4490217"/>
      <w:r>
        <w:rPr>
          <w:rFonts w:hint="eastAsia"/>
          <w:b/>
          <w:bCs/>
        </w:rPr>
        <w:t>11.2 基金管理人、基金托管人的专门基金托管部门的重大人事变动</w:t>
      </w:r>
      <w:bookmarkEnd w:id="55"/>
    </w:p>
    <w:p>
      <w:pPr>
        <w:pStyle w:val="20"/>
        <w:spacing w:before="0"/>
        <w:ind w:left="0" w:firstLine="480"/>
        <w:rPr>
          <w:rFonts w:hint="eastAsia"/>
        </w:rPr>
      </w:pPr>
      <w:r>
        <w:rPr>
          <w:rFonts w:hint="eastAsia"/>
        </w:rPr>
        <w:t>本报告期内基金管理人、基金托管人的专门基金托管部门无重大人事变动。</w:t>
      </w:r>
    </w:p>
    <w:p>
      <w:pPr>
        <w:widowControl/>
        <w:jc w:val="left"/>
        <w:rPr>
          <w:rFonts w:hint="eastAsia" w:ascii="宋体" w:hAnsi="宋体" w:cs="宋体"/>
          <w:kern w:val="0"/>
          <w:sz w:val="24"/>
          <w:szCs w:val="24"/>
        </w:rPr>
      </w:pPr>
    </w:p>
    <w:p>
      <w:pPr>
        <w:pStyle w:val="14"/>
        <w:rPr>
          <w:rFonts w:hint="eastAsia"/>
        </w:rPr>
      </w:pPr>
      <w:bookmarkStart w:id="56" w:name="_Toc4490218"/>
      <w:r>
        <w:rPr>
          <w:rFonts w:hint="eastAsia"/>
          <w:b/>
          <w:bCs/>
        </w:rPr>
        <w:t>11.3 涉及基金管理人、基金财产、基金托管业务的诉讼</w:t>
      </w:r>
      <w:bookmarkEnd w:id="56"/>
    </w:p>
    <w:p>
      <w:pPr>
        <w:pStyle w:val="20"/>
        <w:spacing w:before="0"/>
        <w:ind w:left="0" w:firstLine="480"/>
        <w:rPr>
          <w:rFonts w:hint="eastAsia"/>
        </w:rPr>
      </w:pPr>
      <w:r>
        <w:rPr>
          <w:rFonts w:hint="eastAsia"/>
        </w:rPr>
        <w:t>本报告期内，未出现涉及基金管理人、基金财产、基金托管业务的诉讼。</w:t>
      </w:r>
    </w:p>
    <w:p>
      <w:pPr>
        <w:widowControl/>
        <w:jc w:val="left"/>
        <w:rPr>
          <w:rFonts w:hint="eastAsia" w:ascii="宋体" w:hAnsi="宋体" w:cs="宋体"/>
          <w:kern w:val="0"/>
          <w:sz w:val="24"/>
          <w:szCs w:val="24"/>
        </w:rPr>
      </w:pPr>
    </w:p>
    <w:p>
      <w:pPr>
        <w:pStyle w:val="14"/>
        <w:rPr>
          <w:rFonts w:hint="eastAsia"/>
        </w:rPr>
      </w:pPr>
      <w:bookmarkStart w:id="57" w:name="_Toc4490219"/>
      <w:r>
        <w:rPr>
          <w:rFonts w:hint="eastAsia"/>
          <w:b/>
          <w:bCs/>
        </w:rPr>
        <w:t>11.4 基金投资策略的改变</w:t>
      </w:r>
      <w:bookmarkEnd w:id="57"/>
    </w:p>
    <w:p>
      <w:pPr>
        <w:pStyle w:val="20"/>
        <w:spacing w:before="0"/>
        <w:ind w:left="0" w:firstLine="480"/>
        <w:rPr>
          <w:rFonts w:hint="eastAsia"/>
        </w:rPr>
      </w:pPr>
      <w:r>
        <w:rPr>
          <w:rFonts w:hint="eastAsia"/>
        </w:rPr>
        <w:t>本报告期内基金投资策略无重大改变。</w:t>
      </w:r>
    </w:p>
    <w:p>
      <w:pPr>
        <w:widowControl/>
        <w:jc w:val="left"/>
        <w:rPr>
          <w:rFonts w:hint="eastAsia" w:ascii="宋体" w:hAnsi="宋体" w:cs="宋体"/>
          <w:kern w:val="0"/>
          <w:sz w:val="24"/>
          <w:szCs w:val="24"/>
        </w:rPr>
      </w:pPr>
    </w:p>
    <w:p>
      <w:pPr>
        <w:pStyle w:val="14"/>
        <w:rPr>
          <w:rFonts w:hint="eastAsia"/>
        </w:rPr>
      </w:pPr>
      <w:bookmarkStart w:id="58" w:name="_Toc4490220"/>
      <w:r>
        <w:rPr>
          <w:rFonts w:hint="eastAsia"/>
          <w:b/>
          <w:bCs/>
        </w:rPr>
        <w:t>11.5 为基金进行审计的会计师事务所情况</w:t>
      </w:r>
      <w:bookmarkEnd w:id="58"/>
    </w:p>
    <w:p>
      <w:pPr>
        <w:pStyle w:val="20"/>
        <w:spacing w:before="0"/>
        <w:ind w:left="0" w:firstLine="480"/>
        <w:rPr>
          <w:rFonts w:hint="eastAsia"/>
        </w:rPr>
      </w:pPr>
      <w:r>
        <w:rPr>
          <w:rFonts w:hint="eastAsia"/>
        </w:rPr>
        <w:t xml:space="preserve">本报告期内本基金未更换会计师事务所,本年度支付给普华永道中天会计师事务所(特殊普通合伙)审计费用100,000.00元,该审计机构连续提供审计服务的年限为3年。 </w:t>
      </w:r>
    </w:p>
    <w:p>
      <w:pPr>
        <w:widowControl/>
        <w:jc w:val="left"/>
        <w:rPr>
          <w:rFonts w:hint="eastAsia" w:ascii="宋体" w:hAnsi="宋体" w:cs="宋体"/>
          <w:kern w:val="0"/>
          <w:sz w:val="24"/>
          <w:szCs w:val="24"/>
        </w:rPr>
      </w:pPr>
    </w:p>
    <w:p>
      <w:pPr>
        <w:pStyle w:val="14"/>
        <w:rPr>
          <w:rFonts w:hint="eastAsia"/>
        </w:rPr>
      </w:pPr>
      <w:bookmarkStart w:id="59" w:name="_Toc4490221"/>
      <w:r>
        <w:rPr>
          <w:rFonts w:hint="eastAsia"/>
          <w:b/>
          <w:bCs/>
        </w:rPr>
        <w:t>11.6 管理人、托管人及其高级管理人员受稽查或处罚等情况</w:t>
      </w:r>
      <w:bookmarkEnd w:id="59"/>
    </w:p>
    <w:p>
      <w:pPr>
        <w:pStyle w:val="20"/>
        <w:spacing w:before="0"/>
        <w:ind w:left="0" w:firstLine="480"/>
        <w:rPr>
          <w:rFonts w:hint="eastAsia"/>
        </w:rPr>
      </w:pPr>
      <w:r>
        <w:rPr>
          <w:rFonts w:hint="eastAsia"/>
        </w:rPr>
        <w:t>本报告期内，未出现管理人、托管人及其高级管理人员受监管部门稽查或处罚的情况。</w:t>
      </w:r>
    </w:p>
    <w:p>
      <w:pPr>
        <w:widowControl/>
        <w:jc w:val="left"/>
        <w:rPr>
          <w:rFonts w:hint="eastAsia" w:ascii="宋体" w:hAnsi="宋体" w:cs="宋体"/>
          <w:kern w:val="0"/>
          <w:sz w:val="24"/>
          <w:szCs w:val="24"/>
        </w:rPr>
      </w:pPr>
    </w:p>
    <w:p>
      <w:pPr>
        <w:pStyle w:val="14"/>
        <w:rPr>
          <w:rFonts w:hint="eastAsia"/>
        </w:rPr>
      </w:pPr>
      <w:bookmarkStart w:id="60" w:name="_Toc4490222"/>
      <w:r>
        <w:rPr>
          <w:rFonts w:hint="eastAsia"/>
          <w:b/>
          <w:bCs/>
        </w:rPr>
        <w:t>11.7 基金租用证券公司交易单元的有关情况</w:t>
      </w:r>
      <w:bookmarkEnd w:id="60"/>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516,392,344.25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217,428.03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1,387,044,346.25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582,007.57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1,429,371,216.96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604,387.36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512,106,425.85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162,899.17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347,149,863.93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146,986.84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华创证券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1,803,220,505.37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572,159.35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730,472,447.82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310,438.63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2,173,554,025.61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909,964.20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879,476,473.04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365,971.36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3,282,930,206.21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1,370,842.58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978,591,897.42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308,906.48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1,787,215,184.71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564,634.74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4,066,885,278.03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887,528.68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705,522,787.64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297,299.91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方正证券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90,787,367.16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37,339.94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288,247,950.44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121,278.80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2,226,369,895.73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932,718.23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本基金报告期内新增方正证券、安信证券、中金公司、江海证券、恒泰证券、太平洋证券、华创证券7家券商的14个交易单元，退租金元证券的2个交易单元。</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904"/>
        <w:gridCol w:w="1808"/>
        <w:gridCol w:w="905"/>
        <w:gridCol w:w="1809"/>
        <w:gridCol w:w="905"/>
        <w:gridCol w:w="396"/>
        <w:gridCol w:w="961"/>
        <w:gridCol w:w="396"/>
        <w:gridCol w:w="961"/>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券商名称</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债券交易</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占当期债券成交总额的比例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恒泰证券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19,200,000.00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8.22%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3,021,849.00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8.56%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19,600,000.00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8.39%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中金公司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5,007,000.00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华创证券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3,168,009.92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8.97%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7,300,000.00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江海证券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105,600,000.00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45.21%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264,185.00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0.75%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2,003,200.00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6,800,000.00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11,000,000.00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106,476.43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20,743,808.45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58.73%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41,300,000.00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17.68%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6,400,000.00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方正证券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16,300,000.00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1,007,800.00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14"/>
        <w:rPr>
          <w:rFonts w:hint="eastAsia"/>
        </w:rPr>
      </w:pPr>
      <w:bookmarkStart w:id="61" w:name="_Toc4490223"/>
      <w:r>
        <w:rPr>
          <w:rFonts w:hint="eastAsia"/>
          <w:b/>
          <w:bCs/>
        </w:rPr>
        <w:t>11.8 其他重大事件</w:t>
      </w:r>
      <w:bookmarkEnd w:id="61"/>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创金合信量化多因子股票型证券投资基金2017年第4季度报告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创金合信基金管理有限公司关于旗下部分开放式基金增加苏宁金融为代销机构的公告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创金合信量化多因子股票型证券投资基金（2018年第1次）招募说明书（更新）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创金合信量化多因子股票型证券投资基金招募说明书（更新）摘要（2018年第1号）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创金合信量化多因子股票型证券投资基金托管协议（2018年3月修订）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创金合信量化多因子股票型证券投资基金招募说明书（更新）摘要（2018年第1号）（2018年3月修订）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创金合信基金管理有限公司关于创金合信量化多因子股票型证券投资基金修订基金合同、托管协议部分条款的公告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创金合信量化多因子股票型证券投资基金（2018年第1次）招募说明书（更新）（2018年3月修订）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创金合信量化多因子股票型证券投资基金基金合同（2018年3月修订）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创金合信量化多因子股票型证券投资基金2017年年度报告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创金合信量化多因子股票型证券投资基金2017年年度报告摘要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创金合信量化多因子股票型证券投资基金2018年第1季度报告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创金合信基金管理有限公司关于旗下开放式基金参与银河证券费率优惠活动的公告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创金合信基金管理有限公司关于旗下开放式基金参与第一创业证券费率优惠活动的公告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创金合信量化多因子股票型证券投资基金变更业绩比较基准并修改基金合同的公告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创金合信量化多因子股票型证券投资基金基金合同（2018年6月修订）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创金合信基金管理有限公司关于旗下部分开放式基金增加恒泰证券为代销机构的公告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创金合信基金管理有限公司关于旗下部分开放式基金增加包商银行为代销机构的公告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创金合信量化多因子股票型证券投资基金2018年第2季度报告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创金合信基金管理有限公司关于旗下部分开放式基金增加长量基金为代销机构的公告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创金合信基金管理有限公司关于旗下部分开放式基金增加和耕传承为代销机构的公告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创金合信量化多因子股票型证券投资基金2018年半年度报告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创金合信量化多因子股票型证券投资基金基金经理变更公告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2018-09-01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创金合信量化多因子股票型证券投资基金（2018年第2号）招募说明书（更新）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2018-09-04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创金合信量化多因子股票型证券投资基金招募说明书（更新）摘要（2018年第2号）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2018-09-04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创金合信量化多因子股票型证券投资基金2018年第3季度报告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创金合信基金管理有限公司关于旗下部分开放式基金增加植信基金为代销机构的公告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创金合信基金管理有限公司关于旗下部分开放式基金增加阳光人寿为代销机构的公告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创金合信基金管理有限公司关于旗下创金合信量化多因子股票型证券投资基金参加中投证券费率优惠活动的公告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2018-12-26</w:t>
            </w:r>
          </w:p>
        </w:tc>
      </w:tr>
    </w:tbl>
    <w:p>
      <w:pPr>
        <w:widowControl/>
        <w:jc w:val="left"/>
        <w:rPr>
          <w:rFonts w:hint="eastAsia" w:ascii="宋体" w:hAnsi="宋体" w:cs="宋体"/>
          <w:kern w:val="0"/>
          <w:sz w:val="24"/>
          <w:szCs w:val="24"/>
        </w:rPr>
      </w:pPr>
    </w:p>
    <w:p>
      <w:pPr>
        <w:pStyle w:val="13"/>
        <w:rPr>
          <w:rFonts w:hint="eastAsia"/>
        </w:rPr>
      </w:pPr>
      <w:bookmarkStart w:id="62" w:name="_Toc4490224"/>
      <w:r>
        <w:rPr>
          <w:rFonts w:hint="eastAsia" w:hAnsi="Calibri"/>
          <w:b/>
          <w:color w:val="000000"/>
        </w:rPr>
        <w:t>§12  影响投资者决策的其他重要信息</w:t>
      </w:r>
      <w:bookmarkEnd w:id="62"/>
    </w:p>
    <w:p>
      <w:pPr>
        <w:widowControl/>
        <w:jc w:val="left"/>
        <w:rPr>
          <w:rFonts w:hint="eastAsia" w:ascii="宋体" w:hAnsi="宋体" w:cs="宋体"/>
          <w:kern w:val="0"/>
          <w:sz w:val="24"/>
          <w:szCs w:val="24"/>
        </w:rPr>
      </w:pPr>
    </w:p>
    <w:p>
      <w:pPr>
        <w:pStyle w:val="14"/>
        <w:rPr>
          <w:rFonts w:hint="eastAsia"/>
        </w:rPr>
      </w:pPr>
      <w:bookmarkStart w:id="63" w:name="_Toc4490225"/>
      <w:r>
        <w:rPr>
          <w:rFonts w:hint="eastAsia"/>
          <w:b/>
          <w:bCs/>
        </w:rPr>
        <w:t>12.1 报告期内单一投资者持有基金份额比例达到或超过20%的情况</w:t>
      </w:r>
      <w:bookmarkEnd w:id="63"/>
    </w:p>
    <w:p>
      <w:pPr>
        <w:pStyle w:val="20"/>
        <w:rPr>
          <w:rFonts w:hint="eastAsia"/>
        </w:rPr>
      </w:pPr>
      <w:r>
        <w:rPr>
          <w:rFonts w:hint="eastAsia"/>
        </w:rPr>
        <w:t>本基金在报告期内不存在单一投资者持有基金份额比例达到或超过20%的情况。</w:t>
      </w:r>
    </w:p>
    <w:p>
      <w:pPr>
        <w:widowControl/>
        <w:jc w:val="left"/>
        <w:rPr>
          <w:rFonts w:hint="eastAsia" w:ascii="宋体" w:hAnsi="宋体" w:cs="宋体"/>
          <w:kern w:val="0"/>
          <w:sz w:val="24"/>
          <w:szCs w:val="24"/>
        </w:rPr>
      </w:pPr>
    </w:p>
    <w:p>
      <w:pPr>
        <w:pStyle w:val="14"/>
        <w:rPr>
          <w:rFonts w:hint="eastAsia"/>
        </w:rPr>
      </w:pPr>
      <w:bookmarkStart w:id="64" w:name="_Toc4490226"/>
      <w:r>
        <w:rPr>
          <w:rFonts w:hint="eastAsia"/>
          <w:b/>
          <w:bCs/>
        </w:rPr>
        <w:t>12.2 影响投资者决策的其他重要信息</w:t>
      </w:r>
      <w:bookmarkEnd w:id="64"/>
    </w:p>
    <w:p>
      <w:pPr>
        <w:pStyle w:val="17"/>
        <w:spacing w:before="0"/>
        <w:ind w:left="0" w:firstLine="480"/>
        <w:rPr>
          <w:rFonts w:hint="eastAsia"/>
        </w:rPr>
      </w:pPr>
      <w:r>
        <w:rPr>
          <w:rFonts w:hint="eastAsia"/>
        </w:rPr>
        <w:t>本报告期，未出现影响投资者决策的其他重要信息。</w:t>
      </w:r>
    </w:p>
    <w:p>
      <w:pPr>
        <w:widowControl/>
        <w:jc w:val="left"/>
        <w:rPr>
          <w:rFonts w:hint="eastAsia" w:ascii="宋体" w:hAnsi="宋体" w:cs="宋体"/>
          <w:kern w:val="0"/>
          <w:sz w:val="24"/>
          <w:szCs w:val="24"/>
        </w:rPr>
      </w:pPr>
    </w:p>
    <w:p>
      <w:pPr>
        <w:pStyle w:val="13"/>
        <w:rPr>
          <w:rFonts w:hint="eastAsia"/>
        </w:rPr>
      </w:pPr>
      <w:bookmarkStart w:id="65" w:name="_Toc4490227"/>
      <w:r>
        <w:rPr>
          <w:rFonts w:hint="eastAsia" w:hAnsi="Calibri"/>
          <w:b/>
          <w:color w:val="000000"/>
        </w:rPr>
        <w:t>§13  备查文件目录</w:t>
      </w:r>
      <w:bookmarkEnd w:id="65"/>
    </w:p>
    <w:p>
      <w:pPr>
        <w:widowControl/>
        <w:jc w:val="left"/>
        <w:rPr>
          <w:rFonts w:hint="eastAsia" w:ascii="宋体" w:hAnsi="宋体" w:cs="宋体"/>
          <w:kern w:val="0"/>
          <w:sz w:val="24"/>
          <w:szCs w:val="24"/>
        </w:rPr>
      </w:pPr>
    </w:p>
    <w:p>
      <w:pPr>
        <w:pStyle w:val="14"/>
        <w:rPr>
          <w:rFonts w:hint="eastAsia"/>
        </w:rPr>
      </w:pPr>
      <w:bookmarkStart w:id="66" w:name="_Toc4490228"/>
      <w:r>
        <w:rPr>
          <w:rFonts w:hint="eastAsia"/>
          <w:b/>
          <w:bCs/>
        </w:rPr>
        <w:t>13.1 备查文件目录</w:t>
      </w:r>
      <w:bookmarkEnd w:id="66"/>
    </w:p>
    <w:p>
      <w:pPr>
        <w:pStyle w:val="20"/>
        <w:spacing w:before="0"/>
        <w:ind w:left="0" w:firstLine="480"/>
        <w:rPr>
          <w:rFonts w:hint="eastAsia"/>
        </w:rPr>
      </w:pPr>
      <w:r>
        <w:rPr>
          <w:rFonts w:hint="eastAsia"/>
        </w:rPr>
        <w:t>1、《创金合信量化多因子股票型证券投资基金基金合同》；</w:t>
      </w:r>
    </w:p>
    <w:p>
      <w:pPr>
        <w:pStyle w:val="20"/>
        <w:spacing w:before="0"/>
        <w:ind w:left="0" w:firstLine="480"/>
        <w:rPr>
          <w:rFonts w:hint="eastAsia"/>
        </w:rPr>
      </w:pPr>
      <w:r>
        <w:rPr>
          <w:rFonts w:hint="eastAsia"/>
        </w:rPr>
        <w:t>2、《创金合信量化多因子股票型证券投资基金托管协议》；</w:t>
      </w:r>
    </w:p>
    <w:p>
      <w:pPr>
        <w:pStyle w:val="20"/>
        <w:spacing w:before="0"/>
        <w:ind w:left="0" w:firstLine="480"/>
        <w:rPr>
          <w:rFonts w:hint="eastAsia"/>
        </w:rPr>
      </w:pPr>
      <w:r>
        <w:rPr>
          <w:rFonts w:hint="eastAsia"/>
        </w:rPr>
        <w:t>3、创金合信量化多因子股票型证券投资基金2018年年度报告。</w:t>
      </w:r>
    </w:p>
    <w:p>
      <w:pPr>
        <w:widowControl/>
        <w:jc w:val="left"/>
        <w:rPr>
          <w:rFonts w:hint="eastAsia" w:ascii="宋体" w:hAnsi="宋体" w:cs="宋体"/>
          <w:kern w:val="0"/>
          <w:sz w:val="24"/>
          <w:szCs w:val="24"/>
        </w:rPr>
      </w:pPr>
    </w:p>
    <w:p>
      <w:pPr>
        <w:pStyle w:val="14"/>
        <w:rPr>
          <w:rFonts w:hint="eastAsia"/>
        </w:rPr>
      </w:pPr>
      <w:bookmarkStart w:id="67" w:name="_Toc4490229"/>
      <w:r>
        <w:rPr>
          <w:rFonts w:hint="eastAsia"/>
          <w:b/>
          <w:bCs/>
        </w:rPr>
        <w:t>13.2 存放地点</w:t>
      </w:r>
      <w:bookmarkEnd w:id="67"/>
    </w:p>
    <w:p>
      <w:pPr>
        <w:pStyle w:val="20"/>
        <w:spacing w:before="0"/>
        <w:ind w:left="0" w:firstLine="480"/>
        <w:rPr>
          <w:rFonts w:hint="eastAsia"/>
        </w:rPr>
      </w:pPr>
      <w:r>
        <w:rPr>
          <w:rFonts w:hint="eastAsia"/>
        </w:rPr>
        <w:t>深圳市福田中心区福华一路115号投行大厦15楼</w:t>
      </w:r>
    </w:p>
    <w:p>
      <w:pPr>
        <w:widowControl/>
        <w:jc w:val="left"/>
        <w:rPr>
          <w:rFonts w:hint="eastAsia" w:ascii="宋体" w:hAnsi="宋体" w:cs="宋体"/>
          <w:kern w:val="0"/>
          <w:sz w:val="24"/>
          <w:szCs w:val="24"/>
        </w:rPr>
      </w:pPr>
    </w:p>
    <w:p>
      <w:pPr>
        <w:pStyle w:val="14"/>
        <w:rPr>
          <w:rFonts w:hint="eastAsia"/>
        </w:rPr>
      </w:pPr>
      <w:bookmarkStart w:id="68" w:name="_Toc4490230"/>
      <w:r>
        <w:rPr>
          <w:rFonts w:hint="eastAsia"/>
          <w:b/>
          <w:bCs/>
        </w:rPr>
        <w:t>13.3 查阅方式</w:t>
      </w:r>
      <w:bookmarkEnd w:id="68"/>
    </w:p>
    <w:p>
      <w:pPr>
        <w:pStyle w:val="20"/>
        <w:spacing w:before="0"/>
        <w:ind w:left="0" w:firstLine="480"/>
        <w:rPr>
          <w:rFonts w:hint="eastAsia"/>
        </w:rPr>
      </w:pPr>
      <w:r>
        <w:rPr>
          <w:rFonts w:hint="eastAsia"/>
        </w:rPr>
        <w:t>www.cjhxfund.com</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二〇一九年三月二十九日</w:t>
      </w:r>
    </w:p>
    <w:p>
      <w:pPr>
        <w:pStyle w:val="24"/>
        <w:autoSpaceDE w:val="0"/>
        <w:autoSpaceDN w:val="0"/>
        <w:adjustRightInd w:val="0"/>
        <w:spacing w:before="145" w:beforeAutospacing="0" w:after="0" w:afterAutospacing="0" w:line="288" w:lineRule="auto"/>
        <w:ind w:left="15"/>
        <w:jc w:val="right"/>
        <w:rPr>
          <w:rFonts w:hint="eastAsia"/>
          <w:b/>
        </w:rPr>
      </w:pPr>
    </w:p>
    <w:sectPr>
      <w:headerReference r:id="rId3" w:type="default"/>
      <w:footerReference r:id="rId4" w:type="default"/>
      <w:footerReference r:id="rId5"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20</w:t>
    </w:r>
    <w:r>
      <w:rPr>
        <w:rStyle w:val="10"/>
      </w:rPr>
      <w:fldChar w:fldCharType="end"/>
    </w:r>
  </w:p>
  <w:p>
    <w:pPr>
      <w:pStyle w:val="2"/>
      <w:jc w:val="center"/>
    </w:pPr>
    <w:r>
      <w:rPr>
        <w:rFonts w:hint="eastAsia"/>
      </w:rPr>
      <w:t xml:space="preserve">                   第       页，共85页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jc w:val="right"/>
    </w:pPr>
    <w:r>
      <w:rPr>
        <w:rFonts w:hint="eastAsia"/>
      </w:rPr>
      <w:t>创金合信量化多因子股票型证券投资基金2018年年度报告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60050"/>
    <w:rsid w:val="000F3A46"/>
    <w:rsid w:val="00220661"/>
    <w:rsid w:val="004721BB"/>
    <w:rsid w:val="00960050"/>
    <w:rsid w:val="009B638C"/>
    <w:rsid w:val="00B351B5"/>
    <w:rsid w:val="00CD2848"/>
    <w:rsid w:val="00FC651F"/>
    <w:rsid w:val="144A4FE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6"/>
    <w:unhideWhenUsed/>
    <w:uiPriority w:val="99"/>
    <w:pPr>
      <w:tabs>
        <w:tab w:val="center" w:pos="4153"/>
        <w:tab w:val="right" w:pos="8306"/>
      </w:tabs>
      <w:snapToGrid w:val="0"/>
      <w:jc w:val="left"/>
    </w:pPr>
    <w:rPr>
      <w:sz w:val="18"/>
      <w:szCs w:val="18"/>
    </w:rPr>
  </w:style>
  <w:style w:type="paragraph" w:styleId="3">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5">
    <w:name w:val="页眉 Char"/>
    <w:link w:val="3"/>
    <w:locked/>
    <w:uiPriority w:val="99"/>
    <w:rPr>
      <w:rFonts w:hint="default" w:ascii="Times New Roman" w:hAnsi="Times New Roman" w:cs="Times New Roman"/>
      <w:sz w:val="18"/>
      <w:szCs w:val="18"/>
    </w:rPr>
  </w:style>
  <w:style w:type="character" w:customStyle="1" w:styleId="26">
    <w:name w:val="页脚 Char"/>
    <w:link w:val="2"/>
    <w:locked/>
    <w:uiPriority w:val="99"/>
    <w:rPr>
      <w:rFonts w:hint="default" w:ascii="Times New Roman" w:hAnsi="Times New Roman"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84</Pages>
  <Words>10550</Words>
  <Characters>60139</Characters>
  <Lines>501</Lines>
  <Paragraphs>141</Paragraphs>
  <TotalTime>0</TotalTime>
  <ScaleCrop>false</ScaleCrop>
  <LinksUpToDate>false</LinksUpToDate>
  <CharactersWithSpaces>70548</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2019-03-26T02:55:00Z</dcterms:created>
  <dc:creator>石怡翔</dc:creator>
  <cp:lastModifiedBy>Administrator</cp:lastModifiedBy>
  <dcterms:modified xsi:type="dcterms:W3CDTF">2019-12-26T14:09:31Z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