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创金合信尊隆纯债债券型证券投资基金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2"/>
        <w:spacing w:before="240" w:after="120"/>
      </w:pPr>
      <w:bookmarkStart w:id="0" w:name="_Toc510107466"/>
      <w:r>
        <w:rPr>
          <w:rFonts w:hint="eastAsia" w:hAnsi="Calibri"/>
          <w:b/>
          <w:color w:val="000000"/>
        </w:rPr>
        <w:t>§1  重要提示及目录</w:t>
      </w:r>
      <w:bookmarkEnd w:id="0"/>
      <w:r>
        <w:rPr>
          <w:rFonts w:hint="eastAsia"/>
        </w:rPr>
        <w:t xml:space="preserve"> </w:t>
      </w:r>
    </w:p>
    <w:p>
      <w:pPr>
        <w:pStyle w:val="13"/>
        <w:rPr>
          <w:rFonts w:hint="eastAsia"/>
        </w:rPr>
      </w:pPr>
      <w:bookmarkStart w:id="1" w:name="_Toc51010746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8"/>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8"/>
                <w:rFonts w:hint="eastAsia" w:ascii="宋体" w:hAnsi="宋体" w:cs="宋体"/>
                <w:kern w:val="0"/>
                <w:sz w:val="24"/>
                <w:szCs w:val="24"/>
              </w:rPr>
              <w:t>  基金托管人招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8"/>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8"/>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8"/>
                <w:rFonts w:hint="eastAsia" w:ascii="宋体" w:hAnsi="宋体" w:cs="宋体"/>
                <w:kern w:val="0"/>
                <w:sz w:val="24"/>
                <w:szCs w:val="24"/>
              </w:rPr>
              <w:t>  本报告期自2017年02月10日起至2017年12月31日止。</w:t>
            </w:r>
            <w:r>
              <w:rPr>
                <w:rFonts w:hint="eastAsia" w:ascii="宋体" w:hAnsi="宋体" w:cs="宋体"/>
                <w:kern w:val="0"/>
                <w:sz w:val="24"/>
                <w:szCs w:val="24"/>
              </w:rPr>
              <w:t xml:space="preserve"> </w:t>
            </w:r>
          </w:p>
        </w:tc>
      </w:tr>
    </w:tbl>
    <w:p>
      <w:pPr>
        <w:pStyle w:val="13"/>
        <w:rPr>
          <w:rFonts w:hint="eastAsia"/>
        </w:rPr>
      </w:pPr>
      <w:r>
        <w:rPr>
          <w:rFonts w:ascii="Times New Roman" w:hAnsi="Times New Roman"/>
        </w:rPr>
        <w:br w:type="page"/>
      </w:r>
      <w:bookmarkStart w:id="2" w:name="_Toc510107468"/>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0"/>
          <w:lang/>
        </w:rPr>
        <w:fldChar w:fldCharType="begin"/>
      </w:r>
      <w:r>
        <w:rPr>
          <w:rStyle w:val="10"/>
          <w:lang/>
        </w:rPr>
        <w:instrText xml:space="preserve"> </w:instrText>
      </w:r>
      <w:r>
        <w:rPr>
          <w:lang/>
        </w:rPr>
        <w:instrText xml:space="preserve">HYPERLINK \l "_Toc510107466"</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_Toc510107466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"_Toc510107467"</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_Toc510107467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"_Toc510107468"</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_Toc510107468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"_Toc510107469"</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_Toc510107469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"_Toc510107470"</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_Toc510107470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"_Toc510107471"</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_Toc510107471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"_Toc510107472"</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_Toc510107472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"_Toc510107473"</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_Toc510107473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"_Toc510107474"</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_Toc510107474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"_Toc510107475"</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_Toc510107475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"_Toc510107476"</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_Toc510107476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"_Toc510107477"</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_Toc510107477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"_Toc510107478"</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_Toc510107478 \h </w:instrText>
      </w:r>
      <w:r>
        <w:rPr>
          <w:lang/>
        </w:rPr>
        <w:fldChar w:fldCharType="separate"/>
      </w:r>
      <w:r>
        <w:rPr>
          <w:lang/>
        </w:rPr>
        <w:t>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"_Toc510107479"</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_Toc510107479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"_Toc510107480"</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_Toc510107480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"_Toc510107481"</w:instrText>
      </w:r>
      <w:r>
        <w:rPr>
          <w:rStyle w:val="10"/>
          <w:lang/>
        </w:rPr>
        <w:instrText xml:space="preserve"> </w:instrText>
      </w:r>
      <w:r>
        <w:rPr>
          <w:rStyle w:val="10"/>
          <w:lang/>
        </w:rPr>
        <w:fldChar w:fldCharType="separate"/>
      </w:r>
      <w:r>
        <w:rPr>
          <w:rStyle w:val="10"/>
          <w:b/>
          <w:bCs/>
          <w:lang/>
        </w:rPr>
        <w:t xml:space="preserve">4.2 </w:t>
      </w:r>
      <w:r>
        <w:rPr>
          <w:rStyle w:val="10"/>
          <w:rFonts w:hint="eastAsia"/>
          <w:b/>
          <w:bCs/>
          <w:lang/>
        </w:rPr>
        <w:t>管理人对报告期内本基金运作遵规守信情况的说明</w:t>
      </w:r>
      <w:r>
        <w:rPr>
          <w:lang/>
        </w:rPr>
        <w:tab/>
      </w:r>
      <w:r>
        <w:rPr>
          <w:lang/>
        </w:rPr>
        <w:fldChar w:fldCharType="begin"/>
      </w:r>
      <w:r>
        <w:rPr>
          <w:lang/>
        </w:rPr>
        <w:instrText xml:space="preserve"> PAGEREF _Toc510107481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"_Toc510107482"</w:instrText>
      </w:r>
      <w:r>
        <w:rPr>
          <w:rStyle w:val="10"/>
          <w:lang/>
        </w:rPr>
        <w:instrText xml:space="preserve"> </w:instrText>
      </w:r>
      <w:r>
        <w:rPr>
          <w:rStyle w:val="10"/>
          <w:lang/>
        </w:rPr>
        <w:fldChar w:fldCharType="separate"/>
      </w:r>
      <w:r>
        <w:rPr>
          <w:rStyle w:val="10"/>
          <w:b/>
          <w:bCs/>
          <w:lang/>
        </w:rPr>
        <w:t xml:space="preserve">4.3 </w:t>
      </w:r>
      <w:r>
        <w:rPr>
          <w:rStyle w:val="10"/>
          <w:rFonts w:hint="eastAsia"/>
          <w:b/>
          <w:bCs/>
          <w:lang/>
        </w:rPr>
        <w:t>管理人对报告期内公平交易情况的专项说明</w:t>
      </w:r>
      <w:r>
        <w:rPr>
          <w:lang/>
        </w:rPr>
        <w:tab/>
      </w:r>
      <w:r>
        <w:rPr>
          <w:lang/>
        </w:rPr>
        <w:fldChar w:fldCharType="begin"/>
      </w:r>
      <w:r>
        <w:rPr>
          <w:lang/>
        </w:rPr>
        <w:instrText xml:space="preserve"> PAGEREF _Toc510107482 \h </w:instrText>
      </w:r>
      <w:r>
        <w:rPr>
          <w:lang/>
        </w:rPr>
        <w:fldChar w:fldCharType="separate"/>
      </w:r>
      <w:r>
        <w:rPr>
          <w:lang/>
        </w:rPr>
        <w:t>10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"_Toc510107483"</w:instrText>
      </w:r>
      <w:r>
        <w:rPr>
          <w:rStyle w:val="10"/>
          <w:lang/>
        </w:rPr>
        <w:instrText xml:space="preserve"> </w:instrText>
      </w:r>
      <w:r>
        <w:rPr>
          <w:rStyle w:val="10"/>
          <w:lang/>
        </w:rPr>
        <w:fldChar w:fldCharType="separate"/>
      </w:r>
      <w:r>
        <w:rPr>
          <w:rStyle w:val="10"/>
          <w:b/>
          <w:bCs/>
          <w:lang/>
        </w:rPr>
        <w:t xml:space="preserve">4.4 </w:t>
      </w:r>
      <w:r>
        <w:rPr>
          <w:rStyle w:val="10"/>
          <w:rFonts w:hint="eastAsia"/>
          <w:b/>
          <w:bCs/>
          <w:lang/>
        </w:rPr>
        <w:t>管理人对报告期内基金的投资策略和业绩表现的说明</w:t>
      </w:r>
      <w:r>
        <w:rPr>
          <w:lang/>
        </w:rPr>
        <w:tab/>
      </w:r>
      <w:r>
        <w:rPr>
          <w:lang/>
        </w:rPr>
        <w:fldChar w:fldCharType="begin"/>
      </w:r>
      <w:r>
        <w:rPr>
          <w:lang/>
        </w:rPr>
        <w:instrText xml:space="preserve"> PAGEREF _Toc510107483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"_Toc510107484"</w:instrText>
      </w:r>
      <w:r>
        <w:rPr>
          <w:rStyle w:val="10"/>
          <w:lang/>
        </w:rPr>
        <w:instrText xml:space="preserve"> </w:instrText>
      </w:r>
      <w:r>
        <w:rPr>
          <w:rStyle w:val="10"/>
          <w:lang/>
        </w:rPr>
        <w:fldChar w:fldCharType="separate"/>
      </w:r>
      <w:r>
        <w:rPr>
          <w:rStyle w:val="10"/>
          <w:b/>
          <w:bCs/>
          <w:lang/>
        </w:rPr>
        <w:t xml:space="preserve">4.5 </w:t>
      </w:r>
      <w:r>
        <w:rPr>
          <w:rStyle w:val="10"/>
          <w:rFonts w:hint="eastAsia"/>
          <w:b/>
          <w:bCs/>
          <w:lang/>
        </w:rPr>
        <w:t>管理人对宏观经济、证券市场及行业走势的简要展望</w:t>
      </w:r>
      <w:r>
        <w:rPr>
          <w:lang/>
        </w:rPr>
        <w:tab/>
      </w:r>
      <w:r>
        <w:rPr>
          <w:lang/>
        </w:rPr>
        <w:fldChar w:fldCharType="begin"/>
      </w:r>
      <w:r>
        <w:rPr>
          <w:lang/>
        </w:rPr>
        <w:instrText xml:space="preserve"> PAGEREF _Toc510107484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"_Toc510107485"</w:instrText>
      </w:r>
      <w:r>
        <w:rPr>
          <w:rStyle w:val="10"/>
          <w:lang/>
        </w:rPr>
        <w:instrText xml:space="preserve"> </w:instrText>
      </w:r>
      <w:r>
        <w:rPr>
          <w:rStyle w:val="10"/>
          <w:lang/>
        </w:rPr>
        <w:fldChar w:fldCharType="separate"/>
      </w:r>
      <w:r>
        <w:rPr>
          <w:rStyle w:val="10"/>
          <w:b/>
          <w:bCs/>
          <w:lang/>
        </w:rPr>
        <w:t xml:space="preserve">4.6 </w:t>
      </w:r>
      <w:r>
        <w:rPr>
          <w:rStyle w:val="10"/>
          <w:rFonts w:hint="eastAsia"/>
          <w:b/>
          <w:bCs/>
          <w:lang/>
        </w:rPr>
        <w:t>管理人内部有关本基金的监察稽核工作情况</w:t>
      </w:r>
      <w:r>
        <w:rPr>
          <w:lang/>
        </w:rPr>
        <w:tab/>
      </w:r>
      <w:r>
        <w:rPr>
          <w:lang/>
        </w:rPr>
        <w:fldChar w:fldCharType="begin"/>
      </w:r>
      <w:r>
        <w:rPr>
          <w:lang/>
        </w:rPr>
        <w:instrText xml:space="preserve"> PAGEREF _Toc510107485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"_Toc510107486"</w:instrText>
      </w:r>
      <w:r>
        <w:rPr>
          <w:rStyle w:val="10"/>
          <w:lang/>
        </w:rPr>
        <w:instrText xml:space="preserve"> </w:instrText>
      </w:r>
      <w:r>
        <w:rPr>
          <w:rStyle w:val="10"/>
          <w:lang/>
        </w:rPr>
        <w:fldChar w:fldCharType="separate"/>
      </w:r>
      <w:r>
        <w:rPr>
          <w:rStyle w:val="10"/>
          <w:b/>
          <w:bCs/>
          <w:lang/>
        </w:rPr>
        <w:t xml:space="preserve">4.7 </w:t>
      </w:r>
      <w:r>
        <w:rPr>
          <w:rStyle w:val="10"/>
          <w:rFonts w:hint="eastAsia"/>
          <w:b/>
          <w:bCs/>
          <w:lang/>
        </w:rPr>
        <w:t>管理人对报告期内基金估值程序等事项的说明</w:t>
      </w:r>
      <w:r>
        <w:rPr>
          <w:lang/>
        </w:rPr>
        <w:tab/>
      </w:r>
      <w:r>
        <w:rPr>
          <w:lang/>
        </w:rPr>
        <w:fldChar w:fldCharType="begin"/>
      </w:r>
      <w:r>
        <w:rPr>
          <w:lang/>
        </w:rPr>
        <w:instrText xml:space="preserve"> PAGEREF _Toc510107486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"_Toc510107487"</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_Toc510107487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"_Toc510107488"</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_Toc510107488 \h </w:instrText>
      </w:r>
      <w:r>
        <w:rPr>
          <w:lang/>
        </w:rPr>
        <w:fldChar w:fldCharType="separate"/>
      </w:r>
      <w:r>
        <w:rPr>
          <w:lang/>
        </w:rPr>
        <w:t>13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"_Toc510107489"</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_Toc510107489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"_Toc510107490"</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_Toc510107490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"_Toc510107491"</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_Toc510107491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"_Toc510107492"</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_Toc510107492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"_Toc510107493"</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_Toc510107493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"_Toc510107494"</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_Toc510107494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"_Toc510107495"</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_Toc510107495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"_Toc510107496"</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_Toc510107496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"_Toc510107497"</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_Toc510107497 \h </w:instrText>
      </w:r>
      <w:r>
        <w:rPr>
          <w:lang/>
        </w:rPr>
        <w:fldChar w:fldCharType="separate"/>
      </w:r>
      <w:r>
        <w:rPr>
          <w:lang/>
        </w:rPr>
        <w:t>17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"_Toc510107498"</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_Toc510107498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"_Toc510107499"</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_Toc510107499 \h </w:instrText>
      </w:r>
      <w:r>
        <w:rPr>
          <w:lang/>
        </w:rPr>
        <w:fldChar w:fldCharType="separate"/>
      </w:r>
      <w:r>
        <w:rPr>
          <w:lang/>
        </w:rPr>
        <w:t>20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"_Toc510107500"</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_Toc510107500 \h </w:instrText>
      </w:r>
      <w:r>
        <w:rPr>
          <w:lang/>
        </w:rPr>
        <w:fldChar w:fldCharType="separate"/>
      </w:r>
      <w:r>
        <w:rPr>
          <w:lang/>
        </w:rPr>
        <w:t>21</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"_Toc510107501"</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_Toc510107501 \h </w:instrText>
      </w:r>
      <w:r>
        <w:rPr>
          <w:lang/>
        </w:rPr>
        <w:fldChar w:fldCharType="separate"/>
      </w:r>
      <w:r>
        <w:rPr>
          <w:lang/>
        </w:rPr>
        <w:t>42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"_Toc510107502"</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_Toc510107502 \h </w:instrText>
      </w:r>
      <w:r>
        <w:rPr>
          <w:lang/>
        </w:rPr>
        <w:fldChar w:fldCharType="separate"/>
      </w:r>
      <w:r>
        <w:rPr>
          <w:lang/>
        </w:rPr>
        <w:t>42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"_Toc510107503"</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_Toc510107503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"_Toc510107504"</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_Toc510107504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"_Toc510107505"</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_Toc510107505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"_Toc510107506"</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_Toc510107506 \h </w:instrText>
      </w:r>
      <w:r>
        <w:rPr>
          <w:lang/>
        </w:rPr>
        <w:fldChar w:fldCharType="separate"/>
      </w:r>
      <w:r>
        <w:rPr>
          <w:lang/>
        </w:rPr>
        <w:t>43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"_Toc510107507"</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_Toc510107507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"_Toc510107508"</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_Toc510107508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"_Toc510107509"</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_Toc510107509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"_Toc510107510"</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_Toc510107510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"_Toc510107511"</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_Toc510107511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"_Toc510107512"</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_Toc510107512 \h </w:instrText>
      </w:r>
      <w:r>
        <w:rPr>
          <w:lang/>
        </w:rPr>
        <w:fldChar w:fldCharType="separate"/>
      </w:r>
      <w:r>
        <w:rPr>
          <w:lang/>
        </w:rPr>
        <w:t>44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"_Toc510107513"</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_Toc510107513 \h </w:instrText>
      </w:r>
      <w:r>
        <w:rPr>
          <w:lang/>
        </w:rPr>
        <w:fldChar w:fldCharType="separate"/>
      </w:r>
      <w:r>
        <w:rPr>
          <w:lang/>
        </w:rPr>
        <w:t>45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"_Toc510107514"</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_Toc510107514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"_Toc510107515"</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_Toc510107515 \h </w:instrText>
      </w:r>
      <w:r>
        <w:rPr>
          <w:lang/>
        </w:rPr>
        <w:fldChar w:fldCharType="separate"/>
      </w:r>
      <w:r>
        <w:rPr>
          <w:lang/>
        </w:rPr>
        <w:t>45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"_Toc510107516"</w:instrText>
      </w:r>
      <w:r>
        <w:rPr>
          <w:rStyle w:val="10"/>
          <w:lang/>
        </w:rPr>
        <w:instrText xml:space="preserve"> </w:instrText>
      </w:r>
      <w:r>
        <w:rPr>
          <w:rStyle w:val="10"/>
          <w:lang/>
        </w:rPr>
        <w:fldChar w:fldCharType="separate"/>
      </w:r>
      <w:r>
        <w:rPr>
          <w:rStyle w:val="10"/>
          <w:b/>
          <w:lang/>
        </w:rPr>
        <w:t>9.2</w:t>
      </w:r>
      <w:r>
        <w:rPr>
          <w:rStyle w:val="10"/>
          <w:rFonts w:hint="eastAsia"/>
          <w:b/>
          <w:lang/>
        </w:rPr>
        <w:t>期末基金管理人的从业人员持有本基金的情况</w:t>
      </w:r>
      <w:r>
        <w:rPr>
          <w:lang/>
        </w:rPr>
        <w:tab/>
      </w:r>
      <w:r>
        <w:rPr>
          <w:lang/>
        </w:rPr>
        <w:fldChar w:fldCharType="begin"/>
      </w:r>
      <w:r>
        <w:rPr>
          <w:lang/>
        </w:rPr>
        <w:instrText xml:space="preserve"> PAGEREF _Toc510107516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"_Toc510107517"</w:instrText>
      </w:r>
      <w:r>
        <w:rPr>
          <w:rStyle w:val="10"/>
          <w:lang/>
        </w:rPr>
        <w:instrText xml:space="preserve"> </w:instrText>
      </w:r>
      <w:r>
        <w:rPr>
          <w:rStyle w:val="10"/>
          <w:lang/>
        </w:rPr>
        <w:fldChar w:fldCharType="separate"/>
      </w:r>
      <w:r>
        <w:rPr>
          <w:rStyle w:val="10"/>
          <w:b/>
          <w:bCs/>
          <w:lang/>
        </w:rPr>
        <w:t>9.3</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_Toc510107517 \h </w:instrText>
      </w:r>
      <w:r>
        <w:rPr>
          <w:lang/>
        </w:rPr>
        <w:fldChar w:fldCharType="separate"/>
      </w:r>
      <w:r>
        <w:rPr>
          <w:lang/>
        </w:rPr>
        <w:t>46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"_Toc510107518"</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_Toc510107518 \h </w:instrText>
      </w:r>
      <w:r>
        <w:rPr>
          <w:lang/>
        </w:rPr>
        <w:fldChar w:fldCharType="separate"/>
      </w:r>
      <w:r>
        <w:rPr>
          <w:lang/>
        </w:rPr>
        <w:t>46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"_Toc510107519"</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_Toc510107519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"_Toc510107520"</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_Toc510107520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"_Toc510107521"</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_Toc510107521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"_Toc510107522"</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_Toc510107522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"_Toc510107523"</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_Toc510107523 \h </w:instrText>
      </w:r>
      <w:r>
        <w:rPr>
          <w:lang/>
        </w:rPr>
        <w:fldChar w:fldCharType="separate"/>
      </w:r>
      <w:r>
        <w:rPr>
          <w:lang/>
        </w:rPr>
        <w:t>46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"_Toc510107524"</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_Toc510107524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"_Toc510107525"</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_Toc510107525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"_Toc510107526"</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_Toc510107526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"_Toc510107527"</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_Toc510107527 \h </w:instrText>
      </w:r>
      <w:r>
        <w:rPr>
          <w:lang/>
        </w:rPr>
        <w:fldChar w:fldCharType="separate"/>
      </w:r>
      <w:r>
        <w:rPr>
          <w:lang/>
        </w:rPr>
        <w:t>48</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"_Toc510107528"</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_Toc510107528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"_Toc510107529"</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_Toc510107529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"_Toc510107530"</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_Toc510107530 \h </w:instrText>
      </w:r>
      <w:r>
        <w:rPr>
          <w:lang/>
        </w:rPr>
        <w:fldChar w:fldCharType="separate"/>
      </w:r>
      <w:r>
        <w:rPr>
          <w:lang/>
        </w:rPr>
        <w:t>50</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"_Toc510107531"</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_Toc510107531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"_Toc510107532"</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rStyle w:val="10"/>
          <w:lang/>
        </w:rPr>
        <w:t>.</w:t>
      </w:r>
      <w:r>
        <w:rPr>
          <w:lang/>
        </w:rPr>
        <w:tab/>
      </w:r>
      <w:r>
        <w:rPr>
          <w:lang/>
        </w:rPr>
        <w:fldChar w:fldCharType="begin"/>
      </w:r>
      <w:r>
        <w:rPr>
          <w:lang/>
        </w:rPr>
        <w:instrText xml:space="preserve"> PAGEREF _Toc510107532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"_Toc510107533"</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_Toc510107533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"_Toc510107534"</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_Toc510107534 \h </w:instrText>
      </w:r>
      <w:r>
        <w:rPr>
          <w:lang/>
        </w:rPr>
        <w:fldChar w:fldCharType="separate"/>
      </w:r>
      <w:r>
        <w:rPr>
          <w:lang/>
        </w:rPr>
        <w:t>50</w:t>
      </w:r>
      <w:r>
        <w:rPr>
          <w:lang/>
        </w:rPr>
        <w:fldChar w:fldCharType="end"/>
      </w:r>
      <w:r>
        <w:rPr>
          <w:rStyle w:val="10"/>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2"/>
        <w:rPr>
          <w:rFonts w:hint="eastAsia"/>
        </w:rPr>
      </w:pPr>
      <w:bookmarkStart w:id="3" w:name="_Toc51010746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51010747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创金合信尊隆纯债债券型证券投资基金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004322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2017年02月10日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200,052,624.80份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pStyle w:val="13"/>
      </w:pPr>
      <w:bookmarkStart w:id="5" w:name="_Toc51010747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在严格控制风险的前提下，追求当期收入和投资总回报最大化。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本基金通过对宏观经济形势的持续跟踪，基于对利率、信用等市场的分析和预测，综合运用久期配置策略、跨市场套利、杠杆放大等策略，力争实现基金资产的稳健增值。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中债综合（全价）指数收益率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本基金为债券型基金，长期来看，其预期风险和预期收益水平低于股票型基金、混合型基金，高于货币市场基金。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3"/>
      </w:pPr>
      <w:bookmarkStart w:id="6" w:name="_Toc51010747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3"/>
        <w:rPr>
          <w:rFonts w:hint="eastAsia"/>
        </w:rPr>
      </w:pPr>
      <w:bookmarkStart w:id="7" w:name="_Toc51010747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证券时报、上海证券报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pStyle w:val="13"/>
        <w:rPr>
          <w:rFonts w:hint="eastAsia"/>
        </w:rPr>
      </w:pPr>
      <w:bookmarkStart w:id="8" w:name="_Toc51010747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2"/>
      </w:pPr>
      <w:bookmarkStart w:id="9" w:name="_Toc51010747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51010747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5934"/>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本期2017年02月10日（基金合同生效日）- 2017年12月31日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6,505,055.99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4.本基金合同生效日为2017年2月10日，截至报告期末，本基金成立不满一年。合同生效当期的相关数据和指标按实际存续期计算。</w:t>
      </w:r>
    </w:p>
    <w:p>
      <w:pPr>
        <w:pStyle w:val="13"/>
        <w:rPr>
          <w:rFonts w:hint="eastAsia"/>
        </w:rPr>
      </w:pPr>
      <w:bookmarkStart w:id="11" w:name="_Toc510107477"/>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1464"/>
        <w:gridCol w:w="1289"/>
        <w:gridCol w:w="1289"/>
        <w:gridCol w:w="1289"/>
        <w:gridCol w:w="1289"/>
        <w:gridCol w:w="1289"/>
        <w:gridCol w:w="128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-0.03%</w:t>
            </w:r>
          </w:p>
        </w:tc>
      </w:tr>
    </w:tbl>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恒生系统安装\B13\Bin\MOD\TMP\CN_50990000_004322_FB010010_20180002_1.jpg" type="#_x0000_t75" style="height:286.2pt;width:441pt;" filled="f" stroked="f" coordsize="21600,21600">
            <v:path/>
            <v:fill on="f" focussize="0,0"/>
            <v:stroke on="f"/>
            <v:imagedata r:id="rId10" grayscale="f" bilevel="f" o:title="CN_50990000_004322_FB010010_20180002_1"/>
            <o:lock v:ext="edit" grouping="f" rotation="f" aspectratio="t"/>
            <w10:wrap type="none"/>
            <w10:anchorlock/>
          </v:shape>
        </w:pict>
      </w: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恒生系统安装\B13\Bin\MOD\TMP\CN_50990000_004322_FB010010_20180002_2.jpg" type="#_x0000_t75" style="height:285.95pt;width:440.6pt;" filled="f" stroked="f" coordsize="21600,21600">
            <v:path/>
            <v:fill on="f" focussize="0,0"/>
            <v:stroke on="f"/>
            <v:imagedata r:id="rId11" grayscale="f" bilevel="f" o:title="CN_50990000_004322_FB010010_20180002_2"/>
            <o:lock v:ext="edit" grouping="f" rotation="f" aspectratio="t"/>
            <w10:wrap type="none"/>
            <w10:anchorlock/>
          </v:shape>
        </w:pict>
      </w:r>
    </w:p>
    <w:p>
      <w:pPr>
        <w:pStyle w:val="13"/>
        <w:rPr>
          <w:rFonts w:hint="eastAsia"/>
        </w:rPr>
      </w:pPr>
      <w:bookmarkStart w:id="12" w:name="_Toc510107478"/>
      <w:r>
        <w:rPr>
          <w:rFonts w:hint="eastAsia" w:hAnsi="Calibri"/>
          <w:b/>
          <w:color w:val="000000"/>
        </w:rPr>
        <w:t>3.3 过去三年基金的利润分配情况</w:t>
      </w:r>
      <w:bookmarkEnd w:id="12"/>
    </w:p>
    <w:tbl>
      <w:tblPr>
        <w:tblStyle w:val="7"/>
        <w:tblW w:w="9045" w:type="dxa"/>
        <w:tblInd w:w="108" w:type="dxa"/>
        <w:tblLayout w:type="autofit"/>
        <w:tblCellMar>
          <w:top w:w="0" w:type="dxa"/>
          <w:left w:w="108" w:type="dxa"/>
          <w:bottom w:w="0" w:type="dxa"/>
          <w:right w:w="108" w:type="dxa"/>
        </w:tblCellMar>
      </w:tblPr>
      <w:tblGrid>
        <w:gridCol w:w="9045"/>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本基金自基金合同生效日(2017年2月10日)至本报告期末未发生利润分配。</w:t>
      </w:r>
    </w:p>
    <w:p>
      <w:pPr>
        <w:pStyle w:val="12"/>
        <w:rPr>
          <w:rFonts w:hint="eastAsia"/>
        </w:rPr>
      </w:pPr>
      <w:bookmarkStart w:id="13" w:name="_Toc51010747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510107480"/>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郑振源先生，中国国籍，中国人民银行研究生部经济学硕士。2009年7月加入第一创业证券研究所，担任宏观债券研究员。2012年7月加入第一创业证券资产管理部，先后担任宏观债券研究员、投资主办等职务。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3"/>
        <w:rPr>
          <w:rFonts w:hint="eastAsia"/>
        </w:rPr>
      </w:pPr>
      <w:bookmarkStart w:id="15" w:name="_Toc510107481"/>
      <w:r>
        <w:rPr>
          <w:rFonts w:hint="eastAsia"/>
          <w:b/>
          <w:bCs/>
        </w:rPr>
        <w:t>4.2 管理人对报告期内本基金运作遵规守信情况的说明</w:t>
      </w:r>
      <w:bookmarkEnd w:id="15"/>
    </w:p>
    <w:p>
      <w:pPr>
        <w:pStyle w:val="19"/>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3"/>
        <w:rPr>
          <w:rFonts w:hint="eastAsia"/>
        </w:rPr>
      </w:pPr>
      <w:bookmarkStart w:id="16" w:name="_Toc510107482"/>
      <w:r>
        <w:rPr>
          <w:rFonts w:hint="eastAsia"/>
          <w:b/>
          <w:bCs/>
        </w:rPr>
        <w:t>4.3 管理人对报告期内公平交易情况的专项说明</w:t>
      </w:r>
      <w:bookmarkEnd w:id="16"/>
    </w:p>
    <w:p>
      <w:pPr>
        <w:pStyle w:val="14"/>
        <w:rPr>
          <w:rFonts w:hint="eastAsia"/>
        </w:rPr>
      </w:pPr>
      <w:r>
        <w:rPr>
          <w:rFonts w:hint="eastAsia"/>
          <w:b/>
          <w:bCs/>
        </w:rPr>
        <w:t>4.3.1 公平交易制度和控制方法</w:t>
      </w:r>
    </w:p>
    <w:p>
      <w:pPr>
        <w:pStyle w:val="19"/>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b/>
          <w:bCs/>
        </w:rPr>
        <w:t>4.3.2 公平交易制度的执行情况</w:t>
      </w:r>
    </w:p>
    <w:p>
      <w:pPr>
        <w:pStyle w:val="19"/>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b/>
          <w:bCs/>
        </w:rPr>
        <w:t>4.3.3 异常交易行为的专项说明</w:t>
      </w:r>
    </w:p>
    <w:p>
      <w:pPr>
        <w:pStyle w:val="19"/>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510107483"/>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4"/>
        <w:rPr>
          <w:rFonts w:hint="eastAsia"/>
        </w:rPr>
      </w:pPr>
      <w:r>
        <w:rPr>
          <w:rFonts w:hint="eastAsia"/>
          <w:b/>
          <w:bCs/>
        </w:rPr>
        <w:t>4.4.1 报告期内基金投资策略和运作分析</w:t>
      </w:r>
    </w:p>
    <w:p>
      <w:pPr>
        <w:pStyle w:val="19"/>
        <w:rPr>
          <w:rFonts w:hint="eastAsia"/>
        </w:rPr>
      </w:pPr>
      <w:r>
        <w:rPr>
          <w:rFonts w:hint="eastAsia"/>
        </w:rPr>
        <w:t>  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到年末的3.95左右。去年市场有两次快速的调整，一次是3月底由于委外监管政策出台，导致机构刚性的压降，而引发了市场赎回潮；另一次是10月份开始机构对于四季度经济向下悲观预期的修正，引发市场收益剧烈的调整；叠加美国税改和加息周期，债券收益率快速上行。 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4"/>
        <w:rPr>
          <w:rFonts w:hint="eastAsia"/>
        </w:rPr>
      </w:pPr>
      <w:r>
        <w:rPr>
          <w:rFonts w:hint="eastAsia"/>
          <w:b/>
          <w:bCs/>
        </w:rPr>
        <w:t>4.4.2 报告期内基金的业绩表现</w:t>
      </w:r>
    </w:p>
    <w:p>
      <w:pPr>
        <w:pStyle w:val="19"/>
        <w:rPr>
          <w:rFonts w:hint="eastAsia"/>
        </w:rPr>
      </w:pPr>
      <w:r>
        <w:rPr>
          <w:rFonts w:hint="eastAsia"/>
        </w:rPr>
        <w:t>  截至报告期末创金合信尊隆纯债基金份额净值为1.0249元;本报告期内，基金份额净值增长率为2.49%，同期业绩比较基准收益率为-2.37%。</w:t>
      </w:r>
    </w:p>
    <w:p>
      <w:pPr>
        <w:widowControl/>
        <w:jc w:val="left"/>
        <w:rPr>
          <w:rFonts w:hint="eastAsia" w:ascii="宋体" w:hAnsi="宋体" w:cs="宋体"/>
          <w:kern w:val="0"/>
          <w:sz w:val="24"/>
          <w:szCs w:val="24"/>
        </w:rPr>
      </w:pPr>
    </w:p>
    <w:p>
      <w:pPr>
        <w:pStyle w:val="13"/>
        <w:rPr>
          <w:rFonts w:hint="eastAsia"/>
        </w:rPr>
      </w:pPr>
      <w:bookmarkStart w:id="18" w:name="_Toc510107484"/>
      <w:r>
        <w:rPr>
          <w:rFonts w:hint="eastAsia"/>
          <w:b/>
          <w:bCs/>
        </w:rPr>
        <w:t>4.5 管理人对宏观经济、证券市场及行业走势的简要展望</w:t>
      </w:r>
      <w:bookmarkEnd w:id="18"/>
    </w:p>
    <w:p>
      <w:pPr>
        <w:pStyle w:val="19"/>
        <w:rPr>
          <w:rFonts w:hint="eastAsia"/>
        </w:rPr>
      </w:pPr>
      <w:r>
        <w:rPr>
          <w:rFonts w:hint="eastAsia"/>
        </w:rPr>
        <w:t>  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债券市场难有机会，应当以防御为主。我们会采取相对谨慎的操作策略，严格控制组合杠杆和久期，积极挖掘短久期、高票息的债券，在久期风险可控的情况下力求提高组合静态收益。除此之外，我们还会密切跟踪市场，当市场面临利空冲击而出现超跌机会的时候，择机参与波段交易以增厚组合收益。</w:t>
      </w:r>
    </w:p>
    <w:p>
      <w:pPr>
        <w:widowControl/>
        <w:jc w:val="left"/>
        <w:rPr>
          <w:rFonts w:hint="eastAsia" w:ascii="宋体" w:hAnsi="宋体" w:cs="宋体"/>
          <w:kern w:val="0"/>
          <w:sz w:val="24"/>
          <w:szCs w:val="24"/>
        </w:rPr>
      </w:pPr>
    </w:p>
    <w:p>
      <w:pPr>
        <w:pStyle w:val="13"/>
        <w:rPr>
          <w:rFonts w:hint="eastAsia"/>
        </w:rPr>
      </w:pPr>
      <w:bookmarkStart w:id="19" w:name="_Toc510107485"/>
      <w:r>
        <w:rPr>
          <w:rFonts w:hint="eastAsia"/>
          <w:b/>
          <w:bCs/>
        </w:rPr>
        <w:t>4.6 管理人内部有关本基金的监察稽核工作情况</w:t>
      </w:r>
      <w:bookmarkEnd w:id="19"/>
    </w:p>
    <w:p>
      <w:pPr>
        <w:pStyle w:val="19"/>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510107486"/>
      <w:r>
        <w:rPr>
          <w:rFonts w:hint="eastAsia"/>
          <w:b/>
          <w:bCs/>
        </w:rPr>
        <w:t>4.7 管理人对报告期内基金估值程序等事项的说明</w:t>
      </w:r>
      <w:bookmarkEnd w:id="20"/>
    </w:p>
    <w:p>
      <w:pPr>
        <w:pStyle w:val="19"/>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510107487"/>
      <w:r>
        <w:rPr>
          <w:rFonts w:hint="eastAsia"/>
          <w:b/>
          <w:bCs/>
        </w:rPr>
        <w:t>4.8 管理人对报告期内基金利润分配情况的说明</w:t>
      </w:r>
      <w:bookmarkEnd w:id="21"/>
    </w:p>
    <w:p>
      <w:pPr>
        <w:pStyle w:val="19"/>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510107488"/>
      <w:r>
        <w:rPr>
          <w:rFonts w:hint="eastAsia"/>
          <w:b/>
          <w:bCs/>
        </w:rPr>
        <w:t>4.9 报告期内管理人对本基金持有人数或基金资产净值预警情形的说明</w:t>
      </w:r>
      <w:bookmarkEnd w:id="22"/>
    </w:p>
    <w:p>
      <w:pPr>
        <w:pStyle w:val="19"/>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51010748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510107490"/>
      <w:r>
        <w:rPr>
          <w:rFonts w:hint="eastAsia"/>
          <w:b/>
          <w:bCs/>
        </w:rPr>
        <w:t>5.1 报告期内本基金托管人遵规守信情况声明</w:t>
      </w:r>
      <w:bookmarkEnd w:id="24"/>
    </w:p>
    <w:p>
      <w:pPr>
        <w:pStyle w:val="19"/>
        <w:rPr>
          <w:rFonts w:hint="eastAsia"/>
        </w:rPr>
      </w:pPr>
      <w:r>
        <w:rPr>
          <w:rFonts w:hint="eastAsia"/>
        </w:rPr>
        <w:t>  托管人声明，在本报告期内，基金托管人--招商银行股份有限公司不存在任何损害基金份额持有人利益的行为，严格遵守了《中华人民共和国证券投资基金法》及其他有关法律法规、基金合同，完全尽职尽责地履行了应尽的义务。</w:t>
      </w:r>
    </w:p>
    <w:p>
      <w:pPr>
        <w:widowControl/>
        <w:jc w:val="left"/>
        <w:rPr>
          <w:rFonts w:hint="eastAsia" w:ascii="宋体" w:hAnsi="宋体" w:cs="宋体"/>
          <w:kern w:val="0"/>
          <w:sz w:val="24"/>
          <w:szCs w:val="24"/>
        </w:rPr>
      </w:pPr>
    </w:p>
    <w:p>
      <w:pPr>
        <w:pStyle w:val="13"/>
        <w:rPr>
          <w:rFonts w:hint="eastAsia"/>
        </w:rPr>
      </w:pPr>
      <w:bookmarkStart w:id="25" w:name="_Toc510107491"/>
      <w:r>
        <w:rPr>
          <w:rFonts w:hint="eastAsia"/>
          <w:b/>
          <w:bCs/>
        </w:rPr>
        <w:t>5.2 托管人对报告期内本基金投资运作遵规守信、净值计算、利润分配等情况的说明</w:t>
      </w:r>
      <w:bookmarkEnd w:id="25"/>
    </w:p>
    <w:p>
      <w:pPr>
        <w:pStyle w:val="19"/>
        <w:rPr>
          <w:rFonts w:hint="eastAsia"/>
        </w:rPr>
      </w:pPr>
      <w:r>
        <w:rPr>
          <w:rFonts w:hint="eastAsia"/>
        </w:rPr>
        <w:t>  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widowControl/>
        <w:jc w:val="left"/>
        <w:rPr>
          <w:rFonts w:hint="eastAsia" w:ascii="宋体" w:hAnsi="宋体" w:cs="宋体"/>
          <w:kern w:val="0"/>
          <w:sz w:val="24"/>
          <w:szCs w:val="24"/>
        </w:rPr>
      </w:pPr>
    </w:p>
    <w:p>
      <w:pPr>
        <w:pStyle w:val="13"/>
        <w:rPr>
          <w:rFonts w:hint="eastAsia"/>
        </w:rPr>
      </w:pPr>
      <w:bookmarkStart w:id="26" w:name="_Toc510107492"/>
      <w:r>
        <w:rPr>
          <w:rFonts w:hint="eastAsia"/>
          <w:b/>
          <w:bCs/>
        </w:rPr>
        <w:t>5.3 托管人对本年度报告中财务信息等内容的真实、准确和完整发表意见</w:t>
      </w:r>
      <w:bookmarkEnd w:id="26"/>
    </w:p>
    <w:p>
      <w:pPr>
        <w:pStyle w:val="19"/>
        <w:rPr>
          <w:rFonts w:hint="eastAsia"/>
        </w:rPr>
      </w:pPr>
      <w:r>
        <w:rPr>
          <w:rFonts w:hint="eastAsia"/>
        </w:rPr>
        <w:t>  本年度报告中财务指标、净值表现、财务会计报告、利润分配、投资组合报告等内容真实、准确和完整，不存在虚假记载、误导性陈述或者重大遗漏。</w:t>
      </w:r>
    </w:p>
    <w:p>
      <w:pPr>
        <w:pStyle w:val="12"/>
        <w:rPr>
          <w:rFonts w:hint="eastAsia"/>
        </w:rPr>
      </w:pPr>
      <w:bookmarkStart w:id="27" w:name="_Toc51010749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51010749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普华永道中天审字(2018)第21822号</w:t>
            </w:r>
          </w:p>
        </w:tc>
      </w:tr>
    </w:tbl>
    <w:p>
      <w:pPr>
        <w:widowControl/>
        <w:jc w:val="left"/>
        <w:rPr>
          <w:rFonts w:hint="eastAsia" w:ascii="宋体" w:hAnsi="宋体" w:cs="宋体"/>
          <w:kern w:val="0"/>
          <w:sz w:val="24"/>
          <w:szCs w:val="24"/>
        </w:rPr>
      </w:pPr>
    </w:p>
    <w:p>
      <w:pPr>
        <w:pStyle w:val="13"/>
        <w:rPr>
          <w:rFonts w:hint="eastAsia"/>
        </w:rPr>
      </w:pPr>
      <w:bookmarkStart w:id="29" w:name="_Toc51010749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创金合信尊隆纯债债券型证券投资基金全体基金份额持有人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尊隆纯债债券型证券投资基金(以下简称"创金合信尊隆纯债债券基金")的财务报表，包括2017年12月31日的资产负债表，2017年2月10日(基金合同生效日)至2017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尊隆纯债债券基金2017年12月31日的财务状况以及2017年2月10日(基金合同生效日)至2017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按照中国注册会计师职业道德守则，我们独立于创金合信尊隆纯债债券基金，并履行了职业道德方面的其他责任。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尊隆纯债债券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尊隆纯债债券基金的持续经营能力，披露与持续经营相关的事项(如适用)，并运用持续经营假设，除非基金管理人管理层计划清算创金合信尊隆纯债债券基金、终止运营或别无其他现实的选择。 基金管理人治理层负责监督创金合信尊隆纯债债券基金的财务报告过程。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尊隆纯债债券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尊隆纯债债券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2018-03-27</w:t>
            </w:r>
          </w:p>
        </w:tc>
      </w:tr>
    </w:tbl>
    <w:p>
      <w:pPr>
        <w:pStyle w:val="12"/>
        <w:rPr>
          <w:rFonts w:hint="eastAsia"/>
        </w:rPr>
      </w:pPr>
      <w:bookmarkStart w:id="30" w:name="_Toc51010749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510107497"/>
      <w:r>
        <w:rPr>
          <w:rFonts w:hint="eastAsia"/>
          <w:b/>
          <w:bCs/>
        </w:rPr>
        <w:t>7.1 资产负债表</w:t>
      </w:r>
      <w:bookmarkEnd w:id="31"/>
    </w:p>
    <w:p>
      <w:pPr>
        <w:pStyle w:val="16"/>
        <w:rPr>
          <w:rFonts w:hint="eastAsia"/>
        </w:rPr>
      </w:pPr>
      <w:r>
        <w:rPr>
          <w:rFonts w:hint="eastAsia"/>
        </w:rPr>
        <w:t>会计主体：创金合信尊隆纯债债券型证券投资基金</w:t>
      </w:r>
    </w:p>
    <w:p>
      <w:pPr>
        <w:pStyle w:val="16"/>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052"/>
        <w:gridCol w:w="1520"/>
        <w:gridCol w:w="3548"/>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1,881,442.48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13,264.54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6,294,375.48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275,130,523.00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59,900,000.00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9,911,918.80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52,205.12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17,401.71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-25,571.48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70,102,602.93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275,130,523.00</w:t>
            </w:r>
          </w:p>
        </w:tc>
      </w:tr>
    </w:tbl>
    <w:p>
      <w:pPr>
        <w:pStyle w:val="19"/>
        <w:rPr>
          <w:rFonts w:hint="eastAsia"/>
        </w:rPr>
      </w:pPr>
      <w:r>
        <w:rPr>
          <w:rFonts w:hint="eastAsia"/>
        </w:rPr>
        <w:t>注：1.报告截止日2017年12月31日，基金份额净值1.0249元，基金份额总额200,052,624.80份。</w:t>
      </w:r>
      <w:r>
        <w:rPr>
          <w:rFonts w:hint="eastAsia"/>
        </w:rPr>
        <w:br w:type="textWrapping"/>
      </w:r>
      <w:r>
        <w:rPr>
          <w:rFonts w:hint="eastAsia"/>
        </w:rPr>
        <w:t>2.本财务报表的实际报告期间为2017年2月10日(基金合同生效日)至2017年12月31日。截至报告期末本基金合同生效未满1年，本报告期的财务报表及报表附注均无同期对比数据。</w:t>
      </w:r>
    </w:p>
    <w:p>
      <w:pPr>
        <w:pStyle w:val="13"/>
        <w:rPr>
          <w:rFonts w:hint="eastAsia"/>
        </w:rPr>
      </w:pPr>
      <w:bookmarkStart w:id="32" w:name="_Toc510107498"/>
      <w:r>
        <w:rPr>
          <w:rFonts w:hint="eastAsia"/>
          <w:b/>
          <w:bCs/>
        </w:rPr>
        <w:t>7.2 利润表</w:t>
      </w:r>
      <w:bookmarkEnd w:id="32"/>
    </w:p>
    <w:p>
      <w:pPr>
        <w:widowControl/>
        <w:jc w:val="left"/>
        <w:rPr>
          <w:rFonts w:hint="eastAsia" w:ascii="宋体" w:hAnsi="宋体" w:cs="宋体"/>
          <w:kern w:val="0"/>
          <w:sz w:val="24"/>
          <w:szCs w:val="24"/>
        </w:rPr>
      </w:pPr>
    </w:p>
    <w:p>
      <w:pPr>
        <w:pStyle w:val="16"/>
        <w:rPr>
          <w:rFonts w:hint="eastAsia"/>
        </w:rPr>
      </w:pPr>
      <w:r>
        <w:rPr>
          <w:rFonts w:hint="eastAsia"/>
        </w:rPr>
        <w:t>会计主体：创金合信尊隆纯债债券型证券投资基金</w:t>
      </w:r>
    </w:p>
    <w:p>
      <w:pPr>
        <w:pStyle w:val="16"/>
        <w:rPr>
          <w:rFonts w:hint="eastAsia"/>
        </w:rPr>
      </w:pPr>
      <w:r>
        <w:rPr>
          <w:rFonts w:hint="eastAsia"/>
        </w:rPr>
        <w:t>本报告期：2017年02月10日（基金合同生效日）至2017年12月31日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558"/>
        <w:gridCol w:w="1520"/>
        <w:gridCol w:w="3042"/>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本期2017年02月10日（基金合同生效日）至2017年12月31日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7,460,792.98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9,233,230.56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299,550.95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8,680,467.36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253,212.25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7.4.7.13.3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2,485,368.23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539,702.06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179,900.68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8,475.06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1,492,595.90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1,492,595.90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264,694.53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bl>
    <w:p>
      <w:pPr>
        <w:pStyle w:val="19"/>
        <w:rPr>
          <w:rFonts w:hint="eastAsia"/>
        </w:rPr>
      </w:pPr>
      <w:r>
        <w:rPr>
          <w:rFonts w:hint="eastAsia"/>
        </w:rPr>
        <w:t>注：本财务报表的实际编制报告期间为2017年2月10日(基金合同生效日)至2017年12月31日。截至报告期末本基金合同生效未满1年，本报告期的财务报表及报表附注均无同期对比数据。</w:t>
      </w:r>
    </w:p>
    <w:p>
      <w:pPr>
        <w:pStyle w:val="13"/>
        <w:rPr>
          <w:rFonts w:hint="eastAsia"/>
        </w:rPr>
      </w:pPr>
      <w:bookmarkStart w:id="33" w:name="_Toc510107499"/>
      <w:r>
        <w:rPr>
          <w:rFonts w:hint="eastAsia"/>
          <w:b/>
          <w:bCs/>
        </w:rPr>
        <w:t>7.3 所有者权益（基金净值）变动表</w:t>
      </w:r>
      <w:bookmarkEnd w:id="33"/>
    </w:p>
    <w:p>
      <w:pPr>
        <w:pStyle w:val="16"/>
        <w:rPr>
          <w:rFonts w:hint="eastAsia"/>
        </w:rPr>
      </w:pPr>
      <w:r>
        <w:rPr>
          <w:rFonts w:hint="eastAsia"/>
        </w:rPr>
        <w:t>会计主体：创金合信尊隆纯债债券型证券投资基金</w:t>
      </w:r>
    </w:p>
    <w:p>
      <w:pPr>
        <w:pStyle w:val="16"/>
        <w:rPr>
          <w:rFonts w:hint="eastAsia"/>
        </w:rPr>
      </w:pPr>
      <w:r>
        <w:rPr>
          <w:rFonts w:hint="eastAsia"/>
        </w:rPr>
        <w:t>本报告期：2017年02月10日（基金合同生效日）至2017年12月31日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-15,426.73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-15,556.21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59,188.86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863.09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60,051.95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-74,615.59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-75,608.16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注：本财务报表的实际编制报告期间为2017年2月10日(基金合同生效日)至2017年12月31日。截至报告期末本基金合同生效未满1年，本报告期的财务报表及报表附注均无同期对比数据。</w:t>
      </w:r>
    </w:p>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510107500"/>
      <w:r>
        <w:rPr>
          <w:rFonts w:hint="eastAsia"/>
          <w:b/>
          <w:bCs/>
        </w:rPr>
        <w:t>7.4 报表附注</w:t>
      </w:r>
      <w:bookmarkEnd w:id="34"/>
    </w:p>
    <w:p>
      <w:pPr>
        <w:pStyle w:val="14"/>
        <w:rPr>
          <w:rFonts w:hint="eastAsia"/>
        </w:rPr>
      </w:pPr>
      <w:r>
        <w:rPr>
          <w:rFonts w:hint="eastAsia"/>
          <w:b/>
          <w:bCs/>
        </w:rPr>
        <w:t>7.4.1 基金基本情况</w:t>
      </w:r>
    </w:p>
    <w:p>
      <w:pPr>
        <w:pStyle w:val="19"/>
        <w:rPr>
          <w:rFonts w:hint="eastAsia"/>
        </w:rPr>
      </w:pPr>
      <w:r>
        <w:rPr>
          <w:rFonts w:hint="eastAsia"/>
        </w:rPr>
        <w:t>  创金合信尊隆纯债债券型证券投资基金(以下简称"本基金")经中国证券监督管理委员会(以下简称"中国证监会")证监许可[2016]1855号《关于准予创金合信尊隆纯债债券型证券投资基金注册的批复》核准，由创金合信基金管理有限公司依照《中华人民共和国证券投资基金法》和《创金合信尊隆纯债债券型证券投资基金基金合同》负责公开募集。本基金为契约型开放式，存续期限不定，首次设立募集不包括认购资金利息共募集人民币200,052,050.53元，业经普华永道中天会计师事务所(特殊普通合伙)普华永道中天验字(2017)第117号验资报告予以验证。经向中国证监会备案，《创金合信尊隆纯债债券型证券投资基金基金合同》于2017年2月10日正式生效，基金合同生效日的基金份额总额为200,068,051.53份基金份额，其中认购资金利息折合16,001.00份基金份额。本基金的基金管理人为创金合信基金管理有限公司，基金托管人为招商银行股份有限公司(以下简称"招商银行")。</w:t>
      </w:r>
      <w:r>
        <w:rPr>
          <w:rFonts w:hint="eastAsia"/>
        </w:rPr>
        <w:br w:type="textWrapping"/>
      </w:r>
      <w:r>
        <w:rPr>
          <w:rFonts w:hint="eastAsia"/>
        </w:rPr>
        <w:t>  根据《中华人民共和国证券投资基金法》和《创金合信尊隆纯债债券型证券投资基金基金合同》的有关规定，本基金主要投资于具有良好流动性的金融工具，包括国债、央行票据、政府支持机构债券、政府支持债券、地方政府债、金融债、企业债、公司债、证券公司短期公司债券、中小企业私募债、商业银行次级债、中期票据、短期融资券及超级短期融资券、可转换债券(含可分离交易可转债)、可交换债券、资产支持证券、债券回购、同业存单、银行存款(包括协议存款、定期存款及其他银行存款)、国债期货等，以及法律法规或中国证监会允许基金投资的其他金融工具(但须符合中国证监会相关规定)。本基金的业绩比较基准为：中债综合(全价)指数收益率。</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尊隆纯债债券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4"/>
        <w:rPr>
          <w:rFonts w:hint="eastAsia"/>
        </w:rPr>
      </w:pPr>
      <w:r>
        <w:rPr>
          <w:rFonts w:hint="eastAsia"/>
          <w:b/>
          <w:bCs/>
        </w:rPr>
        <w:t>7.4.4.1 会计年度</w:t>
      </w:r>
    </w:p>
    <w:p>
      <w:pPr>
        <w:pStyle w:val="19"/>
        <w:rPr>
          <w:rFonts w:hint="eastAsia"/>
        </w:rPr>
      </w:pPr>
      <w:r>
        <w:rPr>
          <w:rFonts w:hint="eastAsia"/>
        </w:rPr>
        <w:t>  本基金会计年度为公历1月1日起至12月31日止。本期财务报表的实际编制期间为2017年2月10日（基金合同生效日）至2017年12月31日。</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本基金目前以交易目的持有的债券投资分类为以公允价值计量且其变动计入当期损益的金融资产。以公允价值计量且其公允价值变动计入损益的金融资产在资产负债表中以交易性金融资产列示。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本基金持有的其他金融资产分类为应收款项，包括银行存款、买入返售金融资产和其他各类应收款项等。应收款项是指在活跃市场中没有报价、回收金额固定或可确定的非衍生金融资产。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rPr>
          <w:rFonts w:hint="eastAsia"/>
        </w:rPr>
      </w:pPr>
      <w:r>
        <w:rPr>
          <w:rFonts w:hint="eastAsia"/>
        </w:rPr>
        <w:t>  本基金持有的债券投资按如下原则确定公允价值并进行估值：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rPr>
          <w:rFonts w:hint="eastAsia"/>
        </w:rPr>
      </w:pPr>
      <w:r>
        <w:rPr>
          <w:rFonts w:hint="eastAsia"/>
        </w:rPr>
        <w:t>  本基金的管理人报酬和托管费在费用涵盖期间按基金合同约定的费率和计算方法逐日确认。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rPr>
          <w:rFonts w:hint="eastAsia"/>
        </w:rPr>
      </w:pPr>
      <w:r>
        <w:rPr>
          <w:rFonts w:hint="eastAsia"/>
        </w:rPr>
        <w:t>  本基金的收益分配政策为：（1）本基金收益分配方式分两种：现金分红与红利再投资，投资者可选择现金红利或将现金红利自动转为基金份额进行再投资；若投资者不选择，本基金默认的收益分配方式是现金分红；（2）基金收益分配后基金份额净值不能低于面值：即基金收益分配基准日的基金份额净值减去每单位基金份额收益分配金额后不能低于面值；（3）每一基金份额享有同等分配权；(4)在对基金份额持有人利益无实质不利影响的前提下，基金管理人可调整基金收益的分配原则和支付方式，不需召开基金份额持有人大会审议；(5)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分部报告</w:t>
      </w:r>
    </w:p>
    <w:p>
      <w:pPr>
        <w:pStyle w:val="19"/>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7.4.4.13 其他重要的会计政策和会计估计</w:t>
      </w:r>
    </w:p>
    <w:p>
      <w:pPr>
        <w:pStyle w:val="19"/>
        <w:rPr>
          <w:rFonts w:hint="eastAsia"/>
        </w:rPr>
      </w:pPr>
      <w:r>
        <w:rPr>
          <w:rFonts w:hint="eastAsia"/>
        </w:rPr>
        <w:t>  根据本基金的估值原则和中国证监会允许的基金行业估值实务操作，本基金确定以下类别债券投资的公允价值时采用的估值方法及其关键假设如下：</w:t>
      </w:r>
      <w:r>
        <w:rPr>
          <w:rFonts w:hint="eastAsia"/>
        </w:rPr>
        <w:br w:type="textWrapping"/>
      </w:r>
      <w:r>
        <w:rPr>
          <w:rFonts w:hint="eastAsia"/>
        </w:rPr>
        <w:t>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146,380,811.56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144,971,624.30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-1,409,187.26</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109,150,443.98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109,030,000.00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-120,443.98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255,531,255.54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255,531,255.54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7.4.7.3 衍生金融资产/负债</w:t>
      </w:r>
    </w:p>
    <w:p>
      <w:pPr>
        <w:pStyle w:val="19"/>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9"/>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931.26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6,292,712.72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6,294,375.48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7.4.7.9 实收基金</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本期2017年02月10日</w:t>
            </w:r>
            <w:r>
              <w:rPr>
                <w:rStyle w:val="29"/>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59,188.86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59,188.86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-74,615.59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-74,615.59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r>
    </w:tbl>
    <w:p>
      <w:pPr>
        <w:pStyle w:val="19"/>
        <w:rPr>
          <w:rFonts w:hint="eastAsia"/>
        </w:rPr>
      </w:pPr>
      <w:r>
        <w:rPr>
          <w:rFonts w:hint="eastAsia"/>
        </w:rPr>
        <w:t>注:1.申购含红利再投、转换入份(金)额，赎回含转换出份(金)额。</w:t>
      </w:r>
      <w:r>
        <w:rPr>
          <w:rFonts w:hint="eastAsia"/>
        </w:rPr>
        <w:br w:type="textWrapping"/>
      </w:r>
      <w:r>
        <w:rPr>
          <w:rFonts w:hint="eastAsia"/>
        </w:rPr>
        <w:t>2.本基金自2017年2月3日至2017年2月8日止期间公开发售，共募集有效净认购资金200,052,050.53元。根据《创金合信尊隆纯债债券型证券投资基金招募说明书》的规定，本基金设立募集期内认购资金产生的利息收入16,001.00元，在本基金成立后，折算为16,001.00的基金份额，划入基金份额持有人账户。</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6,505,055.99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4,975,424.75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863.09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353.02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-992.57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6,504,711.21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-1,529,415.94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4,975,295.27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61,680.32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211,250.00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26,516.49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299,550.95</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9"/>
        <w:rPr>
          <w:rFonts w:hint="eastAsia"/>
        </w:rPr>
      </w:pPr>
      <w:r>
        <w:rPr>
          <w:rFonts w:hint="eastAsia"/>
        </w:rPr>
        <w:t>本基金本报告期内无股票投资收益。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 债券投资收益</w:t>
      </w:r>
    </w:p>
    <w:p>
      <w:pPr>
        <w:pStyle w:val="14"/>
        <w:rPr>
          <w:rFonts w:hint="eastAsia"/>
        </w:rPr>
      </w:pPr>
      <w:r>
        <w:rPr>
          <w:rFonts w:hint="eastAsia"/>
          <w:b/>
          <w:bCs/>
        </w:rPr>
        <w:t>7.4.7.13.1 债券投资收益项目构成</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7.4.7.13.2 债券投资收益——买卖债券差价收入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351,572,245.22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344,783,838.62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7,031,281.25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-242,874.65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7.4.7.13.3 资产支持证券投资收益</w:t>
      </w:r>
    </w:p>
    <w:p>
      <w:pPr>
        <w:pStyle w:val="19"/>
        <w:rPr>
          <w:rFonts w:hint="eastAsia"/>
        </w:rPr>
      </w:pPr>
      <w:r>
        <w:rPr>
          <w:rFonts w:hint="eastAsia"/>
        </w:rPr>
        <w:t>本基金本报告期内无资产支持证券收益。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7.4.7.14 衍生工具收益</w:t>
      </w:r>
    </w:p>
    <w:p>
      <w:pPr>
        <w:pStyle w:val="14"/>
        <w:rPr>
          <w:rFonts w:hint="eastAsia"/>
        </w:rPr>
      </w:pPr>
      <w:r>
        <w:rPr>
          <w:rFonts w:hint="eastAsia"/>
          <w:b/>
          <w:bCs/>
        </w:rPr>
        <w:t>7.4.7.14.1 衍生工具收益——买卖权证差价收入</w:t>
      </w:r>
    </w:p>
    <w:p>
      <w:pPr>
        <w:pStyle w:val="19"/>
        <w:rPr>
          <w:rFonts w:hint="eastAsia"/>
        </w:rPr>
      </w:pPr>
      <w:r>
        <w:rPr>
          <w:rFonts w:hint="eastAsia"/>
        </w:rPr>
        <w:t>本基金本报告期内无衍生工具收益。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7.4.7.15 股利收益</w:t>
      </w:r>
    </w:p>
    <w:p>
      <w:pPr>
        <w:pStyle w:val="19"/>
        <w:rPr>
          <w:rFonts w:hint="eastAsia"/>
        </w:rPr>
      </w:pPr>
      <w:r>
        <w:rPr>
          <w:rFonts w:hint="eastAsia"/>
        </w:rPr>
        <w:t>本基金本报告期内无股利收益。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-1,529,631.24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2,125.06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8,475.06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8,594.53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264,694.53</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rPr>
          <w:rFonts w:hint="eastAsia"/>
        </w:rPr>
      </w:pPr>
      <w:r>
        <w:rPr>
          <w:rFonts w:hint="eastAsia"/>
        </w:rPr>
        <w:t>  本基金的基金管理人于2018年2月1日宣告2018年度第1次分红，向截至2018年2月5日止在本基金注册登记人创金合信基金管理有限公司登记在册的全体持有人，按每10份基金份额派发红利0.332元。</w:t>
      </w:r>
    </w:p>
    <w:p>
      <w:pPr>
        <w:widowControl/>
        <w:jc w:val="left"/>
        <w:rPr>
          <w:rFonts w:hint="eastAsia" w:ascii="宋体" w:hAnsi="宋体" w:cs="宋体"/>
          <w:kern w:val="0"/>
          <w:sz w:val="24"/>
          <w:szCs w:val="24"/>
        </w:rPr>
      </w:pPr>
    </w:p>
    <w:p>
      <w:pPr>
        <w:pStyle w:val="14"/>
        <w:rPr>
          <w:rFonts w:hint="eastAsia"/>
        </w:rPr>
      </w:pPr>
      <w:r>
        <w:rPr>
          <w:rFonts w:hint="eastAsia"/>
          <w:b/>
          <w:bCs/>
        </w:rPr>
        <w:t>7.4.9 关联方关系</w:t>
      </w:r>
    </w:p>
    <w:p>
      <w:pPr>
        <w:pStyle w:val="19"/>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本基金本报告期内无通过关联方交易单元进行的股票交易。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本基金本报告期内无通过关联方交易单元进行的权证交易。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本基金本报告期内无应支付关联方的佣金。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7.4.10.1.4 债券交易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2063"/>
        <w:gridCol w:w="3871"/>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2017年02月10日</w:t>
            </w:r>
            <w:r>
              <w:rPr>
                <w:rStyle w:val="29"/>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131,761,883.24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43.84%</w:t>
            </w:r>
          </w:p>
        </w:tc>
      </w:tr>
    </w:tbl>
    <w:p>
      <w:pPr>
        <w:widowControl/>
        <w:jc w:val="left"/>
        <w:rPr>
          <w:rFonts w:hint="eastAsia" w:ascii="宋体" w:hAnsi="宋体" w:cs="宋体"/>
          <w:kern w:val="0"/>
          <w:sz w:val="24"/>
          <w:szCs w:val="24"/>
        </w:rPr>
      </w:pPr>
    </w:p>
    <w:p>
      <w:pPr>
        <w:pStyle w:val="14"/>
        <w:rPr>
          <w:rFonts w:hint="eastAsia"/>
        </w:rPr>
      </w:pPr>
      <w:r>
        <w:rPr>
          <w:rFonts w:hint="eastAsia"/>
          <w:b/>
          <w:bCs/>
        </w:rPr>
        <w:t>7.4.10.1.5 债券回购交易</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2224"/>
        <w:gridCol w:w="371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r>
              <w:rPr>
                <w:rFonts w:hint="eastAsia"/>
              </w:rPr>
              <w:br w:type="textWrapping"/>
            </w:r>
            <w:r>
              <w:rPr>
                <w:rFonts w:hint="eastAsia"/>
              </w:rPr>
              <w:t>2017年02月10日</w:t>
            </w:r>
            <w:r>
              <w:rPr>
                <w:rStyle w:val="29"/>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2,753,200,000.00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65.01%</w:t>
            </w:r>
          </w:p>
        </w:tc>
      </w:tr>
    </w:tbl>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539,702.06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56.43</w:t>
            </w:r>
          </w:p>
        </w:tc>
      </w:tr>
    </w:tbl>
    <w:p>
      <w:pPr>
        <w:pStyle w:val="19"/>
        <w:rPr>
          <w:rFonts w:hint="eastAsia"/>
        </w:rPr>
      </w:pPr>
      <w:r>
        <w:rPr>
          <w:rFonts w:hint="eastAsia"/>
        </w:rPr>
        <w:t>注:本基金的管理费按前一日基金资产净值0.30%的年费率计提。管理费的计算方法如下：</w:t>
      </w:r>
      <w:r>
        <w:rPr>
          <w:rFonts w:hint="eastAsia"/>
        </w:rPr>
        <w:br w:type="textWrapping"/>
      </w:r>
      <w:r>
        <w:rPr>
          <w:rFonts w:hint="eastAsia"/>
        </w:rPr>
        <w:t>H＝E×0.30%÷当年天数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179,900.68</w:t>
            </w:r>
          </w:p>
        </w:tc>
      </w:tr>
    </w:tbl>
    <w:p>
      <w:pPr>
        <w:pStyle w:val="19"/>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9"/>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本报告期内无除基金管理人之外的其他关联方投资本基金的情况。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631"/>
        <w:gridCol w:w="3207"/>
        <w:gridCol w:w="3207"/>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2017年02月10日（基金合同生效日）至2017年12月31日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61,680.32</w:t>
            </w:r>
          </w:p>
        </w:tc>
      </w:tr>
    </w:tbl>
    <w:p>
      <w:pPr>
        <w:pStyle w:val="19"/>
        <w:rPr>
          <w:rFonts w:hint="eastAsia"/>
        </w:rPr>
      </w:pPr>
      <w:r>
        <w:rPr>
          <w:rFonts w:hint="eastAsia"/>
        </w:rPr>
        <w:t>注:本基金的银行存款由基金托管人招商银行保管，按银行同业存款利率计息。</w:t>
      </w: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本基金本报告期及上年度可比期间均未在承销期内参与关联方承销证券。</w:t>
      </w:r>
    </w:p>
    <w:p>
      <w:pPr>
        <w:pStyle w:val="14"/>
        <w:rPr>
          <w:rFonts w:hint="eastAsia"/>
        </w:rPr>
      </w:pPr>
      <w:r>
        <w:rPr>
          <w:rFonts w:hint="eastAsia"/>
          <w:b/>
          <w:bCs/>
        </w:rPr>
        <w:t>7.4.10.7 其他关联交易事项的说明</w:t>
      </w:r>
    </w:p>
    <w:p>
      <w:pPr>
        <w:pStyle w:val="19"/>
        <w:rPr>
          <w:rFonts w:hint="eastAsia"/>
        </w:rPr>
      </w:pPr>
      <w:r>
        <w:rPr>
          <w:rFonts w:hint="eastAsia"/>
        </w:rPr>
        <w:t>  本基金本报告期及上年度可比期间无需作说明的其他关联交易事项。</w:t>
      </w: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pStyle w:val="14"/>
        <w:rPr>
          <w:rFonts w:hint="eastAsia"/>
        </w:rPr>
      </w:pPr>
      <w:r>
        <w:rPr>
          <w:rFonts w:hint="eastAsia"/>
          <w:b/>
          <w:bCs/>
        </w:rPr>
        <w:t>7.4.12 期末（2017年12月31日）本基金持有的流通受限证券</w:t>
      </w:r>
    </w:p>
    <w:p>
      <w:pPr>
        <w:pStyle w:val="14"/>
        <w:rPr>
          <w:rFonts w:hint="eastAsia"/>
        </w:rPr>
      </w:pPr>
      <w:r>
        <w:rPr>
          <w:rFonts w:hint="eastAsia"/>
          <w:b/>
          <w:bCs/>
        </w:rPr>
        <w:t>7.4.12.1 因认购新发/增发证券而于期末持有的流通受限证券</w:t>
      </w:r>
    </w:p>
    <w:p>
      <w:pPr>
        <w:pStyle w:val="19"/>
        <w:rPr>
          <w:rFonts w:hint="eastAsia"/>
        </w:rPr>
      </w:pPr>
      <w:r>
        <w:rPr>
          <w:rFonts w:hint="eastAsia"/>
        </w:rPr>
        <w:t>本基金于本期末未持有因认购新发/增发证券而流通受限的证券。</w:t>
      </w: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本基金本报告期末未持有股票。</w:t>
      </w: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截至本报告期末2017年12月31日止，本基金从事银行间市场债券正回购交易形成的卖出回购证券款余额为0，无抵押债券。</w:t>
      </w:r>
    </w:p>
    <w:p>
      <w:pPr>
        <w:pStyle w:val="14"/>
        <w:rPr>
          <w:rFonts w:hint="eastAsia"/>
        </w:rPr>
      </w:pPr>
      <w:r>
        <w:rPr>
          <w:rFonts w:hint="eastAsia"/>
          <w:b/>
          <w:bCs/>
        </w:rPr>
        <w:t>7.4.12.3.2 交易所市场债券正回购</w:t>
      </w:r>
    </w:p>
    <w:p>
      <w:pPr>
        <w:pStyle w:val="19"/>
        <w:rPr>
          <w:rFonts w:hint="eastAsia"/>
        </w:rPr>
      </w:pPr>
      <w:r>
        <w:rPr>
          <w:rFonts w:hint="eastAsia"/>
        </w:rPr>
        <w:t>  截至本报告期末2017年12月31日止，基金从事证券交易所债券正回购交易形成的卖出回购证券款余额59,900,000.00元，于2018年1月2日到期。该类交易要求本基金在回购期内持有的证券交易所交易的债券和/或在新质押式回购下转入质押库的债券，按证券交易所规定的比例折算为标准券后，不低于债券回购交易的余额。</w:t>
      </w: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4"/>
        <w:rPr>
          <w:rFonts w:hint="eastAsia"/>
        </w:rPr>
      </w:pPr>
      <w:r>
        <w:rPr>
          <w:rFonts w:hint="eastAsia"/>
          <w:b/>
          <w:bCs/>
        </w:rPr>
        <w:t>7.4.13.2 信用风险</w:t>
      </w:r>
    </w:p>
    <w:p>
      <w:pPr>
        <w:pStyle w:val="19"/>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p>
    <w:p>
      <w:pPr>
        <w:pStyle w:val="14"/>
        <w:rPr>
          <w:rFonts w:hint="eastAsia"/>
        </w:rPr>
      </w:pPr>
      <w:r>
        <w:rPr>
          <w:rFonts w:hint="eastAsia"/>
          <w:b/>
          <w:bCs/>
        </w:rPr>
        <w:t>7.4.13.2.1 按短期信用评级列示的债券投资</w:t>
      </w:r>
    </w:p>
    <w:p>
      <w:pPr>
        <w:pStyle w:val="23"/>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19,940,000.00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78,763,000.00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98,703,000.00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7.4.13.2.2 按长期信用评级列示的债券投资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20,132,240.80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135,166,383.50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155,298,624.30</w:t>
            </w:r>
          </w:p>
        </w:tc>
      </w:tr>
    </w:tbl>
    <w:p>
      <w:pPr>
        <w:pStyle w:val="19"/>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59900000.00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4"/>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273234153.22元，超过经确认的当日净赎回金额。于2017年12月31日，本基金未持有流动性受限资产。</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等措施来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4"/>
        <w:rPr>
          <w:rFonts w:hint="eastAsia"/>
        </w:rPr>
      </w:pPr>
      <w:r>
        <w:rPr>
          <w:rFonts w:hint="eastAsia"/>
          <w:b/>
          <w:bCs/>
        </w:rPr>
        <w:t>7.4.13.4 市场风险</w:t>
      </w:r>
    </w:p>
    <w:p>
      <w:pPr>
        <w:pStyle w:val="19"/>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635"/>
        <w:gridCol w:w="1635"/>
        <w:gridCol w:w="1538"/>
        <w:gridCol w:w="1064"/>
        <w:gridCol w:w="1538"/>
        <w:gridCol w:w="1635"/>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3,039,816.20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1,881,442.48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1,881,442.48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13,264.54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13,264.54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156,929,583.50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97,072,040.80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6,294,375.48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6,294,375.48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161,864,106.72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97,072,040.80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16,194,375.48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275,130,523.00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9,911,918.80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9,911,918.80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52,205.12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52,205.12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17,401.71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12,648.78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-25,571.48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-25,571.48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10,202,602.93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70,102,602.93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101,964,106.72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97,072,040.80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5,991,772.55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205,027,920.07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9"/>
      </w:pPr>
      <w:r>
        <w:rPr>
          <w:rFonts w:hint="eastAsia"/>
        </w:rPr>
        <w:t>注：表中所示为本基金资产及负债的账面价值，并按照合约规定的利率重新定价日或到期日孰早者予以分类。</w:t>
      </w:r>
    </w:p>
    <w:p>
      <w:pPr>
        <w:pStyle w:val="14"/>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93"/>
        <w:gridCol w:w="2918"/>
        <w:gridCol w:w="5109"/>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794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-501,022.77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503,600.37</w:t>
            </w:r>
          </w:p>
        </w:tc>
      </w:tr>
    </w:tbl>
    <w:p>
      <w:pPr>
        <w:pStyle w:val="14"/>
        <w:rPr>
          <w:rFonts w:hint="eastAsia"/>
        </w:rPr>
      </w:pPr>
      <w:r>
        <w:rPr>
          <w:rFonts w:hint="eastAsia"/>
          <w:b/>
          <w:bCs/>
        </w:rPr>
        <w:t>7.4.13.4.2 外汇风险</w:t>
      </w:r>
    </w:p>
    <w:p>
      <w:pPr>
        <w:pStyle w:val="19"/>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4"/>
        <w:rPr>
          <w:rFonts w:hint="eastAsia"/>
        </w:rPr>
      </w:pPr>
      <w:r>
        <w:rPr>
          <w:rFonts w:hint="eastAsia"/>
          <w:b/>
          <w:bCs/>
        </w:rPr>
        <w:t>7.4.13.4.3 其他价格风险</w:t>
      </w:r>
    </w:p>
    <w:p>
      <w:pPr>
        <w:pStyle w:val="19"/>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债券，因此无重大其他价格风险。</w:t>
      </w:r>
    </w:p>
    <w:p>
      <w:pPr>
        <w:pStyle w:val="14"/>
        <w:rPr>
          <w:rFonts w:hint="eastAsia"/>
        </w:rPr>
      </w:pPr>
      <w:r>
        <w:rPr>
          <w:rFonts w:hint="eastAsia"/>
          <w:b/>
          <w:bCs/>
        </w:rPr>
        <w:t>7.4.13.4.3.1 其他价格风险的敏感性分析</w:t>
      </w:r>
    </w:p>
    <w:p>
      <w:pPr>
        <w:pStyle w:val="19"/>
        <w:rPr>
          <w:rFonts w:hint="eastAsia"/>
        </w:rPr>
      </w:pPr>
      <w:r>
        <w:rPr>
          <w:rFonts w:hint="eastAsia"/>
        </w:rPr>
        <w:t>无</w:t>
      </w:r>
    </w:p>
    <w:p>
      <w:pPr>
        <w:pStyle w:val="14"/>
        <w:rPr>
          <w:rFonts w:hint="eastAsia"/>
        </w:rPr>
      </w:pPr>
      <w:r>
        <w:rPr>
          <w:rFonts w:hint="eastAsia"/>
          <w:b/>
          <w:bCs/>
        </w:rPr>
        <w:t>7.4.14 有助于理解和分析会计报表需要说明的其他事项</w:t>
      </w:r>
    </w:p>
    <w:p>
      <w:pPr>
        <w:pStyle w:val="19"/>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于2017年12月31日，本基金持有的以公允价值计量且其变动计入当期损益的金融资产中属于第二层次的余额为254,001,624.30元，无属于第一层次和第三层次的余额。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2"/>
        <w:rPr>
          <w:rFonts w:hint="eastAsia"/>
        </w:rPr>
      </w:pPr>
      <w:bookmarkStart w:id="35" w:name="_Toc510107501"/>
      <w:r>
        <w:rPr>
          <w:rFonts w:hint="eastAsia" w:hAnsi="Calibri"/>
          <w:b/>
          <w:color w:val="000000"/>
        </w:rPr>
        <w:t>§8 投资组合报告</w:t>
      </w:r>
      <w:bookmarkEnd w:id="35"/>
    </w:p>
    <w:p>
      <w:pPr>
        <w:pStyle w:val="13"/>
        <w:rPr>
          <w:rFonts w:hint="eastAsia"/>
        </w:rPr>
      </w:pPr>
      <w:bookmarkStart w:id="36" w:name="_Toc510107502"/>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4,921,258.68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16,207,640.02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275,130,523.00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3"/>
        <w:rPr>
          <w:rFonts w:hint="eastAsia"/>
        </w:rPr>
      </w:pPr>
      <w:bookmarkStart w:id="37" w:name="_Toc510107503"/>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p>
      <w:pPr>
        <w:pStyle w:val="19"/>
        <w:rPr>
          <w:rFonts w:hint="eastAsia"/>
        </w:rPr>
      </w:pPr>
      <w:r>
        <w:rPr>
          <w:rFonts w:hint="eastAsia"/>
        </w:rPr>
        <w:t>本基金本报告期末未持有股票。</w:t>
      </w: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rPr>
            </w:pPr>
          </w:p>
        </w:tc>
      </w:tr>
    </w:tbl>
    <w:p>
      <w:pPr>
        <w:pStyle w:val="13"/>
      </w:pPr>
      <w:bookmarkStart w:id="38" w:name="_Toc510107504"/>
      <w:r>
        <w:rPr>
          <w:rFonts w:hint="eastAsia"/>
          <w:b/>
          <w:bCs/>
        </w:rPr>
        <w:t>8.3 期末按公允价值占基金资产净值比例大小排序的所有股票投资明细</w:t>
      </w:r>
      <w:bookmarkEnd w:id="38"/>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pStyle w:val="13"/>
        <w:rPr>
          <w:rFonts w:hint="eastAsia"/>
        </w:rPr>
      </w:pPr>
      <w:bookmarkStart w:id="39" w:name="_Toc510107505"/>
      <w:r>
        <w:rPr>
          <w:rFonts w:hint="eastAsia"/>
          <w:b/>
          <w:bCs/>
        </w:rPr>
        <w:t>8.4 报告期内股票投资组合的重大变动</w:t>
      </w:r>
      <w:bookmarkEnd w:id="39"/>
    </w:p>
    <w:p>
      <w:pPr>
        <w:pStyle w:val="14"/>
        <w:rPr>
          <w:rFonts w:hint="eastAsia"/>
        </w:rPr>
      </w:pPr>
      <w:r>
        <w:rPr>
          <w:rFonts w:hint="eastAsia"/>
          <w:b/>
          <w:bCs/>
        </w:rPr>
        <w:t>8.4.1 累计买入金额超出期末基金资产净值2%或前20名的股票明细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8.4.2 累计卖出金额超出期末基金资产净值2%或前20名的股票明细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本基金本报告期内未持有股票。</w:t>
      </w:r>
    </w:p>
    <w:p>
      <w:pPr>
        <w:pStyle w:val="14"/>
        <w:rPr>
          <w:rFonts w:hint="eastAsia"/>
        </w:rPr>
      </w:pPr>
      <w:r>
        <w:rPr>
          <w:rFonts w:hint="eastAsia"/>
          <w:b/>
          <w:bCs/>
        </w:rPr>
        <w:t>8.4.3 买入股票的成本总额及卖出股票的收入总额</w:t>
      </w:r>
    </w:p>
    <w:p>
      <w:pPr>
        <w:pStyle w:val="19"/>
        <w:rPr>
          <w:rFonts w:hint="eastAsia"/>
        </w:rPr>
      </w:pPr>
      <w:r>
        <w:rPr>
          <w:rFonts w:hint="eastAsia"/>
        </w:rPr>
        <w:t>本基金本报告期内未持有股票。</w:t>
      </w:r>
    </w:p>
    <w:p>
      <w:pPr>
        <w:pStyle w:val="13"/>
        <w:rPr>
          <w:rFonts w:hint="eastAsia"/>
        </w:rPr>
      </w:pPr>
      <w:bookmarkStart w:id="40" w:name="_Toc510107506"/>
      <w:r>
        <w:rPr>
          <w:rFonts w:hint="eastAsia"/>
          <w:b/>
          <w:bCs/>
        </w:rPr>
        <w:t>8.5 期末按债券品种分类的债券投资组合</w:t>
      </w:r>
      <w:bookmarkEnd w:id="40"/>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9,993,000.00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144,481,383.50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70.47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60,124,000.00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10,327,000.00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490,240.80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28,586,000.00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254,001,624.30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123.89</w:t>
            </w:r>
          </w:p>
        </w:tc>
      </w:tr>
    </w:tbl>
    <w:p>
      <w:pPr>
        <w:pStyle w:val="13"/>
        <w:rPr>
          <w:rFonts w:hint="eastAsia"/>
        </w:rPr>
      </w:pPr>
      <w:bookmarkStart w:id="41" w:name="_Toc510107507"/>
      <w:r>
        <w:rPr>
          <w:rFonts w:hint="eastAsia"/>
          <w:b/>
          <w:bCs/>
        </w:rPr>
        <w:t>8.6 期末按公允价值占基金资产净值比例大小排序的前五名债券投资明细</w:t>
      </w:r>
      <w:bookmarkEnd w:id="41"/>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041760005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17北大荒CP001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111794867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17包商银行CD048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19,072,000.00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15荣安债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14,917,500.00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11国脉债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13,535,100.00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122075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11柳钢债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11,866,800.00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5.79</w:t>
            </w:r>
          </w:p>
        </w:tc>
      </w:tr>
    </w:tbl>
    <w:p>
      <w:pPr>
        <w:pStyle w:val="13"/>
        <w:rPr>
          <w:rFonts w:hint="eastAsia"/>
        </w:rPr>
      </w:pPr>
      <w:bookmarkStart w:id="42" w:name="_Toc510107508"/>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本基金本报告期末未持有资产支持证券。</w:t>
      </w:r>
    </w:p>
    <w:p>
      <w:pPr>
        <w:pStyle w:val="13"/>
        <w:rPr>
          <w:rFonts w:hint="eastAsia"/>
        </w:rPr>
      </w:pPr>
      <w:bookmarkStart w:id="43" w:name="_Toc51010750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pStyle w:val="13"/>
        <w:rPr>
          <w:rFonts w:hint="eastAsia"/>
        </w:rPr>
      </w:pPr>
      <w:bookmarkStart w:id="44" w:name="_Toc51010751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pStyle w:val="13"/>
        <w:rPr>
          <w:rFonts w:hint="eastAsia"/>
        </w:rPr>
      </w:pPr>
      <w:bookmarkStart w:id="45" w:name="_Toc51010751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6" w:name="_Toc510107512"/>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19"/>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3"/>
        <w:rPr>
          <w:rFonts w:hint="eastAsia"/>
        </w:rPr>
      </w:pPr>
      <w:bookmarkStart w:id="47" w:name="_Toc510107513"/>
      <w:r>
        <w:rPr>
          <w:rFonts w:hint="eastAsia"/>
          <w:b/>
          <w:bCs/>
        </w:rPr>
        <w:t>8.12 投资组合报告附注</w:t>
      </w:r>
      <w:bookmarkEnd w:id="47"/>
    </w:p>
    <w:p>
      <w:pPr>
        <w:pStyle w:val="14"/>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本报告期内未投资股票。</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13,264.54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9,900,000.00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6,294,375.48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16,207,640.02</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r>
        <w:rPr>
          <w:rFonts w:hint="eastAsia"/>
          <w:b/>
          <w:bCs/>
        </w:rPr>
        <w:t>8.12.5 期末前十名股票中存在流通受限情况的说明</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本基金本报告期末未持有股票。</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2"/>
        <w:rPr>
          <w:rFonts w:hint="eastAsia"/>
        </w:rPr>
      </w:pPr>
      <w:bookmarkStart w:id="48" w:name="_Toc510107514"/>
      <w:r>
        <w:rPr>
          <w:rFonts w:hint="eastAsia" w:hAnsi="Calibri"/>
          <w:b/>
          <w:color w:val="000000"/>
        </w:rPr>
        <w:t>§9  基金份额持有人信息</w:t>
      </w:r>
      <w:bookmarkEnd w:id="48"/>
    </w:p>
    <w:p>
      <w:pPr>
        <w:pStyle w:val="13"/>
        <w:rPr>
          <w:rFonts w:hint="eastAsia"/>
        </w:rPr>
      </w:pPr>
      <w:bookmarkStart w:id="49" w:name="_Toc510107515"/>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1441"/>
        <w:gridCol w:w="1800"/>
        <w:gridCol w:w="1911"/>
        <w:gridCol w:w="1291"/>
        <w:gridCol w:w="1311"/>
        <w:gridCol w:w="1291"/>
      </w:tblGrid>
      <w:tr>
        <w:tblPrEx>
          <w:tblCellMar>
            <w:top w:w="0" w:type="dxa"/>
            <w:left w:w="108" w:type="dxa"/>
            <w:bottom w:w="0" w:type="dxa"/>
            <w:right w:w="108" w:type="dxa"/>
          </w:tblCellMar>
        </w:tblPrEx>
        <w:trPr>
          <w:wBefore w:w="0" w:type="auto"/>
          <w:jc w:val="center"/>
        </w:trPr>
        <w:tc>
          <w:tcPr>
            <w:tcW w:w="144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9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844,103.90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37,624.80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3"/>
        <w:rPr>
          <w:rFonts w:hint="eastAsia"/>
        </w:rPr>
      </w:pPr>
      <w:bookmarkStart w:id="50" w:name="_Toc510107516"/>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13,591.92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0.0100%</w:t>
            </w:r>
          </w:p>
        </w:tc>
      </w:tr>
    </w:tbl>
    <w:p>
      <w:pPr>
        <w:widowControl/>
        <w:jc w:val="left"/>
        <w:rPr>
          <w:rFonts w:hint="eastAsia" w:ascii="宋体" w:hAnsi="宋体" w:cs="宋体"/>
          <w:kern w:val="0"/>
          <w:sz w:val="24"/>
          <w:szCs w:val="24"/>
        </w:rPr>
      </w:pPr>
    </w:p>
    <w:p>
      <w:pPr>
        <w:pStyle w:val="13"/>
        <w:rPr>
          <w:rFonts w:hint="eastAsia"/>
        </w:rPr>
      </w:pPr>
      <w:bookmarkStart w:id="51" w:name="_Toc510107517"/>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jc w:val="center"/>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bl>
    <w:p>
      <w:pPr>
        <w:pStyle w:val="12"/>
        <w:rPr>
          <w:rFonts w:hint="eastAsia"/>
        </w:rPr>
      </w:pPr>
      <w:bookmarkStart w:id="52" w:name="_Toc510107518"/>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基金合同生效日(2017年02月10日)基金份额总额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200,068,051.53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59,188.86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74,615.59</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200,052,624.80</w:t>
            </w:r>
          </w:p>
        </w:tc>
      </w:tr>
    </w:tbl>
    <w:p>
      <w:pPr>
        <w:pStyle w:val="12"/>
        <w:rPr>
          <w:rFonts w:hint="eastAsia"/>
        </w:rPr>
      </w:pPr>
      <w:bookmarkStart w:id="53" w:name="_Toc510107519"/>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510107520"/>
      <w:r>
        <w:rPr>
          <w:rFonts w:hint="eastAsia"/>
          <w:b/>
          <w:bCs/>
        </w:rPr>
        <w:t>11.1 基金份额持有人大会决议</w:t>
      </w:r>
      <w:bookmarkEnd w:id="54"/>
    </w:p>
    <w:p>
      <w:pPr>
        <w:pStyle w:val="19"/>
        <w:rPr>
          <w:rFonts w:hint="eastAsia"/>
        </w:rPr>
      </w:pPr>
      <w:r>
        <w:rPr>
          <w:rFonts w:hint="eastAsia"/>
        </w:rPr>
        <w:t>  本报告期内未召开基金份额持有人大会。</w:t>
      </w:r>
    </w:p>
    <w:p>
      <w:pPr>
        <w:pStyle w:val="13"/>
        <w:rPr>
          <w:rFonts w:hint="eastAsia"/>
        </w:rPr>
      </w:pPr>
      <w:bookmarkStart w:id="55" w:name="_Toc510107521"/>
      <w:r>
        <w:rPr>
          <w:rFonts w:hint="eastAsia"/>
          <w:b/>
          <w:bCs/>
        </w:rPr>
        <w:t>11.2 基金管理人、基金托管人的专门基金托管部门的重大人事变动</w:t>
      </w:r>
      <w:bookmarkEnd w:id="55"/>
    </w:p>
    <w:p>
      <w:pPr>
        <w:pStyle w:val="19"/>
        <w:rPr>
          <w:rFonts w:hint="eastAsia"/>
        </w:rPr>
      </w:pPr>
      <w:r>
        <w:rPr>
          <w:rFonts w:hint="eastAsia"/>
        </w:rPr>
        <w:t>  本报告期内基金管理人、基金托管人的专门基金托管部门无重大人事变动。</w:t>
      </w:r>
    </w:p>
    <w:p>
      <w:pPr>
        <w:pStyle w:val="13"/>
        <w:rPr>
          <w:rFonts w:hint="eastAsia"/>
        </w:rPr>
      </w:pPr>
      <w:bookmarkStart w:id="56" w:name="_Toc510107522"/>
      <w:r>
        <w:rPr>
          <w:rFonts w:hint="eastAsia"/>
          <w:b/>
          <w:bCs/>
        </w:rPr>
        <w:t>11.3 涉及基金管理人、基金财产、基金托管业务的诉讼</w:t>
      </w:r>
      <w:bookmarkEnd w:id="56"/>
    </w:p>
    <w:p>
      <w:pPr>
        <w:pStyle w:val="19"/>
        <w:rPr>
          <w:rFonts w:hint="eastAsia"/>
        </w:rPr>
      </w:pPr>
      <w:r>
        <w:rPr>
          <w:rFonts w:hint="eastAsia"/>
        </w:rPr>
        <w:t>  本报告期内，未出现涉及基金管理人、基金财产、基金托管业务的诉讼。</w:t>
      </w:r>
    </w:p>
    <w:p>
      <w:pPr>
        <w:pStyle w:val="13"/>
        <w:rPr>
          <w:rFonts w:hint="eastAsia"/>
        </w:rPr>
      </w:pPr>
      <w:bookmarkStart w:id="57" w:name="_Toc510107523"/>
      <w:r>
        <w:rPr>
          <w:rFonts w:hint="eastAsia"/>
          <w:b/>
          <w:bCs/>
        </w:rPr>
        <w:t>11.4 基金投资策略的改变</w:t>
      </w:r>
      <w:bookmarkEnd w:id="57"/>
    </w:p>
    <w:p>
      <w:pPr>
        <w:pStyle w:val="19"/>
        <w:rPr>
          <w:rFonts w:hint="eastAsia"/>
        </w:rPr>
      </w:pPr>
      <w:r>
        <w:rPr>
          <w:rFonts w:hint="eastAsia"/>
        </w:rPr>
        <w:t>  本报告期内本基金的投资策略未有重大变化。</w:t>
      </w:r>
    </w:p>
    <w:p>
      <w:pPr>
        <w:pStyle w:val="13"/>
        <w:rPr>
          <w:rFonts w:hint="eastAsia"/>
        </w:rPr>
      </w:pPr>
      <w:bookmarkStart w:id="58" w:name="_Toc510107524"/>
      <w:r>
        <w:rPr>
          <w:rFonts w:hint="eastAsia"/>
          <w:b/>
          <w:bCs/>
        </w:rPr>
        <w:t>11.5 为基金进行审计的会计师事务所情况</w:t>
      </w:r>
      <w:bookmarkEnd w:id="58"/>
    </w:p>
    <w:p>
      <w:pPr>
        <w:pStyle w:val="19"/>
        <w:rPr>
          <w:rFonts w:hint="eastAsia"/>
        </w:rPr>
      </w:pPr>
      <w:r>
        <w:rPr>
          <w:rFonts w:hint="eastAsia"/>
        </w:rPr>
        <w:t>  本报告期内本基金未更换会计师事务所,本年度支付给普华永道中天会计师事务所(特殊普通合伙)审计费用65,000.00元,该审计机构连续提供审计服务的年限为1年。 </w:t>
      </w:r>
    </w:p>
    <w:p>
      <w:pPr>
        <w:pStyle w:val="13"/>
        <w:rPr>
          <w:rFonts w:hint="eastAsia"/>
        </w:rPr>
      </w:pPr>
      <w:bookmarkStart w:id="59" w:name="_Toc510107525"/>
      <w:r>
        <w:rPr>
          <w:rFonts w:hint="eastAsia"/>
          <w:b/>
          <w:bCs/>
        </w:rPr>
        <w:t>11.6 管理人、托管人及其高级管理人员受稽查或处罚等情况</w:t>
      </w:r>
      <w:bookmarkEnd w:id="59"/>
    </w:p>
    <w:p>
      <w:pPr>
        <w:pStyle w:val="19"/>
        <w:rPr>
          <w:rFonts w:hint="eastAsia"/>
        </w:rPr>
      </w:pPr>
      <w:r>
        <w:rPr>
          <w:rFonts w:hint="eastAsia"/>
        </w:rPr>
        <w:t>  本报告期内，未出现管理人、托管人及其高级管理人员受监管部门稽查或处罚的情况。</w:t>
      </w:r>
    </w:p>
    <w:p>
      <w:pPr>
        <w:pStyle w:val="13"/>
        <w:rPr>
          <w:rFonts w:hint="eastAsia"/>
        </w:rPr>
      </w:pPr>
      <w:bookmarkStart w:id="60" w:name="_Toc510107526"/>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1080"/>
        <w:gridCol w:w="1586"/>
        <w:gridCol w:w="1050"/>
        <w:gridCol w:w="1285"/>
        <w:gridCol w:w="1426"/>
        <w:gridCol w:w="947"/>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671"/>
        <w:gridCol w:w="878"/>
        <w:gridCol w:w="1050"/>
        <w:gridCol w:w="946"/>
        <w:gridCol w:w="1050"/>
        <w:gridCol w:w="675"/>
        <w:gridCol w:w="1050"/>
        <w:gridCol w:w="675"/>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168,777,695.98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1,481,781,000.00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131,761,883.24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2,753,200,000.00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1" w:name="_Toc510107527"/>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创金合信基金管理有限公司关于创金合信尊隆纯债债券型证券投资基金提前结束募集的公告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2017-02-11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创金合信尊隆纯债债券型证券投资基金开放日常申购、赎回业务公告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2017-09-22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创金合信尊隆纯债债券型证券投资基金2017年第3季度报告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公司官网、证券时报、上海证券报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2"/>
        <w:rPr>
          <w:rFonts w:hint="eastAsia"/>
        </w:rPr>
      </w:pPr>
      <w:bookmarkStart w:id="62" w:name="_Toc510107528"/>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3" w:name="_Toc510107529"/>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472"/>
        <w:gridCol w:w="549"/>
        <w:gridCol w:w="1275"/>
        <w:gridCol w:w="1808"/>
        <w:gridCol w:w="1694"/>
        <w:gridCol w:w="1694"/>
        <w:gridCol w:w="1866"/>
        <w:gridCol w:w="842"/>
      </w:tblGrid>
      <w:tr>
        <w:tblPrEx>
          <w:tblCellMar>
            <w:top w:w="0" w:type="dxa"/>
            <w:left w:w="108" w:type="dxa"/>
            <w:bottom w:w="0" w:type="dxa"/>
            <w:right w:w="108" w:type="dxa"/>
          </w:tblCellMar>
        </w:tblPrEx>
        <w:trPr>
          <w:wBefore w:w="0" w:type="auto"/>
        </w:trPr>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b/>
                <w:color w:val="000000"/>
              </w:rPr>
              <w:t>投资者类别</w:t>
            </w:r>
          </w:p>
        </w:tc>
        <w:tc>
          <w:tcPr>
            <w:tcW w:w="350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报告期内持有基金份额变化情况</w:t>
            </w:r>
          </w:p>
        </w:tc>
        <w:tc>
          <w:tcPr>
            <w:tcW w:w="13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1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持有基金份额比例达到或者超过20%的时间区间</w:t>
            </w:r>
          </w:p>
        </w:tc>
        <w:tc>
          <w:tcPr>
            <w:tcW w:w="32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期初份额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申购份额</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赎回份额</w:t>
            </w:r>
          </w:p>
        </w:tc>
        <w:tc>
          <w:tcPr>
            <w:tcW w:w="24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110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20170210-20171231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99.98%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  本基金在报告期内，存在报告期间单一投资者持有基金份额达到或超过20%的情形，可能会存在以下风险：</w:t>
            </w:r>
            <w:r>
              <w:rPr>
                <w:rFonts w:hint="eastAsia"/>
              </w:rPr>
              <w:br w:type="textWrapping"/>
            </w:r>
            <w:r>
              <w:rPr>
                <w:rFonts w:hint="eastAsia"/>
              </w:rPr>
              <w:t>  1、大额申购风险</w:t>
            </w:r>
            <w:r>
              <w:rPr>
                <w:rFonts w:hint="eastAsia"/>
              </w:rPr>
              <w:br w:type="textWrapping"/>
            </w:r>
            <w:r>
              <w:rPr>
                <w:rFonts w:hint="eastAsia"/>
              </w:rPr>
              <w:t>  在发生投资者大额申购时，若本基金所投资的标的资产未及时准备，则可能降低基金净值涨幅。</w:t>
            </w:r>
            <w:r>
              <w:rPr>
                <w:rFonts w:hint="eastAsia"/>
              </w:rPr>
              <w:br w:type="textWrapping"/>
            </w:r>
            <w:r>
              <w:rPr>
                <w:rFonts w:hint="eastAsia"/>
              </w:rPr>
              <w:t>  2、大额赎回风险</w:t>
            </w:r>
            <w:r>
              <w:rPr>
                <w:rFonts w:hint="eastAsia"/>
              </w:rPr>
              <w:br w:type="textWrapping"/>
            </w:r>
            <w:r>
              <w:rPr>
                <w:rFonts w:hint="eastAsia"/>
              </w:rPr>
              <w:t>  （1）若本基金在短时间内难以变现足够的资产予以应对，可能导致流动性风险；</w:t>
            </w:r>
            <w:r>
              <w:rPr>
                <w:rFonts w:hint="eastAsia"/>
              </w:rPr>
              <w:br w:type="textWrapping"/>
            </w:r>
            <w:r>
              <w:rPr>
                <w:rFonts w:hint="eastAsia"/>
              </w:rPr>
              <w:t>  （2）若持有基金份额比例达到或超过基金份额总额20%的单一投资者大额赎回引发巨额赎回，将可能对基金管理人的管理造成影响；</w:t>
            </w:r>
            <w:r>
              <w:rPr>
                <w:rFonts w:hint="eastAsia"/>
              </w:rPr>
              <w:br w:type="textWrapping"/>
            </w:r>
            <w:r>
              <w:rPr>
                <w:rFonts w:hint="eastAsia"/>
              </w:rPr>
              <w:t>  （3）基金管理人被迫大量卖出基金投资标的以赎回现金，可能使基金资产净值受到不利影响，影响基金的投资运作；</w:t>
            </w:r>
            <w:r>
              <w:rPr>
                <w:rFonts w:hint="eastAsia"/>
              </w:rPr>
              <w:br w:type="textWrapping"/>
            </w:r>
            <w:r>
              <w:rPr>
                <w:rFonts w:hint="eastAsia"/>
              </w:rPr>
              <w:t>  （4）因基金净值精度计算问题，可能因赎回费归入基金资产，导致基金净值有较大波动；</w:t>
            </w:r>
            <w:r>
              <w:rPr>
                <w:rFonts w:hint="eastAsia"/>
              </w:rPr>
              <w:br w:type="textWrapping"/>
            </w:r>
            <w:r>
              <w:rPr>
                <w:rFonts w:hint="eastAsia"/>
              </w:rPr>
              <w:t>  （5）大额赎回导致基金资产规模过小，不能满足存续条件，可能导致基金合同终止、清算等风险。</w:t>
            </w:r>
            <w:r>
              <w:rPr>
                <w:rFonts w:hint="eastAsia"/>
              </w:rPr>
              <w:br w:type="textWrapping"/>
            </w:r>
            <w:r>
              <w:rPr>
                <w:rFonts w:hint="eastAsia"/>
              </w:rPr>
              <w:t>  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4" w:name="_Toc510107530"/>
      <w:r>
        <w:rPr>
          <w:rFonts w:hint="eastAsia"/>
          <w:b/>
          <w:bCs/>
        </w:rPr>
        <w:t>12.2 影响投资者决策的其他重要信息</w:t>
      </w:r>
      <w:bookmarkEnd w:id="64"/>
    </w:p>
    <w:p>
      <w:pPr>
        <w:pStyle w:val="16"/>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2"/>
        <w:rPr>
          <w:rFonts w:hint="eastAsia"/>
        </w:rPr>
      </w:pPr>
      <w:bookmarkStart w:id="65" w:name="_Toc510107531"/>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510107532"/>
      <w:r>
        <w:rPr>
          <w:rFonts w:hint="eastAsia"/>
          <w:b/>
          <w:bCs/>
        </w:rPr>
        <w:t>13.1 备查文件目录</w:t>
      </w:r>
      <w:r>
        <w:rPr>
          <w:rFonts w:hint="eastAsia"/>
        </w:rPr>
        <w:t>.</w:t>
      </w:r>
      <w:bookmarkEnd w:id="66"/>
    </w:p>
    <w:p>
      <w:pPr>
        <w:pStyle w:val="19"/>
        <w:rPr>
          <w:rFonts w:hint="eastAsia"/>
        </w:rPr>
      </w:pPr>
      <w:r>
        <w:rPr>
          <w:rFonts w:hint="eastAsia"/>
        </w:rPr>
        <w:t>  1、《创金合信尊隆纯债债券型证券投资基金基金合同》；</w:t>
      </w:r>
      <w:r>
        <w:rPr>
          <w:rFonts w:hint="eastAsia"/>
        </w:rPr>
        <w:br w:type="textWrapping"/>
      </w:r>
      <w:r>
        <w:rPr>
          <w:rFonts w:hint="eastAsia"/>
        </w:rPr>
        <w:t>  2、《创金合信尊隆纯债债券型证券投资基金托管协议》；</w:t>
      </w:r>
      <w:r>
        <w:rPr>
          <w:rFonts w:hint="eastAsia"/>
        </w:rPr>
        <w:br w:type="textWrapping"/>
      </w:r>
      <w:r>
        <w:rPr>
          <w:rFonts w:hint="eastAsia"/>
        </w:rPr>
        <w:t>  3、创金合信尊隆纯债债券型证券投资基金2017年年度报告</w:t>
      </w:r>
    </w:p>
    <w:p>
      <w:pPr>
        <w:pStyle w:val="13"/>
        <w:rPr>
          <w:rFonts w:hint="eastAsia"/>
        </w:rPr>
      </w:pPr>
      <w:bookmarkStart w:id="67" w:name="_Toc510107533"/>
      <w:r>
        <w:rPr>
          <w:rFonts w:hint="eastAsia"/>
          <w:b/>
          <w:bCs/>
        </w:rPr>
        <w:t>13.2 存放地点</w:t>
      </w:r>
      <w:bookmarkEnd w:id="67"/>
    </w:p>
    <w:p>
      <w:pPr>
        <w:pStyle w:val="19"/>
        <w:rPr>
          <w:rFonts w:hint="eastAsia"/>
        </w:rPr>
      </w:pPr>
      <w:r>
        <w:rPr>
          <w:rFonts w:hint="eastAsia"/>
        </w:rPr>
        <w:t>  深圳市福田中心区福华一路115号投行大厦15楼</w:t>
      </w:r>
    </w:p>
    <w:p>
      <w:pPr>
        <w:pStyle w:val="13"/>
        <w:rPr>
          <w:rFonts w:hint="eastAsia"/>
        </w:rPr>
      </w:pPr>
      <w:bookmarkStart w:id="68" w:name="_Toc510107534"/>
      <w:r>
        <w:rPr>
          <w:rFonts w:hint="eastAsia"/>
          <w:b/>
          <w:bCs/>
        </w:rPr>
        <w:t>13.3 查阅方式</w:t>
      </w:r>
      <w:bookmarkEnd w:id="68"/>
    </w:p>
    <w:p>
      <w:pPr>
        <w:pStyle w:val="19"/>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二〇一八年三月三十一日</w:t>
      </w:r>
    </w:p>
    <w:p>
      <w:pPr>
        <w:pStyle w:val="25"/>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4</w:t>
    </w:r>
    <w:r>
      <w:rPr>
        <w:rStyle w:val="9"/>
      </w:rPr>
      <w:fldChar w:fldCharType="end"/>
    </w:r>
  </w:p>
  <w:p>
    <w:pPr>
      <w:pStyle w:val="2"/>
      <w:jc w:val="center"/>
    </w:pPr>
    <w:r>
      <w:rPr>
        <w:rFonts w:hint="eastAsia"/>
      </w:rPr>
      <w:t xml:space="preserve">                   第       页，共52页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创金合信尊隆纯债债券型证券投资基金2017年年度报告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6299"/>
    <w:rsid w:val="00126299"/>
    <w:rsid w:val="00743E3F"/>
    <w:rsid w:val="00AF6B27"/>
    <w:rsid w:val="00F811B0"/>
    <w:rsid w:val="235229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7"/>
    <w:unhideWhenUsed/>
    <w:uiPriority w:val="99"/>
    <w:pPr>
      <w:tabs>
        <w:tab w:val="center" w:pos="4153"/>
        <w:tab w:val="right" w:pos="8306"/>
      </w:tabs>
      <w:snapToGrid w:val="0"/>
      <w:jc w:val="left"/>
    </w:pPr>
    <w:rPr>
      <w:sz w:val="18"/>
      <w:szCs w:val="18"/>
    </w:rPr>
  </w:style>
  <w:style w:type="paragraph" w:styleId="3">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4">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6">
    <w:name w:val="页眉 Char"/>
    <w:link w:val="3"/>
    <w:locked/>
    <w:uiPriority w:val="99"/>
    <w:rPr>
      <w:rFonts w:hint="default" w:ascii="Times New Roman" w:hAnsi="Times New Roman" w:cs="Times New Roman"/>
      <w:sz w:val="18"/>
      <w:szCs w:val="18"/>
    </w:rPr>
  </w:style>
  <w:style w:type="character" w:customStyle="1" w:styleId="27">
    <w:name w:val="页脚 Char"/>
    <w:link w:val="2"/>
    <w:locked/>
    <w:uiPriority w:val="99"/>
    <w:rPr>
      <w:rFonts w:hint="default" w:ascii="Times New Roman" w:hAnsi="Times New Roman" w:cs="Times New Roman"/>
      <w:sz w:val="18"/>
      <w:szCs w:val="18"/>
    </w:rPr>
  </w:style>
  <w:style w:type="character" w:customStyle="1" w:styleId="28">
    <w:name w:val="biaoge_left1"/>
    <w:basedOn w:val="8"/>
    <w:uiPriority w:val="0"/>
  </w:style>
  <w:style w:type="character" w:customStyle="1" w:styleId="29">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6000</Words>
  <Characters>34204</Characters>
  <Lines>285</Lines>
  <Paragraphs>80</Paragraphs>
  <TotalTime>0</TotalTime>
  <ScaleCrop>false</ScaleCrop>
  <LinksUpToDate>false</LinksUpToDate>
  <CharactersWithSpaces>40124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2018-03-29T09:21:00Z</dcterms:created>
  <dc:creator>贺祎琪</dc:creator>
  <cp:lastModifiedBy>Administrator</cp:lastModifiedBy>
  <dcterms:modified xsi:type="dcterms:W3CDTF">2019-12-26T14:09:38Z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