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创金合信量化核心混合型证券投资基金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0133"/>
      <w:r>
        <w:rPr>
          <w:rFonts w:hint="eastAsia" w:hAnsi="Calibri"/>
          <w:b/>
          <w:color w:val="000000"/>
        </w:rPr>
        <w:t>§1  重要提示及目录</w:t>
      </w:r>
      <w:bookmarkEnd w:id="0"/>
      <w:r>
        <w:rPr>
          <w:rFonts w:hint="eastAsia"/>
        </w:rPr>
        <w:t xml:space="preserve"> </w:t>
      </w:r>
    </w:p>
    <w:p>
      <w:pPr>
        <w:pStyle w:val="14"/>
        <w:rPr>
          <w:rFonts w:hint="eastAsia"/>
        </w:rPr>
      </w:pPr>
      <w:bookmarkStart w:id="1" w:name="_Toc51010013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本报告期自2017年03月27日起至2017年12月31日止。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0135"/>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"_Toc510100133"</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_Toc510100133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"_Toc510100134"</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_Toc510100134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"_Toc510100135"</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_Toc510100135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"_Toc510100136"</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_Toc510100136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"_Toc510100137"</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_Toc510100137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"_Toc510100138"</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_Toc510100138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"_Toc510100139"</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_Toc510100139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"_Toc510100140"</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_Toc510100140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"_Toc510100141"</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_Toc510100141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"_Toc510100142"</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_Toc510100142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"_Toc510100143"</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_Toc510100143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"_Toc510100144"</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_Toc510100144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"_Toc510100145"</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_Toc510100145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"_Toc510100146"</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_Toc510100146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"_Toc510100147"</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_Toc510100147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"_Toc510100148"</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_Toc510100148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"_Toc510100149"</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_Toc510100149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"_Toc510100150"</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_Toc510100150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"_Toc510100151"</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_Toc510100151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"_Toc510100152"</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_Toc510100152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"_Toc510100153"</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_Toc510100153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"_Toc510100154"</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_Toc510100154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"_Toc510100155"</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_Toc510100155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"_Toc510100156"</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_Toc510100156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"_Toc510100157"</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_Toc510100157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"_Toc510100158"</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_Toc510100158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"_Toc510100159"</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_Toc510100159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"_Toc510100160"</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_Toc510100160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"_Toc510100161"</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_Toc510100161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"_Toc510100162"</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_Toc510100162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"_Toc510100163"</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_Toc510100163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"_Toc510100164"</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_Toc510100164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"_Toc510100165"</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_Toc510100165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"_Toc510100166"</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_Toc510100166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"_Toc510100167"</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_Toc510100167 \h </w:instrText>
      </w:r>
      <w:r>
        <w:rPr>
          <w:lang/>
        </w:rPr>
        <w:fldChar w:fldCharType="separate"/>
      </w:r>
      <w:r>
        <w:rPr>
          <w:lang/>
        </w:rPr>
        <w:t>23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"_Toc510100168"</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_Toc510100168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"_Toc510100169"</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_Toc510100169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"_Toc510100170"</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_Toc510100170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"_Toc510100171"</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_Toc510100171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"_Toc510100172"</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_Toc510100172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"_Toc510100173"</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_Toc510100173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"_Toc510100174"</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_Toc510100174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"_Toc510100175"</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_Toc510100175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"_Toc510100176"</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_Toc510100176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"_Toc510100177"</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_Toc510100177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"_Toc510100178"</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_Toc510100178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"_Toc510100179"</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_Toc510100179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"_Toc510100180"</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_Toc510100180 \h </w:instrText>
      </w:r>
      <w:r>
        <w:rPr>
          <w:lang/>
        </w:rPr>
        <w:fldChar w:fldCharType="separate"/>
      </w:r>
      <w:r>
        <w:rPr>
          <w:lang/>
        </w:rPr>
        <w:t>73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"_Toc510100181"</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_Toc510100181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"_Toc510100182"</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_Toc510100182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"_Toc510100183"</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_Toc510100183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"_Toc510100184"</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_Toc510100184 \h </w:instrText>
      </w:r>
      <w:r>
        <w:rPr>
          <w:lang/>
        </w:rPr>
        <w:fldChar w:fldCharType="separate"/>
      </w:r>
      <w:r>
        <w:rPr>
          <w:lang/>
        </w:rPr>
        <w:t>75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"_Toc510100185"</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_Toc510100185 \h </w:instrText>
      </w:r>
      <w:r>
        <w:rPr>
          <w:lang/>
        </w:rPr>
        <w:fldChar w:fldCharType="separate"/>
      </w:r>
      <w:r>
        <w:rPr>
          <w:lang/>
        </w:rPr>
        <w:t>76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"_Toc510100186"</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_Toc510100186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"_Toc510100187"</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_Toc510100187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"_Toc510100188"</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_Toc510100188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"_Toc510100189"</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_Toc510100189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"_Toc510100190"</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_Toc510100190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"_Toc510100191"</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_Toc510100191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"_Toc510100192"</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_Toc510100192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"_Toc510100193"</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_Toc510100193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"_Toc510100194"</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_Toc510100194 \h </w:instrText>
      </w:r>
      <w:r>
        <w:rPr>
          <w:lang/>
        </w:rPr>
        <w:fldChar w:fldCharType="separate"/>
      </w:r>
      <w:r>
        <w:rPr>
          <w:lang/>
        </w:rPr>
        <w:t>80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"_Toc510100195"</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_Toc510100195 \h </w:instrText>
      </w:r>
      <w:r>
        <w:rPr>
          <w:lang/>
        </w:rPr>
        <w:fldChar w:fldCharType="separate"/>
      </w:r>
      <w:r>
        <w:rPr>
          <w:lang/>
        </w:rPr>
        <w:t>84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"_Toc510100196"</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_Toc510100196 \h </w:instrText>
      </w:r>
      <w:r>
        <w:rPr>
          <w:lang/>
        </w:rPr>
        <w:fldChar w:fldCharType="separate"/>
      </w:r>
      <w:r>
        <w:rPr>
          <w:lang/>
        </w:rPr>
        <w:t>84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"_Toc510100197"</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_Toc510100197 \h </w:instrText>
      </w:r>
      <w:r>
        <w:rPr>
          <w:lang/>
        </w:rPr>
        <w:fldChar w:fldCharType="separate"/>
      </w:r>
      <w:r>
        <w:rPr>
          <w:lang/>
        </w:rPr>
        <w:t>85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"_Toc510100198"</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_Toc510100198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"_Toc510100199"</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_Toc510100199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"_Toc510100200"</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_Toc510100200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"_Toc510100201"</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_Toc510100201 \h </w:instrText>
      </w:r>
      <w:r>
        <w:rPr>
          <w:lang/>
        </w:rPr>
        <w:fldChar w:fldCharType="separate"/>
      </w:r>
      <w:r>
        <w:rPr>
          <w:lang/>
        </w:rPr>
        <w:t>85</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013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013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004359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2017年03月27日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134,987,531.05份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004360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76,565,435.10份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58,422,095.95份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013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在控制风险的同时，追求超越业绩比较基准的投资回报。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将采取定量与定性相结合的方法，运用“自上而下”的资产配置逻辑，形成对大类资产预期收益及风险的判断，进而确定资产配置的具体比例。其中，本基金在进行资产配置决策时将主要考虑宏观经济、政策预期、产业经济、市场情绪、投资者行为等因素。</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沪深300指数收益率×80%+中债综合财富（总值）指数收益率×20%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本基金为混合型基金，长期来看，其预期风险与预期收益水平高于债券型基金和货币市场基金，低于股票型基金。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013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10014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014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014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014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637"/>
        <w:gridCol w:w="2760"/>
        <w:gridCol w:w="2760"/>
        <w:gridCol w:w="222"/>
        <w:gridCol w:w="222"/>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本期2017年03月27日（基金合同生效日）- 2017年12月31日 </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23,455,770.37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16,421,110.58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22,069,074.07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20,656,477.60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0.0793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9,466,589.19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6,693,440.56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0.1146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86,032,024.29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65,115,536.51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1.1146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4.本基金合同生效日为2017年3月27日，截至报告期末，本基金成立不满一年。合同生效当期的相关数据和指标按实际存续期计算。</w:t>
      </w:r>
    </w:p>
    <w:p>
      <w:pPr>
        <w:pStyle w:val="14"/>
        <w:rPr>
          <w:rFonts w:hint="eastAsia"/>
        </w:rPr>
      </w:pPr>
      <w:bookmarkStart w:id="11" w:name="_Toc510100144"/>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创金合信量化核心混合A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pStyle w:val="17"/>
        <w:rPr>
          <w:rFonts w:hint="eastAsia"/>
        </w:rPr>
      </w:pPr>
      <w:r>
        <w:rPr>
          <w:rFonts w:hint="eastAsia" w:hAnsi="Calibri"/>
          <w:color w:val="000000"/>
        </w:rPr>
        <w:t>创金合信量化核心混合C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4359_FB010010_20180002_2.jpg" type="#_x0000_t75" style="height:286.2pt;width:441pt;" filled="f" stroked="f" coordsize="21600,21600">
            <v:path/>
            <v:fill on="f" focussize="0,0"/>
            <v:stroke on="f"/>
            <v:imagedata r:id="rId10" grayscale="f" bilevel="f" o:title="CN_50990000_004359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4359_FB010010_20180002_3.jpg" type="#_x0000_t75" style="height:286.2pt;width:441pt;" filled="f" stroked="f" coordsize="21600,21600">
            <v:path/>
            <v:fill on="f" focussize="0,0"/>
            <v:stroke on="f"/>
            <v:imagedata r:id="rId11" grayscale="f" bilevel="f" o:title="CN_50990000_004359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4359_FB010010_20180002_4.jpg" type="#_x0000_t75" style="height:285.95pt;width:440.6pt;" filled="f" stroked="f" coordsize="21600,21600">
            <v:path/>
            <v:fill on="f" focussize="0,0"/>
            <v:stroke on="f"/>
            <v:imagedata r:id="rId12" grayscale="f" bilevel="f" o:title="CN_50990000_004359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4359_FB010010_20180002_5.jpg" type="#_x0000_t75" style="height:285.95pt;width:440.6pt;" filled="f" stroked="f" coordsize="21600,21600">
            <v:path/>
            <v:fill on="f" focussize="0,0"/>
            <v:stroke on="f"/>
            <v:imagedata r:id="rId13" grayscale="f" bilevel="f" o:title="CN_50990000_004359_FB010010_20180002_5"/>
            <o:lock v:ext="edit" grouping="f" rotation="f" aspectratio="t"/>
            <w10:wrap type="none"/>
            <w10:anchorlock/>
          </v:shape>
        </w:pict>
      </w:r>
    </w:p>
    <w:p>
      <w:pPr>
        <w:pStyle w:val="14"/>
        <w:rPr>
          <w:rFonts w:hint="eastAsia"/>
        </w:rPr>
      </w:pPr>
      <w:bookmarkStart w:id="12" w:name="_Toc510100145"/>
      <w:r>
        <w:rPr>
          <w:rFonts w:hint="eastAsia" w:hAnsi="Calibri"/>
          <w:b/>
          <w:color w:val="000000"/>
        </w:rPr>
        <w:t>3.3 过去三年基金的利润分配情况</w:t>
      </w:r>
      <w:bookmarkEnd w:id="12"/>
    </w:p>
    <w:p>
      <w:pPr>
        <w:pStyle w:val="20"/>
        <w:rPr>
          <w:rFonts w:hint="eastAsia"/>
        </w:rPr>
      </w:pPr>
      <w:r>
        <w:rPr>
          <w:rFonts w:hint="eastAsia"/>
        </w:rPr>
        <w:t>本基金自基金合同生效日（2017年3月27日）至本报告期末未发生利润分配。</w:t>
      </w:r>
    </w:p>
    <w:p>
      <w:pPr>
        <w:pStyle w:val="13"/>
        <w:rPr>
          <w:rFonts w:hint="eastAsia"/>
        </w:rPr>
      </w:pPr>
      <w:bookmarkStart w:id="13" w:name="_Toc51010014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0147"/>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谢东旭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东旭先生，中国国籍，复旦大学硕士。曾在中信证券股份有限公司从事研究工作。2012年2月加入华安基金管理有限公司后从事量化分析与投资工作。2013年11月起担任华安沪深300量化增强证券投资基金的基金经理助理，2015年1月21日至2017年1月26日担任华安沪深300量化增强证券投资基金基金经理。2017年5月加入创金合信基金，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0148"/>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0149"/>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0150"/>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量化核心混合A基金份额净值为1.1236元;本报告期内，基金份额净值增长率为12.36%，同期业绩比较基准收益率为12.46%;截至报告期末创金合信量化核心混合C基金份额净值为1.1146元;本报告期内，基金份额净值增长率为11.46%，同期业绩比较基准收益率为12.46%。</w:t>
      </w:r>
    </w:p>
    <w:p>
      <w:pPr>
        <w:widowControl/>
        <w:jc w:val="left"/>
        <w:rPr>
          <w:rFonts w:hint="eastAsia" w:ascii="宋体" w:hAnsi="宋体" w:cs="宋体"/>
          <w:kern w:val="0"/>
          <w:sz w:val="24"/>
          <w:szCs w:val="24"/>
        </w:rPr>
      </w:pPr>
    </w:p>
    <w:p>
      <w:pPr>
        <w:pStyle w:val="14"/>
        <w:rPr>
          <w:rFonts w:hint="eastAsia"/>
        </w:rPr>
      </w:pPr>
      <w:bookmarkStart w:id="18" w:name="_Toc510100151"/>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p>
    <w:p>
      <w:pPr>
        <w:widowControl/>
        <w:jc w:val="left"/>
        <w:rPr>
          <w:rFonts w:hint="eastAsia" w:ascii="宋体" w:hAnsi="宋体" w:cs="宋体"/>
          <w:kern w:val="0"/>
          <w:sz w:val="24"/>
          <w:szCs w:val="24"/>
        </w:rPr>
      </w:pPr>
    </w:p>
    <w:p>
      <w:pPr>
        <w:pStyle w:val="14"/>
        <w:rPr>
          <w:rFonts w:hint="eastAsia"/>
        </w:rPr>
      </w:pPr>
      <w:bookmarkStart w:id="19" w:name="_Toc510100152"/>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0153"/>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0154"/>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0155"/>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10015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0157"/>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量化核心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100158"/>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量化核心混合型证券投资基金的管理人--创金合信基金管理有限公司在创金合信量化核心混合型证券投资基金的投资运作、基金资产净值计算、基金份额申购赎回价格计算、基金费用开支等问题上，不存在任何损害基金份额持有人利益的行为，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0159"/>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量化核心混合型证券投资基金2017年年度报告中财务指标、净值表现、利润分配情况、财务会计报告、投资组合报告等内容进行了核查，以上内容真实、准确和完整。</w:t>
      </w:r>
    </w:p>
    <w:p>
      <w:pPr>
        <w:pStyle w:val="13"/>
        <w:rPr>
          <w:rFonts w:hint="eastAsia"/>
        </w:rPr>
      </w:pPr>
      <w:bookmarkStart w:id="27" w:name="_Toc51010016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016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普华永道中天审字(2018)第21823号</w:t>
            </w:r>
          </w:p>
        </w:tc>
      </w:tr>
    </w:tbl>
    <w:p>
      <w:pPr>
        <w:widowControl/>
        <w:jc w:val="left"/>
        <w:rPr>
          <w:rFonts w:hint="eastAsia" w:ascii="宋体" w:hAnsi="宋体" w:cs="宋体"/>
          <w:kern w:val="0"/>
          <w:sz w:val="24"/>
          <w:szCs w:val="24"/>
        </w:rPr>
      </w:pPr>
    </w:p>
    <w:p>
      <w:pPr>
        <w:pStyle w:val="14"/>
        <w:rPr>
          <w:rFonts w:hint="eastAsia"/>
        </w:rPr>
      </w:pPr>
      <w:bookmarkStart w:id="29" w:name="_Toc51010016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量化核心混合型证券投资基金(以下简称"创金合信量化核心混合基金")的财务报表，包括2017年12月31日的资产负债表，2017年3月27日(基金合同生效日)至2017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量化核心混合基金2017年12月31日的财务状况以及2017年3月27日(基金合同生效日)至2017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按照中国注册会计师职业道德守则，我们独立于创金合信量化核心混合基金，并履行了职业道德方面的其他责任。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量化核心混合基金的持续经营能力，披露与持续经营相关的事项(如适用)，并运用持续经营假设，除非基金管理人管理层计划清算创金合信量化核心混合基金、终止运营或别无其他现实的选择。 基金管理人治理层负责监督创金合信量化核心混合基金的财务报告过程。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量化核心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量化核心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016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0164"/>
      <w:r>
        <w:rPr>
          <w:rFonts w:hint="eastAsia"/>
          <w:b/>
          <w:bCs/>
        </w:rPr>
        <w:t>7.1 资产负债表</w:t>
      </w:r>
      <w:bookmarkEnd w:id="31"/>
    </w:p>
    <w:p>
      <w:pPr>
        <w:pStyle w:val="17"/>
        <w:rPr>
          <w:rFonts w:hint="eastAsia"/>
        </w:rPr>
      </w:pPr>
      <w:r>
        <w:rPr>
          <w:rFonts w:hint="eastAsia"/>
        </w:rPr>
        <w:t>会计主体：创金合信量化核心混合型证券投资基金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052"/>
        <w:gridCol w:w="1520"/>
        <w:gridCol w:w="3548"/>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7,684,132.38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1,988,235.80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127,818,204.96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288,064.90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104,869.38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152,590,284.27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673,684.29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206,259.95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34,376.65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45,300.56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174,012.60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1,442,723.47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134,987,531.05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16,160,029.75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151,147,560.80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152,590,284.27</w:t>
            </w:r>
          </w:p>
        </w:tc>
      </w:tr>
    </w:tbl>
    <w:p>
      <w:pPr>
        <w:pStyle w:val="20"/>
        <w:rPr>
          <w:rFonts w:hint="eastAsia"/>
        </w:rPr>
      </w:pPr>
      <w:r>
        <w:rPr>
          <w:rFonts w:hint="eastAsia"/>
        </w:rPr>
        <w:t>注：1.报告截止日2017年12月31日,基金份额总额134,987,531.05份,其中下属A类基金份额76,565,435.10份,C类基金份额58,422,095.95份。下属A类基金份额净值1.1236元,C类基金份额净值1.1146元。</w:t>
      </w:r>
      <w:r>
        <w:rPr>
          <w:rFonts w:hint="eastAsia"/>
        </w:rPr>
        <w:br w:type="textWrapping"/>
      </w:r>
      <w:r>
        <w:rPr>
          <w:rFonts w:hint="eastAsia"/>
        </w:rPr>
        <w:t>2.本基金合同生效日为2017年3月27日,2017年年度实际报告期间为2017年3月27日至2017年12月31日。截至报告期末本基金合同生效未满1年,本报告期的财务报表及报表附注均无同期对比数据。</w:t>
      </w:r>
    </w:p>
    <w:p>
      <w:pPr>
        <w:pStyle w:val="14"/>
        <w:rPr>
          <w:rFonts w:hint="eastAsia"/>
        </w:rPr>
      </w:pPr>
      <w:bookmarkStart w:id="32" w:name="_Toc510100165"/>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会计主体：创金合信量化核心混合型证券投资基金</w:t>
      </w:r>
    </w:p>
    <w:p>
      <w:pPr>
        <w:pStyle w:val="17"/>
        <w:rPr>
          <w:rFonts w:hint="eastAsia"/>
        </w:rPr>
      </w:pPr>
      <w:r>
        <w:rPr>
          <w:rFonts w:hint="eastAsia"/>
        </w:rPr>
        <w:t>本报告期：2017年03月27日（基金合同生效日）至2017年12月31日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558"/>
        <w:gridCol w:w="1520"/>
        <w:gridCol w:w="3042"/>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本期2017年03月27日（基金合同生效日）至2017年12月31日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57,302,802.12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3,132,802.73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659,758.76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329,218.52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2,143,825.45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50,941,830.16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44,721,980.06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-2,660,820.00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8,778,205.54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2,848,670.72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379,498.51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14,577,250.45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5,325,359.78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887,560.04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1,619,995.73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6,556,762.71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187,572.19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r>
    </w:tbl>
    <w:p>
      <w:pPr>
        <w:pStyle w:val="20"/>
        <w:rPr>
          <w:rFonts w:hint="eastAsia"/>
        </w:rPr>
      </w:pPr>
      <w:r>
        <w:rPr>
          <w:rFonts w:hint="eastAsia"/>
        </w:rPr>
        <w:t>注：本财务报表的实际编制期间为2017年3月27日(基金合同生效日)至2017年12月31日。截至报告期末本基金合同生效未满1年,本报告期的财务报表及报表附注均无同期对比数据。</w:t>
      </w:r>
    </w:p>
    <w:p>
      <w:pPr>
        <w:pStyle w:val="14"/>
        <w:rPr>
          <w:rFonts w:hint="eastAsia"/>
        </w:rPr>
      </w:pPr>
      <w:bookmarkStart w:id="33" w:name="_Toc510100166"/>
      <w:r>
        <w:rPr>
          <w:rFonts w:hint="eastAsia"/>
          <w:b/>
          <w:bCs/>
        </w:rPr>
        <w:t>7.3 所有者权益（基金净值）变动表</w:t>
      </w:r>
      <w:bookmarkEnd w:id="33"/>
    </w:p>
    <w:p>
      <w:pPr>
        <w:pStyle w:val="17"/>
        <w:rPr>
          <w:rFonts w:hint="eastAsia"/>
        </w:rPr>
      </w:pPr>
      <w:r>
        <w:rPr>
          <w:rFonts w:hint="eastAsia"/>
        </w:rPr>
        <w:t>会计主体：创金合信量化核心混合型证券投资基金</w:t>
      </w:r>
    </w:p>
    <w:p>
      <w:pPr>
        <w:pStyle w:val="17"/>
        <w:rPr>
          <w:rFonts w:hint="eastAsia"/>
        </w:rPr>
      </w:pPr>
      <w:r>
        <w:rPr>
          <w:rFonts w:hint="eastAsia"/>
        </w:rPr>
        <w:t>本报告期：2017年03月27日（基金合同生效日）至2017年12月31日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801,997,731.79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801,997,731.79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-667,010,200.74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-26,565,521.92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-693,575,722.66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55,715,216.87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2,131,409.39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57,846,626.26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-722,725,417.61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-28,696,931.31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-751,422,348.92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134,987,531.05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16,160,029.75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151,147,560.80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注：本财务报表的实际报告期间为2017年3月27日(基金合同生效日)至2017年12月31日。截至报告期末本基金合同生效未满1年，本报告期的财务报表及报表附注均无同期对比数据。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0167"/>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量化核心混合型证券投资基金(以下简称"本基金")经中国证券监督管理委员会(以下简称"中国证监会")证监许可[2017]5号《关于准予创金合信量化核心混合型证券投资基金注册的批复》核准，由创金合信基金管理有限公司依照《中华人民共和国证券投资基金法》和《创金合信量化核心混合型证券投资基金基金合同》负责公开募集。本基金为契约型开放式，存续期限不定，首次设立募集不包括认购资金利息共募集人民币801,695,744.90元，业经普华永道中天会计师事务所(特殊普通合伙)普华永道中天验字(2017)第116号验资报告予以验证。经向中国证监会备案，《创金合信量化核心混合型证券投资基金基金合同》于2017年3月27日正式生效，基金合同生效日的基金份额总额为801,997,731.79份基金份额，其中认购资资金利息折合301,986.89份基金份额。本基金的基金管理人为创金合信基金管理有限公司，基金托管人为中国工商银行股份有限公司(以下简称"中国工商银行")。</w:t>
      </w:r>
      <w:r>
        <w:rPr>
          <w:rFonts w:hint="eastAsia"/>
        </w:rPr>
        <w:br w:type="textWrapping"/>
      </w:r>
      <w:r>
        <w:rPr>
          <w:rFonts w:hint="eastAsia"/>
        </w:rPr>
        <w:t>  </w:t>
      </w:r>
      <w:r>
        <w:rPr>
          <w:rFonts w:hint="eastAsia"/>
        </w:rPr>
        <w:br w:type="textWrapping"/>
      </w:r>
      <w:r>
        <w:rPr>
          <w:rFonts w:hint="eastAsia"/>
        </w:rPr>
        <w:t>  根据《中华人民共和国证券投资基金法》和《创金合信量化核心混合型证券投资基金基金合同》的有关规定，本基金的投资范围包括国内依法发行上市的股票(包括创业板、中小板以及其他经中国证监会允许基金投资的股票)、债券(包括国债、央行票据、地方政府债、金融债、企业债、公司债、次级债、中期票据、短期融资券、中小企业私募债券、可转换债券、可交换债券等)、资产支持证券、债券回购、银行存款、金融衍生品(包括权证、股指期货、股票期权等)及法律法规或中国证监会允许基金投资的其他金融工具(但须符合中国证监会相关规定)。本基金的业绩比较基准为：沪深300指数收益率×80%+中债综合财富(总值)指数收益率×20%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量化核心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本基金会计年度为公历1月1日起至12月31日止。本期财务报表的实际编制期间为2017年1月23日（基金合同生效日）至2017年12月31日。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r>
        <w:rPr>
          <w:rFonts w:hint="eastAsia"/>
        </w:rPr>
        <w:br w:type="textWrapping"/>
      </w:r>
      <w:r>
        <w:rPr>
          <w:rFonts w:hint="eastAsia"/>
        </w:rPr>
        <w:t>  (2)存在活跃市场的金融工具，如估值日无交易且最近交易日后经济环境发生了重大变化，参考类似投资品种的现行市价及重大变化等因素，调整最近交易市价以确定公允价值。</w:t>
      </w:r>
      <w:r>
        <w:rPr>
          <w:rFonts w:hint="eastAsia"/>
        </w:rPr>
        <w:br w:type="textWrapping"/>
      </w:r>
      <w:r>
        <w:rPr>
          <w:rFonts w:hint="eastAsia"/>
        </w:rPr>
        <w:t>  (3)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 。</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124,652,154.24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2,704,017.32</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-12,066.60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-12,066.60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125,126,254.24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127,818,204.96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2,691,950.72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IF1806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衍生金融资产项下的权益衍生工具为股指期货投资，净额为0。在当日无负债结算制度下，结算准备金已包括所持股指期货合约产生的持仓损益，则衍生金融资产项下的股指期货投资与相关的期货暂收款(结算所得的持仓损益)之间按抵销后的净额为0。</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174,012.60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创金合信量化核心混合A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本期2017年03月27日</w:t>
            </w:r>
            <w:r>
              <w:rPr>
                <w:rStyle w:val="30"/>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269,241,417.75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269,241,417.75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12,412,980.46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12,412,980.46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-205,088,963.11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-205,088,963.11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76,565,435.10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76,565,435.10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创金合信量化核心混合C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本期2017年03月27日</w:t>
            </w:r>
            <w:r>
              <w:rPr>
                <w:rStyle w:val="30"/>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532,756,314.04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532,756,314.04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43,302,236.41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43,302,236.41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-517,636,454.50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-517,636,454.50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58,422,095.95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58,422,095.95</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2017年2月21日至2017年3月21日止期间公开发售，共募集有效净认购资金801,695,744.90元，其中A类基金募集有效净认购资金为269,161,531.43元，C类基金募集有效净认购资金为532,534,213.47元。根据《创金合信量化核心混合型证券投资基金招募说明书》的规定，本基金设立募集期内认购资金产生的利息收入301,986.89元在本基金成立后，折算为301,986.89份基金份额(其中A类基金募集期内认购资金产生的利息收入为79,886.32元，折算为79,886.32份基金份额，C类基金募集期内认购资金产生的利息收入为222,100.57元，折算为222,100.57份基金份额)，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创金合信量化核心混合A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23,455,770.37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-1,386,696.30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22,069,074.07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-12,185,991.41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-416,493.47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-12,602,484.88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1,055,436.56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40,919.13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1,096,355.69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-13,241,427.97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-457,412.60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-13,698,840.57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11,269,778.96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-1,803,189.77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9,466,589.19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创金合信量化核心混合C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16,421,110.58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4,235,367.02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20,656,477.60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-8,363,487.76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-5,599,549.28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-13,963,037.04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648,411.07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386,642.63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1,035,053.70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-9,011,898.83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-5,986,191.91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-14,998,090.74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8,057,622.82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-1,364,182.26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6,693,440.56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400,231.86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253,593.43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659,758.76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3,348,092,137.77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3,303,370,157.71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44,721,980.06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50,451,611.15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50,020,300.00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328,846.59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7.4.7.14.2 衍生工具收益——其他投资收益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本期收益金额</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-2,660,820.00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8,778,205.54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8,778,205.54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2,691,950.72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2,704,017.32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156,720.00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156,720.00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2,848,670.72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378,957.89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379,498.51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6,552,075.30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6,556,762.71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187,572.19</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20"/>
        <w:rPr>
          <w:rFonts w:hint="eastAsia"/>
        </w:rPr>
      </w:pPr>
      <w:r>
        <w:rPr>
          <w:rFonts w:hint="eastAsia"/>
        </w:rPr>
        <w:t>本基金本报告期内无通过关联方交易单元进行的股票交易。</w:t>
      </w:r>
    </w:p>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20"/>
        <w:rPr>
          <w:rFonts w:hint="eastAsia"/>
        </w:rPr>
      </w:pPr>
      <w:r>
        <w:rPr>
          <w:rFonts w:hint="eastAsia"/>
        </w:rPr>
        <w:t>本基金本报告期内无应支付关联方的佣金。</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5,325,359.78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3,361,276.07</w:t>
            </w:r>
          </w:p>
        </w:tc>
      </w:tr>
    </w:tbl>
    <w:p>
      <w:pPr>
        <w:pStyle w:val="20"/>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887,560.04</w:t>
            </w:r>
          </w:p>
        </w:tc>
      </w:tr>
    </w:tbl>
    <w:p>
      <w:pPr>
        <w:pStyle w:val="20"/>
        <w:rPr>
          <w:rFonts w:hint="eastAsia"/>
        </w:rPr>
      </w:pPr>
      <w:r>
        <w:rPr>
          <w:rFonts w:hint="eastAsia"/>
        </w:rPr>
        <w:t>注:H＝E×0.25%÷当年天数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付给基金托管人。若遇法定节假日、公休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492"/>
        <w:gridCol w:w="2492"/>
        <w:gridCol w:w="1535"/>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1,070,261.96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1,070,261.96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82,784.80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82,784.80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1,158,616.14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1,158,616.14</w:t>
            </w:r>
          </w:p>
        </w:tc>
      </w:tr>
    </w:tbl>
    <w:p>
      <w:pPr>
        <w:pStyle w:val="20"/>
        <w:rPr>
          <w:rFonts w:hint="eastAsia"/>
        </w:rPr>
      </w:pPr>
      <w:r>
        <w:rPr>
          <w:rFonts w:hint="eastAsia"/>
        </w:rPr>
        <w:t>注：支付基金销售机构的销售服务费按前一日C类基金的基金资产净值0.8%的年费率计提，逐日累计至每月月底，按月支付给创金合信基金管理有限公司，再由创金合信基金管理有限公司计算并支付给各基金销售机构。其计算公式为：日销售服务费＝C类基金前一日基金资产净值× 0.8%/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1"/>
        <w:gridCol w:w="3069"/>
        <w:gridCol w:w="2865"/>
      </w:tblGrid>
      <w:tr>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400,231.86</w:t>
            </w:r>
          </w:p>
        </w:tc>
      </w:tr>
    </w:tbl>
    <w:p>
      <w:pPr>
        <w:pStyle w:val="20"/>
        <w:rPr>
          <w:rFonts w:hint="eastAsia"/>
        </w:rPr>
      </w:pPr>
      <w:r>
        <w:rPr>
          <w:rFonts w:hint="eastAsia"/>
        </w:rPr>
        <w:t>注:本基金的银行存款由基金托管人中国工商银行保管，按银行同业存款利率计息。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21,550.05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7.4.12.1.2 受限证券类别：债券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2,656,449.06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2,602,684.00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1,321,504.71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941,609.03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626,333.42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奥瑞德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319,879.45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295,540.14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257,108.70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88,341.02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102,880.14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潮宏基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68,651.29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本基金本报告期末未持有按短期信用评级列示的债券投资。</w:t>
      </w:r>
      <w:r>
        <w:rPr>
          <w:rFonts w:hint="eastAsia"/>
        </w:rPr>
        <w:br w:type="textWrapping"/>
      </w: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136106593.19元，超过经确认的当日净赎回金额。于2017年12月31日，本基金持有的流动性受限资产的估值占基金资产净值的比例为4.50%，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675"/>
        <w:gridCol w:w="1574"/>
        <w:gridCol w:w="1273"/>
        <w:gridCol w:w="1173"/>
        <w:gridCol w:w="1675"/>
        <w:gridCol w:w="1675"/>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7,684,132.38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7,684,132.38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1,988,235.80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1,988,235.80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429,933.40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127,818,204.96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288,064.90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288,064.90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104,869.38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104,869.38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24,371,218.85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127,757,032.02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152,590,284.27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673,684.29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673,684.29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206,259.95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206,259.95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34,376.65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45,300.56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174,012.60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174,012.60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1,442,723.47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1,442,723.47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24,371,218.85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126,314,308.55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151,147,560.80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p>
      <w:pPr>
        <w:pStyle w:val="20"/>
        <w:rPr>
          <w:rFonts w:hint="eastAsia"/>
        </w:rPr>
      </w:pPr>
      <w:r>
        <w:rPr>
          <w:rFonts w:hint="eastAsia"/>
        </w:rPr>
        <w:t>于2017年12月31日本基金持有的交易性债券投资公允价值占基金资产净值的比例为0.31%，且均为可转换债券及可交换债券，因此市场利率的变动对于本基金资产净值无重大影响。</w:t>
      </w:r>
    </w:p>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7.4.13.4.2.2 外汇风险的敏感性分析</w:t>
      </w:r>
    </w:p>
    <w:p>
      <w:pPr>
        <w:pStyle w:val="20"/>
        <w:rPr>
          <w:rFonts w:hint="eastAsia"/>
        </w:rPr>
      </w:pPr>
      <w:r>
        <w:rPr>
          <w:rFonts w:hint="eastAsia"/>
        </w:rPr>
        <w:t>无</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4788"/>
        <w:gridCol w:w="2661"/>
        <w:gridCol w:w="159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127,356,171.56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127,356,171.56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84.26</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60"/>
        <w:gridCol w:w="3244"/>
        <w:gridCol w:w="4894"/>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6,844,054.25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-6,844,054.25</w:t>
            </w:r>
          </w:p>
        </w:tc>
      </w:tr>
    </w:tbl>
    <w:p>
      <w:pPr>
        <w:pStyle w:val="20"/>
        <w:rPr>
          <w:rFonts w:hint="eastAsia"/>
        </w:rPr>
      </w:pPr>
      <w:r>
        <w:rPr>
          <w:rFonts w:hint="eastAsia"/>
        </w:rPr>
        <w:t>本基金的业绩比较基准=沪深300指数收益率×80%+中债综合财富(总值)指数收益率×20%</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于2017年12月31日，本基金持有的以公允价值计量且其变动计入当期损益的金融资产中属于第一层次的余额为120,584,506.71 元，属于第二层次的余额为7,233,698.25 元，无属于第三层次的余额。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0168"/>
      <w:r>
        <w:rPr>
          <w:rFonts w:hint="eastAsia" w:hAnsi="Calibri"/>
          <w:b/>
          <w:color w:val="000000"/>
        </w:rPr>
        <w:t>§8 投资组合报告</w:t>
      </w:r>
      <w:bookmarkEnd w:id="35"/>
    </w:p>
    <w:p>
      <w:pPr>
        <w:pStyle w:val="14"/>
        <w:rPr>
          <w:rFonts w:hint="eastAsia"/>
        </w:rPr>
      </w:pPr>
      <w:bookmarkStart w:id="36" w:name="_Toc510100169"/>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22,382,983.05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2,389,096.26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152,590,284.27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0170"/>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5,129,158.38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53,741,924.19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1,905,742.20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4,521,158.00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2,763,345.00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5,348,271.76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4,269,659.55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36,453,161.53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6,682,123.00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2,176,410.00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1,629,403.95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590,490.00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2,016,723.00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84.26</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0171"/>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5,075,801.85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4,255,203.88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4,162,793.00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3,298,572.00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3,215,416.00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2,937,267.00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2,602,684.00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2,510,964.00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2,177,428.00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2,142,439.00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1,741,392.00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1,722,420.70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1,644,581.16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1,593,856.00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1,583,906.00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1,541,129.38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1,515,280.60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1,401,016.00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1,357,930.00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1,209,390.00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1,204,518.75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1,203,386.00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1,200,676.10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1,155,036.00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1,101,121.40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995,430.87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885,573.00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康得新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771,974.00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宋城演艺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鸿达兴业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中航飞机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美年健康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535,902.90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碧水源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372,642.00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天茂集团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354,872.87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332,804.60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331,499.00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奥瑞德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视源股份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苏宁环球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紫光国芯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256,883.00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苏宁云商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213,846.00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206,193.60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159,896.05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世纪华通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智飞生物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东阿阿胶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102,880.14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海南橡胶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贵州百灵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杭州银行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上海莱士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潮宏基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葛洲坝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国轩高科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小商品城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神州高铁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三七互娱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张家港行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100172"/>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100,702,901.37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81,219,237.72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74,701,482.17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73,545,874.93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69,476,932.29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63,768,001.56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63,412,312.04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62,772,796.00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53,415,242.47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50,757,828.11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43,149,578.02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42,013,929.90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40,237,028.04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40,225,666.80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40,071,199.43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39,197,269.00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38,784,842.00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36,158,194.00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33,502,083.44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33,457,483.86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30,956,043.19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30,747,655.70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29,869,131.59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29,741,293.53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28,774,363.76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28,681,274.00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28,138,446.67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27,855,828.00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27,657,491.40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26,748,131.34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26,667,701.75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26,099,779.22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26,035,711.38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25,278,758.82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24,854,321.20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24,296,500.24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23,938,044.23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23,565,228.14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22,835,584.15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22,609,731.42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22,461,152.69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21,600,177.46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21,158,803.64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20,890,239.00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20,753,787.20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20,639,956.20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20,255,654.99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20,251,827.50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19,882,798.00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19,631,867.48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18,571,621.00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18,482,889.00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18,119,798.00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18,029,159.55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17,879,043.00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17,726,513.15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17,378,350.74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17,245,809.77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17,092,009.24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16,881,223.80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16,863,833.00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16,731,352.00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16,349,950.40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15,598,074.80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15,455,841.80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15,055,517.24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15,013,188.30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14,941,547.00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14,551,897.56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14,304,217.26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14,192,391.50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14,041,098.10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13,974,121.00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13,737,499.56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13,427,888.81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13,140,795.39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13,067,554.00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12,778,286.71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12,333,834.45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11,941,336.00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11,912,003.00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11,833,168.23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11,718,174.62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11,696,542.76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11,404,602.00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世纪华通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11,061,894.20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10,937,798.00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青青稞酒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10,842,229.29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10,722,569.00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华闻传媒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10,680,905.00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10,436,414.00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荣安地产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10,263,345.00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10,157,328.86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苏宁云商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9,929,793.00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9,894,250.40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9,880,591.54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9,872,446.80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9,862,241.20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9,805,271.00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9,440,634.61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9,347,277.61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9,335,186.60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8,936,104.00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8,847,479.18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8,546,834.93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8,502,592.98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富春环保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8,376,191.00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8,344,980.30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8,240,784.39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8,235,035.00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8,216,824.00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8,210,880.00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8,035,408.00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8,016,415.96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7,853,742.74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7,818,725.98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7,618,072.87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7,596,735.49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7,443,942.00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7,376,329.87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7,341,040.00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7,337,356.27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7,241,567.00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7,165,383.01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7,130,266.00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7,021,076.00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6,925,685.04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6,412,851.63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6,407,791.71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6,183,310.39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6,125,691.00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6,091,220.91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6,078,303.03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5,962,736.00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5,942,170.00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5,926,601.00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5,862,236.50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5,765,019.24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5,750,307.00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5,644,959.00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光迅科技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5,601,679.00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5,554,433.00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5,546,491.54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5,514,951.00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5,344,412.00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5,289,708.00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5,261,266.00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5,246,285.00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上海莱士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5,166,369.43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贝因美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5,118,146.00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4,974,060.36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 产 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4,843,022.90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4,829,965.00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4,793,506.87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4,704,035.26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4,695,117.96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4,597,499.56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4,591,853.69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4,446,730.40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4,437,060.99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4,434,772.00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4,419,629.68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4,339,868.70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4,332,823.00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4,327,427.21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4,305,980.00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4,283,490.00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4,262,228.80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4,216,582.00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4,078,804.00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四维图新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4,037,015.00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3,990,189.63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3,928,151.87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3,861,687.00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3,817,296.00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3,791,571.69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3,771,337.00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3,742,429.15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3,712,993.40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3,682,163.00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3,682,122.00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3,649,337.00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3,616,762.00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西王食品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3,569,783.00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3,533,176.86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鸿达兴业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3,467,844.00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康得新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3,429,657.00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3,422,181.00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3,416,130.00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誉衡药业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3,391,703.00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3,373,769.00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翰宇药业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3,326,727.00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3,308,284.95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3,302,297.00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3,267,382.00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3,263,851.00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3,253,651.00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圆通速递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3,220,277.98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3,209,452.00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奥瑞德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3,178,387.00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3,135,308.00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3,093,350.78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3,038,503.92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3,034,927.27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101,595,520.01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80,348,164.52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72,664,028.25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70,006,698.19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69,852,805.44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66,252,952.39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63,952,790.65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62,795,161.00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51,844,806.32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50,432,088.16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44,377,411.31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42,792,526.75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41,035,779.02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39,436,011.27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38,488,570.00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38,335,026.27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37,020,594.40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34,953,085.99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33,298,600.88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32,884,884.52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30,694,893.65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30,609,798.12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30,100,336.19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28,413,289.88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27,818,107.00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27,622,647.04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27,111,101.00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26,782,710.95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26,636,594.12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25,964,539.84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25,961,334.35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25,315,998.69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24,555,365.17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23,967,032.12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23,723,658.98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23,439,143.04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22,654,771.97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22,411,737.09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22,333,029.75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21,408,785.45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21,027,208.85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20,978,120.50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20,631,785.00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20,597,751.20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20,580,587.89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20,543,429.42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20,375,979.86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20,277,870.84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19,294,038.00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19,254,057.70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18,869,704.59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18,751,826.00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17,841,046.00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17,635,805.74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17,401,548.66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17,071,181.98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17,002,638.35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16,866,064.18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16,774,660.69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16,594,424.00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16,539,563.40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16,043,968.08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15,836,227.36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15,318,543.00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15,038,568.22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14,954,192.93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14,935,726.13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14,929,631.00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14,445,380.05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14,437,120.00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14,187,373.75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13,836,629.00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13,705,281.00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13,635,590.00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13,273,273.89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12,644,240.00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12,353,958.42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12,213,048.80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12,125,658.16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12,080,397.41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12,063,151.55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11,959,436.95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11,816,338.21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11,646,465.00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11,536,711.39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11,208,124.00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世纪华通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11,087,119.39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青青稞酒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10,762,181.70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华闻传媒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10,680,431.00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10,513,307.40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10,277,356.05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荣安地产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10,259,749.00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10,224,840.56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9,858,663.60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9,725,314.00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9,725,211.94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9,452,531.00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苏宁云商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9,219,244.74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9,000,362.90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8,986,815.00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8,885,642.57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8,797,731.51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8,662,992.20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8,578,413.00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8,502,846.85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8,490,912.07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8,473,229.10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8,378,402.32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富春环保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8,244,281.90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7,995,025.40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7,767,637.12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7,670,721.30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7,567,640.75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7,507,075.00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7,403,167.61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7,361,708.40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7,347,341.00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7,341,394.00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7,236,501.34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7,169,166.47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7,024,249.45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6,997,319.64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6,986,803.00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6,917,868.13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6,756,776.00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6,606,601.40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6,403,977.56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6,401,948.26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6,231,483.90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6,102,331.00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5,961,361.73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5,929,640.16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5,877,068.76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5,748,420.00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5,739,658.33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5,727,376.00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5,682,196.00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5,460,935.00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5,443,862.00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光迅科技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5,437,530.60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5,357,481.54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5,354,524.14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5,337,538.00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贝因美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5,159,546.00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5,138,769.00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上海莱士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5,138,549.60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4,899,524.00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4,828,875.65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4,723,085.00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4,577,102.00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4,552,140.50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4,539,574.00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 产 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4,515,873.80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4,398,781.68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4,352,684.00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4,301,460.00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4,293,086.32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4,292,838.00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4,286,234.17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4,238,778.07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4,151,855.00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4,095,568.83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4,072,299.00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4,044,675.00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4,032,667.00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4,025,539.00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3,978,149.00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3,940,954.00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3,932,881.50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3,888,258.00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四维图新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3,868,154.00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3,822,739.56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3,787,517.16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3,696,927.00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3,641,101.00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3,565,811.00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誉衡药业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3,562,284.00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3,551,868.27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3,551,059.00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3,543,540.00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3,491,160.39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西王食品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3,459,310.00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3,366,432.44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3,356,807.00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3,336,685.00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3,319,515.53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圆通速递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3,280,887.75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翰宇药业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3,273,302.80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3,241,805.53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3,235,505.00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3,212,937.36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3,185,580.97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3,177,897.75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3,115,594.00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3,025,397.67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3,428,022,311.95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3,348,092,137.77</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0173"/>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bl>
    <w:p>
      <w:pPr>
        <w:pStyle w:val="14"/>
        <w:rPr>
          <w:rFonts w:hint="eastAsia"/>
        </w:rPr>
      </w:pPr>
      <w:bookmarkStart w:id="41" w:name="_Toc510100174"/>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bl>
    <w:p>
      <w:pPr>
        <w:pStyle w:val="14"/>
        <w:rPr>
          <w:rFonts w:hint="eastAsia"/>
        </w:rPr>
      </w:pPr>
      <w:bookmarkStart w:id="42" w:name="_Toc510100175"/>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0176"/>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0177"/>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0178"/>
      <w:r>
        <w:rPr>
          <w:rFonts w:hint="eastAsia"/>
          <w:b/>
          <w:bCs/>
        </w:rPr>
        <w:t>8.10 报告期末本基金投资的股指期货交易情况说明</w:t>
      </w:r>
      <w:bookmarkEnd w:id="45"/>
    </w:p>
    <w:p>
      <w:pPr>
        <w:pStyle w:val="15"/>
        <w:rPr>
          <w:rFonts w:hint="eastAsia"/>
        </w:rPr>
      </w:pPr>
      <w:r>
        <w:rPr>
          <w:rFonts w:hint="eastAsia"/>
          <w:b/>
          <w:bCs/>
        </w:rPr>
        <w:t>8.10.1 报告期末本基金投资的股指期货持仓和损益明细</w:t>
      </w:r>
    </w:p>
    <w:tbl>
      <w:tblPr>
        <w:tblStyle w:val="7"/>
        <w:tblW w:w="0" w:type="auto"/>
        <w:tblInd w:w="108" w:type="dxa"/>
        <w:tblLayout w:type="autofit"/>
        <w:tblCellMar>
          <w:top w:w="0" w:type="dxa"/>
          <w:left w:w="108" w:type="dxa"/>
          <w:bottom w:w="0" w:type="dxa"/>
          <w:right w:w="108" w:type="dxa"/>
        </w:tblCellMar>
      </w:tblPr>
      <w:tblGrid>
        <w:gridCol w:w="1524"/>
        <w:gridCol w:w="1525"/>
        <w:gridCol w:w="1574"/>
        <w:gridCol w:w="1525"/>
        <w:gridCol w:w="1525"/>
        <w:gridCol w:w="152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IF1806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IF1806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10,931,220.00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156,720.00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-2,660,820.00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156,720.00</w:t>
            </w:r>
          </w:p>
        </w:tc>
      </w:tr>
    </w:tbl>
    <w:p>
      <w:pPr>
        <w:widowControl/>
        <w:jc w:val="left"/>
        <w:rPr>
          <w:rFonts w:hint="eastAsia" w:ascii="宋体" w:hAnsi="宋体" w:cs="宋体"/>
          <w:kern w:val="0"/>
          <w:sz w:val="24"/>
          <w:szCs w:val="24"/>
        </w:rPr>
      </w:pPr>
    </w:p>
    <w:p>
      <w:pPr>
        <w:pStyle w:val="15"/>
        <w:rPr>
          <w:rFonts w:hint="eastAsia"/>
        </w:rPr>
      </w:pPr>
      <w:r>
        <w:rPr>
          <w:rFonts w:hint="eastAsia"/>
          <w:b/>
          <w:bCs/>
        </w:rPr>
        <w:t>8.10.2 本基金投资股指期货的投资政策</w:t>
      </w:r>
    </w:p>
    <w:p>
      <w:pPr>
        <w:pStyle w:val="20"/>
        <w:rPr>
          <w:rFonts w:hint="eastAsia"/>
        </w:rPr>
      </w:pPr>
      <w:r>
        <w:rPr>
          <w:rFonts w:hint="eastAsia"/>
        </w:rPr>
        <w:t>  本基金投资于股指期货，均以套期保值为目的，包括多头套保和空头套保。本报告期进行了少量的多头套保。</w:t>
      </w:r>
    </w:p>
    <w:p>
      <w:pPr>
        <w:widowControl/>
        <w:jc w:val="left"/>
        <w:rPr>
          <w:rFonts w:hint="eastAsia" w:ascii="宋体" w:hAnsi="宋体" w:cs="宋体"/>
          <w:kern w:val="0"/>
          <w:sz w:val="24"/>
          <w:szCs w:val="24"/>
        </w:rPr>
      </w:pPr>
    </w:p>
    <w:p>
      <w:pPr>
        <w:pStyle w:val="14"/>
        <w:rPr>
          <w:rFonts w:hint="eastAsia"/>
        </w:rPr>
      </w:pPr>
      <w:bookmarkStart w:id="46" w:name="_Toc510100179"/>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0180"/>
      <w:r>
        <w:rPr>
          <w:rFonts w:hint="eastAsia"/>
          <w:b/>
          <w:bCs/>
        </w:rPr>
        <w:t>8.12 投资组合报告附注</w:t>
      </w:r>
      <w:bookmarkEnd w:id="47"/>
    </w:p>
    <w:p>
      <w:pPr>
        <w:pStyle w:val="15"/>
        <w:rPr>
          <w:rFonts w:hint="eastAsia"/>
        </w:rPr>
      </w:pPr>
      <w:r>
        <w:rPr>
          <w:rFonts w:hint="eastAsia"/>
          <w:b/>
          <w:bCs/>
        </w:rPr>
        <w:t>8.12.1 2016年9月20日，万华化学集团股份有限公司（下称"万华化学"，股票代码：600309）的烟台工业园发生了爆炸事故，根据事故安全调查结果，认定该爆炸事故是一起较大生产安全责任事故，事故造成4人死亡，4人受伤；直接经济损失573.62万元。根据烟台市人民政府批复的《万华化学集团股份有限公司烟台工业园"9.20"较大爆炸事故调查报告》的建议，万华化学对9名相关责任人给予相应责任追究，包括解除劳动合同、撤职、留厂查看、降级、记过、警告等处分；烟台市安监局对万华化学集团股份有限公司负责人处上一年收入40%的罚款，对万华化学集团股份有限公司处以80万元罚款。</w:t>
      </w:r>
      <w:r>
        <w:rPr>
          <w:rFonts w:hint="eastAsia"/>
          <w:b/>
          <w:bCs/>
        </w:rPr>
        <w:br w:type="textWrapping"/>
      </w:r>
      <w:r>
        <w:rPr>
          <w:rFonts w:hint="eastAsia"/>
          <w:b/>
          <w:bCs/>
        </w:rPr>
        <w:t>  本基金投研人员分析认为，在事故发生以及受到处罚后，万华化学认真吸取事故教训，改正态度积极，并迅速做出反应，查找不足，积极整改，进一步加强安全管理，该事件发生后该公司经营状况正常。另外，事故于一年前发生，事故对于该公司的影响已逐步变淡，对公司业绩影响有限。该公司目前经营状况良好。本基金基金经理依据基金合同和公司投资管理制度，在投资授权范围内，经正常投资决策程序对万华化学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1,988,235.80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288,064.90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104,869.38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2,389,096.26</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2,602,684.00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0181"/>
      <w:r>
        <w:rPr>
          <w:rFonts w:hint="eastAsia" w:hAnsi="Calibri"/>
          <w:b/>
          <w:color w:val="000000"/>
        </w:rPr>
        <w:t>§9  基金份额持有人信息</w:t>
      </w:r>
      <w:bookmarkEnd w:id="48"/>
    </w:p>
    <w:p>
      <w:pPr>
        <w:pStyle w:val="14"/>
        <w:rPr>
          <w:rFonts w:hint="eastAsia"/>
        </w:rPr>
      </w:pPr>
      <w:bookmarkStart w:id="49" w:name="_Toc510100182"/>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65,777.87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76,565,435.10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65,422.28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58,422,095.95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66,693.44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134,987,531.05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510100183"/>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119,386.22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0.1600%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37,065.78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0.1200%</w:t>
            </w:r>
          </w:p>
        </w:tc>
      </w:tr>
    </w:tbl>
    <w:p>
      <w:pPr>
        <w:widowControl/>
        <w:jc w:val="left"/>
        <w:rPr>
          <w:rFonts w:hint="eastAsia" w:ascii="宋体" w:hAnsi="宋体" w:cs="宋体"/>
          <w:kern w:val="0"/>
          <w:sz w:val="24"/>
          <w:szCs w:val="24"/>
        </w:rPr>
      </w:pPr>
    </w:p>
    <w:p>
      <w:pPr>
        <w:pStyle w:val="14"/>
        <w:rPr>
          <w:rFonts w:hint="eastAsia"/>
        </w:rPr>
      </w:pPr>
      <w:bookmarkStart w:id="51" w:name="_Toc510100184"/>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3"/>
        <w:rPr>
          <w:rFonts w:hint="eastAsia"/>
        </w:rPr>
      </w:pPr>
      <w:bookmarkStart w:id="52" w:name="_Toc510100185"/>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基金合同生效日(2017年03月27日)基金份额总额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269,241,417.75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532,756,314.04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12,412,980.46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43,302,236.41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205,088,963.11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517,636,454.50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76,565,435.10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58,422,095.95</w:t>
            </w:r>
          </w:p>
        </w:tc>
      </w:tr>
    </w:tbl>
    <w:p>
      <w:pPr>
        <w:pStyle w:val="13"/>
        <w:rPr>
          <w:rFonts w:hint="eastAsia"/>
        </w:rPr>
      </w:pPr>
      <w:bookmarkStart w:id="53" w:name="_Toc510100186"/>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0187"/>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0188"/>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0189"/>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0190"/>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0191"/>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本报告期内本基金未更换会计师事务所,本年度支付给普华永道中天会计师事务所(特殊普通合伙)审计费用85,000.00元,该审计机构连续提供审计服务的年限为1年。 </w:t>
      </w:r>
    </w:p>
    <w:p>
      <w:pPr>
        <w:pStyle w:val="14"/>
        <w:rPr>
          <w:rFonts w:hint="eastAsia"/>
        </w:rPr>
      </w:pPr>
      <w:bookmarkStart w:id="59" w:name="_Toc510100192"/>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0193"/>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1080"/>
        <w:gridCol w:w="1716"/>
        <w:gridCol w:w="1050"/>
        <w:gridCol w:w="1349"/>
        <w:gridCol w:w="1050"/>
        <w:gridCol w:w="649"/>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321,321,692.65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72,298.70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1,407,036,188.05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451,570.63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112,164,159.64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59,974.09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9,755,764.83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4,204.34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36,616,465.83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11,402.12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292,182,187.86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64,691.63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4,373,617,954.96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1,846,178.64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15,389,841.84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6,454.60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203,601,006.24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86,177.06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656"/>
        <w:gridCol w:w="1050"/>
        <w:gridCol w:w="818"/>
        <w:gridCol w:w="1050"/>
        <w:gridCol w:w="610"/>
        <w:gridCol w:w="1050"/>
        <w:gridCol w:w="610"/>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813,000,000.00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9,229.50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708,820.21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11,266,800,000.00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0194"/>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创金合信量化核心混合型证券投资基金基金合同摘要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创金合信基金管理有限公司关于旗下创金合信量化核心混合型证券投资基金参与第一创业证券的费率优惠活动的公告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创金合信量化核心混合型证券投资基金关于增加华泰证券为代销机构的公告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创金合信量化核心混合型证券投资基金关于增加兴业银行为代销机构的公告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创金合信基金管理有限公司旗下部分开放式证券投资基金增加上海基煜为代销机构的公告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2017-03-28</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创金合信量化核心混合型证券投资基金开放日常申购、赎回和定期定额投资业务公告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创金合信基金管理有限公司关于创金合信量化核心混合型证券投资基金参加第一创业证券费率优惠活动的公告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创金合信基金管理有限公司关于旗下部分开放式基金参加华泰证券费率优惠活动的公告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创金合信基金管理有限公司关于旗下部分开放式基金增加大智慧为代销机构的公告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创金合信基金管理有限公司关于旗下部分开放式基金增加广发期货为代销机构的公告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0195"/>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0196"/>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0197"/>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0198"/>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0199"/>
      <w:r>
        <w:rPr>
          <w:rFonts w:hint="eastAsia"/>
          <w:b/>
          <w:bCs/>
        </w:rPr>
        <w:t>13.1 备查文件目录</w:t>
      </w:r>
      <w:r>
        <w:rPr>
          <w:rFonts w:hint="eastAsia"/>
        </w:rPr>
        <w:t>.</w:t>
      </w:r>
      <w:bookmarkEnd w:id="66"/>
    </w:p>
    <w:p>
      <w:pPr>
        <w:pStyle w:val="20"/>
        <w:rPr>
          <w:rFonts w:hint="eastAsia"/>
        </w:rPr>
      </w:pPr>
      <w:r>
        <w:rPr>
          <w:rFonts w:hint="eastAsia"/>
        </w:rPr>
        <w:t>  1、《创金合信量化核心混合型证券投资基金基金合同》；</w:t>
      </w:r>
      <w:r>
        <w:rPr>
          <w:rFonts w:hint="eastAsia"/>
        </w:rPr>
        <w:br w:type="textWrapping"/>
      </w:r>
      <w:r>
        <w:rPr>
          <w:rFonts w:hint="eastAsia"/>
        </w:rPr>
        <w:t>  2、《创金合信量化核心混合型证券投资基金托管协议》；</w:t>
      </w:r>
      <w:r>
        <w:rPr>
          <w:rFonts w:hint="eastAsia"/>
        </w:rPr>
        <w:br w:type="textWrapping"/>
      </w:r>
      <w:r>
        <w:rPr>
          <w:rFonts w:hint="eastAsia"/>
        </w:rPr>
        <w:t>  3、创金合信量化核心混合型证券投资基金2017年年度报告</w:t>
      </w:r>
    </w:p>
    <w:p>
      <w:pPr>
        <w:pStyle w:val="14"/>
        <w:rPr>
          <w:rFonts w:hint="eastAsia"/>
        </w:rPr>
      </w:pPr>
      <w:bookmarkStart w:id="67" w:name="_Toc510100200"/>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0201"/>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4</w:t>
    </w:r>
    <w:r>
      <w:rPr>
        <w:rStyle w:val="10"/>
      </w:rPr>
      <w:fldChar w:fldCharType="end"/>
    </w:r>
  </w:p>
  <w:p>
    <w:pPr>
      <w:pStyle w:val="2"/>
      <w:jc w:val="center"/>
    </w:pPr>
    <w:r>
      <w:rPr>
        <w:rFonts w:hint="eastAsia"/>
      </w:rPr>
      <w:t xml:space="preserve">                   第       页，共85页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创金合信量化核心混合型证券投资基金2017年年度报告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1D76"/>
    <w:rsid w:val="000B62F2"/>
    <w:rsid w:val="003C3E23"/>
    <w:rsid w:val="00BE1D76"/>
    <w:rsid w:val="00F952FF"/>
    <w:rsid w:val="011A69F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 w:type="character" w:customStyle="1" w:styleId="30">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86</Pages>
  <Words>10679</Words>
  <Characters>60874</Characters>
  <Lines>507</Lines>
  <Paragraphs>142</Paragraphs>
  <TotalTime>0</TotalTime>
  <ScaleCrop>false</ScaleCrop>
  <LinksUpToDate>false</LinksUpToDate>
  <CharactersWithSpaces>71411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2018-03-29T07:20:00Z</dcterms:created>
  <dc:creator>贺祎琪</dc:creator>
  <cp:lastModifiedBy>Administrator</cp:lastModifiedBy>
  <dcterms:modified xsi:type="dcterms:W3CDTF">2019-12-26T14:09:45Z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