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创金合信量化核心混合型证券投资基金</w:t>
      </w:r>
    </w:p>
    <w:p>
      <w:pPr>
        <w:widowControl/>
        <w:spacing w:before="240" w:after="120"/>
        <w:jc w:val="center"/>
        <w:rPr>
          <w:rFonts w:ascii="黑体" w:hAnsi="黑体" w:eastAsia="黑体"/>
          <w:b/>
          <w:color w:val="000000"/>
          <w:sz w:val="36"/>
        </w:rPr>
      </w:pPr>
      <w:r>
        <w:rPr>
          <w:rFonts w:ascii="黑体" w:hAnsi="黑体" w:eastAsia="黑体"/>
          <w:b/>
          <w:color w:val="000000"/>
          <w:sz w:val="36"/>
        </w:rPr>
        <w:t>2017年年度报告</w:t>
      </w:r>
    </w:p>
    <w:p>
      <w:pPr>
        <w:widowControl/>
        <w:spacing w:before="240" w:after="120"/>
        <w:jc w:val="center"/>
        <w:rPr>
          <w:rFonts w:ascii="宋体" w:hAnsi="宋体"/>
          <w:b/>
          <w:color w:val="000000"/>
          <w:sz w:val="24"/>
        </w:rPr>
      </w:pPr>
      <w:r>
        <w:rPr>
          <w:rFonts w:ascii="宋体" w:hAnsi="宋体"/>
          <w:b/>
          <w:color w:val="000000"/>
          <w:sz w:val="24"/>
        </w:rPr>
        <w:t>2017年12月31日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送出日期:2018年03月31日</w:t>
      </w:r>
      <w:r>
        <w:rPr>
          <w:b/>
          <w:color w:val="000000"/>
        </w:rPr>
        <w:br w:type="page"/>
      </w:r>
    </w:p>
    <w:p>
      <w:pPr>
        <w:pStyle w:val="13"/>
        <w:spacing w:before="240" w:after="120"/>
      </w:pPr>
      <w:bookmarkStart w:id="0" w:name="_Toc510100133"/>
      <w:r>
        <w:rPr>
          <w:rFonts w:hint="eastAsia" w:hAnsi="Calibri"/>
          <w:b/>
          <w:color w:val="000000"/>
        </w:rPr>
        <w:t>§1  重要提示及目录</w:t>
      </w:r>
      <w:bookmarkEnd w:id="0"/>
      <w:r>
        <w:rPr>
          <w:rFonts w:hint="eastAsia"/>
        </w:rPr>
        <w:t xml:space="preserve"> </w:t>
      </w:r>
    </w:p>
    <w:p>
      <w:pPr>
        <w:pStyle w:val="14"/>
        <w:rPr>
          <w:rFonts w:hint="eastAsia"/>
        </w:rPr>
      </w:pPr>
      <w:bookmarkStart w:id="1" w:name="_Toc510100134"/>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widowControl/>
              <w:wordWrap w:val="0"/>
              <w:jc w:val="left"/>
              <w:rPr>
                <w:rFonts w:hint="eastAsia" w:ascii="宋体" w:hAnsi="宋体" w:cs="宋体"/>
                <w:kern w:val="0"/>
                <w:sz w:val="24"/>
                <w:szCs w:val="24"/>
              </w:rPr>
            </w:pPr>
            <w:r>
              <w:rPr>
                <w:rStyle w:val="29"/>
                <w:rFonts w:hint="eastAsia" w:ascii="宋体" w:hAnsi="宋体" w:cs="宋体"/>
                <w:kern w:val="0"/>
                <w:sz w:val="24"/>
                <w:szCs w:val="24"/>
              </w:rPr>
              <w:t>  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r>
              <w:rPr>
                <w:rFonts w:hint="eastAsia" w:ascii="宋体" w:hAnsi="宋体" w:cs="宋体"/>
                <w:kern w:val="0"/>
                <w:sz w:val="24"/>
                <w:szCs w:val="24"/>
              </w:rPr>
              <w:br w:type="textWrapping"/>
            </w:r>
            <w:r>
              <w:rPr>
                <w:rStyle w:val="29"/>
                <w:rFonts w:hint="eastAsia" w:ascii="宋体" w:hAnsi="宋体" w:cs="宋体"/>
                <w:kern w:val="0"/>
                <w:sz w:val="24"/>
                <w:szCs w:val="24"/>
              </w:rPr>
              <w:t>  基金托管人中国工商银行股份有限公司根据本基金合同规定，于2018年3月28日复核了本报告中的财务指标、净值表现、利润分配情况、财务会计报告、投资组合报告等内容，保证复核内容不存在虚假记载、误导性陈述或者重大遗漏。　　</w:t>
            </w:r>
            <w:r>
              <w:rPr>
                <w:rFonts w:hint="eastAsia" w:ascii="宋体" w:hAnsi="宋体" w:cs="宋体"/>
                <w:kern w:val="0"/>
                <w:sz w:val="24"/>
                <w:szCs w:val="24"/>
              </w:rPr>
              <w:br w:type="textWrapping"/>
            </w:r>
            <w:r>
              <w:rPr>
                <w:rStyle w:val="29"/>
                <w:rFonts w:hint="eastAsia" w:ascii="宋体" w:hAnsi="宋体" w:cs="宋体"/>
                <w:kern w:val="0"/>
                <w:sz w:val="24"/>
                <w:szCs w:val="24"/>
              </w:rPr>
              <w:t>  基金管理人承诺以诚实信用、勤勉尽责的原则管理和运用基金资产，但不保证基金一定盈利。</w:t>
            </w:r>
            <w:r>
              <w:rPr>
                <w:rFonts w:hint="eastAsia" w:ascii="宋体" w:hAnsi="宋体" w:cs="宋体"/>
                <w:kern w:val="0"/>
                <w:sz w:val="24"/>
                <w:szCs w:val="24"/>
              </w:rPr>
              <w:br w:type="textWrapping"/>
            </w:r>
            <w:r>
              <w:rPr>
                <w:rStyle w:val="29"/>
                <w:rFonts w:hint="eastAsia" w:ascii="宋体" w:hAnsi="宋体" w:cs="宋体"/>
                <w:kern w:val="0"/>
                <w:sz w:val="24"/>
                <w:szCs w:val="24"/>
              </w:rPr>
              <w:t>  基金的过往业绩并不代表其未来表现。投资有风险，投资者在作出投资决策前应仔细阅读本基金的招募说明书及其更新。</w:t>
            </w:r>
            <w:r>
              <w:rPr>
                <w:rFonts w:hint="eastAsia" w:ascii="宋体" w:hAnsi="宋体" w:cs="宋体"/>
                <w:kern w:val="0"/>
                <w:sz w:val="24"/>
                <w:szCs w:val="24"/>
              </w:rPr>
              <w:br w:type="textWrapping"/>
            </w:r>
            <w:r>
              <w:rPr>
                <w:rStyle w:val="29"/>
                <w:rFonts w:hint="eastAsia" w:ascii="宋体" w:hAnsi="宋体" w:cs="宋体"/>
                <w:kern w:val="0"/>
                <w:sz w:val="24"/>
                <w:szCs w:val="24"/>
              </w:rPr>
              <w:t>  本报告期自2017年03月27日起至2017年12月31日止。</w:t>
            </w:r>
            <w:r>
              <w:rPr>
                <w:rFonts w:hint="eastAsia" w:ascii="宋体" w:hAnsi="宋体" w:cs="宋体"/>
                <w:kern w:val="0"/>
                <w:sz w:val="24"/>
                <w:szCs w:val="24"/>
              </w:rPr>
              <w:t xml:space="preserve"> </w:t>
            </w:r>
          </w:p>
        </w:tc>
      </w:tr>
    </w:tbl>
    <w:p>
      <w:pPr>
        <w:pStyle w:val="14"/>
        <w:rPr>
          <w:rFonts w:hint="eastAsia"/>
        </w:rPr>
      </w:pPr>
      <w:r>
        <w:rPr>
          <w:rFonts w:ascii="Times New Roman" w:hAnsi="Times New Roman"/>
        </w:rPr>
        <w:br w:type="page"/>
      </w:r>
      <w:bookmarkStart w:id="2" w:name="_Toc510100135"/>
      <w:r>
        <w:rPr>
          <w:rFonts w:hint="eastAsia"/>
          <w:b/>
          <w:bCs/>
        </w:rPr>
        <w:t>1.2 目录</w:t>
      </w:r>
      <w:bookmarkEnd w:id="2"/>
    </w:p>
    <w:p>
      <w:pPr>
        <w:pStyle w:val="4"/>
        <w:tabs>
          <w:tab w:val="right" w:leader="dot" w:pos="9080"/>
        </w:tabs>
        <w:rPr>
          <w:lang/>
        </w:rPr>
      </w:pPr>
      <w:r>
        <w:rPr>
          <w:rFonts w:ascii="宋体" w:hAnsi="宋体" w:cs="宋体"/>
          <w:kern w:val="0"/>
          <w:sz w:val="24"/>
          <w:szCs w:val="24"/>
        </w:rPr>
        <w:fldChar w:fldCharType="begin"/>
      </w:r>
      <w:r>
        <w:rPr>
          <w:rFonts w:ascii="宋体" w:hAnsi="宋体" w:cs="宋体"/>
          <w:kern w:val="0"/>
          <w:sz w:val="24"/>
          <w:szCs w:val="24"/>
        </w:rPr>
        <w:instrText xml:space="preserve"> </w:instrText>
      </w:r>
      <w:r>
        <w:rPr>
          <w:rFonts w:hint="eastAsia" w:ascii="宋体" w:hAnsi="宋体" w:cs="宋体"/>
          <w:kern w:val="0"/>
          <w:sz w:val="24"/>
          <w:szCs w:val="24"/>
        </w:rPr>
        <w:instrText xml:space="preserve">TOC \o "1-4" \f 1 \h \z \t "-1"</w:instrText>
      </w:r>
      <w:r>
        <w:rPr>
          <w:rFonts w:ascii="宋体" w:hAnsi="宋体" w:cs="宋体"/>
          <w:kern w:val="0"/>
          <w:sz w:val="24"/>
          <w:szCs w:val="24"/>
        </w:rPr>
        <w:instrText xml:space="preserve"> </w:instrText>
      </w:r>
      <w:r>
        <w:rPr>
          <w:rFonts w:ascii="宋体" w:hAnsi="宋体" w:cs="宋体"/>
          <w:kern w:val="0"/>
          <w:sz w:val="24"/>
          <w:szCs w:val="24"/>
        </w:rPr>
        <w:fldChar w:fldCharType="separate"/>
      </w:r>
      <w:r>
        <w:rPr>
          <w:rStyle w:val="11"/>
          <w:lang/>
        </w:rPr>
        <w:fldChar w:fldCharType="begin"/>
      </w:r>
      <w:r>
        <w:rPr>
          <w:rStyle w:val="11"/>
          <w:lang/>
        </w:rPr>
        <w:instrText xml:space="preserve"> </w:instrText>
      </w:r>
      <w:r>
        <w:rPr>
          <w:lang/>
        </w:rPr>
        <w:instrText xml:space="preserve">HYPERLINK \l "_Toc510100133"</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_Toc510100133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"_Toc510100134"</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_Toc510100134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"_Toc510100135"</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_Toc510100135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"_Toc510100136"</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_Toc510100136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"_Toc510100137"</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_Toc510100137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"_Toc510100138"</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_Toc510100138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"_Toc510100139"</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_Toc510100139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"_Toc510100140"</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_Toc510100140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"_Toc510100141"</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_Toc510100141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"_Toc510100142"</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_Toc510100142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"_Toc510100143"</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_Toc510100143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"_Toc510100144"</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_Toc510100144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"_Toc510100145"</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_Toc510100145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"_Toc510100146"</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_Toc510100146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"_Toc510100147"</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_Toc510100147 \h </w:instrText>
      </w:r>
      <w:r>
        <w:rPr>
          <w:lang/>
        </w:rPr>
        <w:fldChar w:fldCharType="separate"/>
      </w:r>
      <w:r>
        <w:rPr>
          <w:lang/>
        </w:rPr>
        <w:t>10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"_Toc510100148"</w:instrText>
      </w:r>
      <w:r>
        <w:rPr>
          <w:rStyle w:val="11"/>
          <w:lang/>
        </w:rPr>
        <w:instrText xml:space="preserve"> </w:instrText>
      </w:r>
      <w:r>
        <w:rPr>
          <w:rStyle w:val="11"/>
          <w:lang/>
        </w:rPr>
        <w:fldChar w:fldCharType="separate"/>
      </w:r>
      <w:r>
        <w:rPr>
          <w:rStyle w:val="11"/>
          <w:b/>
          <w:bCs/>
          <w:lang/>
        </w:rPr>
        <w:t xml:space="preserve">4.2 </w:t>
      </w:r>
      <w:r>
        <w:rPr>
          <w:rStyle w:val="11"/>
          <w:rFonts w:hint="eastAsia"/>
          <w:b/>
          <w:bCs/>
          <w:lang/>
        </w:rPr>
        <w:t>管理人对报告期内本基金运作遵规守信情况的说明</w:t>
      </w:r>
      <w:r>
        <w:rPr>
          <w:lang/>
        </w:rPr>
        <w:tab/>
      </w:r>
      <w:r>
        <w:rPr>
          <w:lang/>
        </w:rPr>
        <w:fldChar w:fldCharType="begin"/>
      </w:r>
      <w:r>
        <w:rPr>
          <w:lang/>
        </w:rPr>
        <w:instrText xml:space="preserve"> PAGEREF _Toc510100148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"_Toc510100149"</w:instrText>
      </w:r>
      <w:r>
        <w:rPr>
          <w:rStyle w:val="11"/>
          <w:lang/>
        </w:rPr>
        <w:instrText xml:space="preserve"> </w:instrText>
      </w:r>
      <w:r>
        <w:rPr>
          <w:rStyle w:val="11"/>
          <w:lang/>
        </w:rPr>
        <w:fldChar w:fldCharType="separate"/>
      </w:r>
      <w:r>
        <w:rPr>
          <w:rStyle w:val="11"/>
          <w:b/>
          <w:bCs/>
          <w:lang/>
        </w:rPr>
        <w:t xml:space="preserve">4.3 </w:t>
      </w:r>
      <w:r>
        <w:rPr>
          <w:rStyle w:val="11"/>
          <w:rFonts w:hint="eastAsia"/>
          <w:b/>
          <w:bCs/>
          <w:lang/>
        </w:rPr>
        <w:t>管理人对报告期内公平交易情况的专项说明</w:t>
      </w:r>
      <w:r>
        <w:rPr>
          <w:lang/>
        </w:rPr>
        <w:tab/>
      </w:r>
      <w:r>
        <w:rPr>
          <w:lang/>
        </w:rPr>
        <w:fldChar w:fldCharType="begin"/>
      </w:r>
      <w:r>
        <w:rPr>
          <w:lang/>
        </w:rPr>
        <w:instrText xml:space="preserve"> PAGEREF _Toc510100149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"_Toc510100150"</w:instrText>
      </w:r>
      <w:r>
        <w:rPr>
          <w:rStyle w:val="11"/>
          <w:lang/>
        </w:rPr>
        <w:instrText xml:space="preserve"> </w:instrText>
      </w:r>
      <w:r>
        <w:rPr>
          <w:rStyle w:val="11"/>
          <w:lang/>
        </w:rPr>
        <w:fldChar w:fldCharType="separate"/>
      </w:r>
      <w:r>
        <w:rPr>
          <w:rStyle w:val="11"/>
          <w:b/>
          <w:bCs/>
          <w:lang/>
        </w:rPr>
        <w:t xml:space="preserve">4.4 </w:t>
      </w:r>
      <w:r>
        <w:rPr>
          <w:rStyle w:val="11"/>
          <w:rFonts w:hint="eastAsia"/>
          <w:b/>
          <w:bCs/>
          <w:lang/>
        </w:rPr>
        <w:t>管理人对报告期内基金的投资策略和业绩表现的说明</w:t>
      </w:r>
      <w:r>
        <w:rPr>
          <w:lang/>
        </w:rPr>
        <w:tab/>
      </w:r>
      <w:r>
        <w:rPr>
          <w:lang/>
        </w:rPr>
        <w:fldChar w:fldCharType="begin"/>
      </w:r>
      <w:r>
        <w:rPr>
          <w:lang/>
        </w:rPr>
        <w:instrText xml:space="preserve"> PAGEREF _Toc510100150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"_Toc510100151"</w:instrText>
      </w:r>
      <w:r>
        <w:rPr>
          <w:rStyle w:val="11"/>
          <w:lang/>
        </w:rPr>
        <w:instrText xml:space="preserve"> </w:instrText>
      </w:r>
      <w:r>
        <w:rPr>
          <w:rStyle w:val="11"/>
          <w:lang/>
        </w:rPr>
        <w:fldChar w:fldCharType="separate"/>
      </w:r>
      <w:r>
        <w:rPr>
          <w:rStyle w:val="11"/>
          <w:b/>
          <w:bCs/>
          <w:lang/>
        </w:rPr>
        <w:t xml:space="preserve">4.5 </w:t>
      </w:r>
      <w:r>
        <w:rPr>
          <w:rStyle w:val="11"/>
          <w:rFonts w:hint="eastAsia"/>
          <w:b/>
          <w:bCs/>
          <w:lang/>
        </w:rPr>
        <w:t>管理人对宏观经济、证券市场及行业走势的简要展望</w:t>
      </w:r>
      <w:r>
        <w:rPr>
          <w:lang/>
        </w:rPr>
        <w:tab/>
      </w:r>
      <w:r>
        <w:rPr>
          <w:lang/>
        </w:rPr>
        <w:fldChar w:fldCharType="begin"/>
      </w:r>
      <w:r>
        <w:rPr>
          <w:lang/>
        </w:rPr>
        <w:instrText xml:space="preserve"> PAGEREF _Toc510100151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"_Toc510100152"</w:instrText>
      </w:r>
      <w:r>
        <w:rPr>
          <w:rStyle w:val="11"/>
          <w:lang/>
        </w:rPr>
        <w:instrText xml:space="preserve"> </w:instrText>
      </w:r>
      <w:r>
        <w:rPr>
          <w:rStyle w:val="11"/>
          <w:lang/>
        </w:rPr>
        <w:fldChar w:fldCharType="separate"/>
      </w:r>
      <w:r>
        <w:rPr>
          <w:rStyle w:val="11"/>
          <w:b/>
          <w:bCs/>
          <w:lang/>
        </w:rPr>
        <w:t xml:space="preserve">4.6 </w:t>
      </w:r>
      <w:r>
        <w:rPr>
          <w:rStyle w:val="11"/>
          <w:rFonts w:hint="eastAsia"/>
          <w:b/>
          <w:bCs/>
          <w:lang/>
        </w:rPr>
        <w:t>管理人内部有关本基金的监察稽核工作情况</w:t>
      </w:r>
      <w:r>
        <w:rPr>
          <w:lang/>
        </w:rPr>
        <w:tab/>
      </w:r>
      <w:r>
        <w:rPr>
          <w:lang/>
        </w:rPr>
        <w:fldChar w:fldCharType="begin"/>
      </w:r>
      <w:r>
        <w:rPr>
          <w:lang/>
        </w:rPr>
        <w:instrText xml:space="preserve"> PAGEREF _Toc510100152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"_Toc510100153"</w:instrText>
      </w:r>
      <w:r>
        <w:rPr>
          <w:rStyle w:val="11"/>
          <w:lang/>
        </w:rPr>
        <w:instrText xml:space="preserve"> </w:instrText>
      </w:r>
      <w:r>
        <w:rPr>
          <w:rStyle w:val="11"/>
          <w:lang/>
        </w:rPr>
        <w:fldChar w:fldCharType="separate"/>
      </w:r>
      <w:r>
        <w:rPr>
          <w:rStyle w:val="11"/>
          <w:b/>
          <w:bCs/>
          <w:lang/>
        </w:rPr>
        <w:t xml:space="preserve">4.7 </w:t>
      </w:r>
      <w:r>
        <w:rPr>
          <w:rStyle w:val="11"/>
          <w:rFonts w:hint="eastAsia"/>
          <w:b/>
          <w:bCs/>
          <w:lang/>
        </w:rPr>
        <w:t>管理人对报告期内基金估值程序等事项的说明</w:t>
      </w:r>
      <w:r>
        <w:rPr>
          <w:lang/>
        </w:rPr>
        <w:tab/>
      </w:r>
      <w:r>
        <w:rPr>
          <w:lang/>
        </w:rPr>
        <w:fldChar w:fldCharType="begin"/>
      </w:r>
      <w:r>
        <w:rPr>
          <w:lang/>
        </w:rPr>
        <w:instrText xml:space="preserve"> PAGEREF _Toc510100153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"_Toc510100154"</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_Toc510100154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"_Toc510100155"</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_Toc510100155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"_Toc510100156"</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_Toc510100156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"_Toc510100157"</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_Toc510100157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"_Toc510100158"</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_Toc510100158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"_Toc510100159"</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_Toc510100159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"_Toc510100160"</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_Toc510100160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"_Toc510100161"</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_Toc510100161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"_Toc510100162"</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_Toc510100162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"_Toc510100163"</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_Toc510100163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"_Toc510100164"</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_Toc510100164 \h </w:instrText>
      </w:r>
      <w:r>
        <w:rPr>
          <w:lang/>
        </w:rPr>
        <w:fldChar w:fldCharType="separate"/>
      </w:r>
      <w:r>
        <w:rPr>
          <w:lang/>
        </w:rPr>
        <w:t>19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"_Toc510100165"</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_Toc510100165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"_Toc510100166"</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_Toc510100166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"_Toc510100167"</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_Toc510100167 \h </w:instrText>
      </w:r>
      <w:r>
        <w:rPr>
          <w:lang/>
        </w:rPr>
        <w:fldChar w:fldCharType="separate"/>
      </w:r>
      <w:r>
        <w:rPr>
          <w:lang/>
        </w:rPr>
        <w:t>23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"_Toc510100168"</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_Toc510100168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"_Toc510100169"</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_Toc510100169 \h </w:instrText>
      </w:r>
      <w:r>
        <w:rPr>
          <w:lang/>
        </w:rPr>
        <w:fldChar w:fldCharType="separate"/>
      </w:r>
      <w:r>
        <w:rPr>
          <w:lang/>
        </w:rPr>
        <w:t>49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"_Toc510100170"</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_Toc510100170 \h </w:instrText>
      </w:r>
      <w:r>
        <w:rPr>
          <w:lang/>
        </w:rPr>
        <w:fldChar w:fldCharType="separate"/>
      </w:r>
      <w:r>
        <w:rPr>
          <w:lang/>
        </w:rPr>
        <w:t>50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"_Toc510100171"</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_Toc510100171 \h </w:instrText>
      </w:r>
      <w:r>
        <w:rPr>
          <w:lang/>
        </w:rPr>
        <w:fldChar w:fldCharType="separate"/>
      </w:r>
      <w:r>
        <w:rPr>
          <w:lang/>
        </w:rPr>
        <w:t>51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"_Toc510100172"</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_Toc510100172 \h </w:instrText>
      </w:r>
      <w:r>
        <w:rPr>
          <w:lang/>
        </w:rPr>
        <w:fldChar w:fldCharType="separate"/>
      </w:r>
      <w:r>
        <w:rPr>
          <w:lang/>
        </w:rPr>
        <w:t>59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"_Toc510100173"</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_Toc510100173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"_Toc510100174"</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_Toc510100174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"_Toc510100175"</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_Toc510100175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"_Toc510100176"</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_Toc510100176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"_Toc510100177"</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_Toc510100177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"_Toc510100178"</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_Toc510100178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"_Toc510100179"</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_Toc510100179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"_Toc510100180"</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_Toc510100180 \h </w:instrText>
      </w:r>
      <w:r>
        <w:rPr>
          <w:lang/>
        </w:rPr>
        <w:fldChar w:fldCharType="separate"/>
      </w:r>
      <w:r>
        <w:rPr>
          <w:lang/>
        </w:rPr>
        <w:t>73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"_Toc510100181"</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_Toc510100181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"_Toc510100182"</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_Toc510100182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"_Toc510100183"</w:instrText>
      </w:r>
      <w:r>
        <w:rPr>
          <w:rStyle w:val="11"/>
          <w:lang/>
        </w:rPr>
        <w:instrText xml:space="preserve"> </w:instrText>
      </w:r>
      <w:r>
        <w:rPr>
          <w:rStyle w:val="11"/>
          <w:lang/>
        </w:rPr>
        <w:fldChar w:fldCharType="separate"/>
      </w:r>
      <w:r>
        <w:rPr>
          <w:rStyle w:val="11"/>
          <w:b/>
          <w:lang/>
        </w:rPr>
        <w:t>9.2</w:t>
      </w:r>
      <w:r>
        <w:rPr>
          <w:rStyle w:val="11"/>
          <w:rFonts w:hint="eastAsia"/>
          <w:b/>
          <w:lang/>
        </w:rPr>
        <w:t>期末基金管理人的从业人员持有本基金的情况</w:t>
      </w:r>
      <w:r>
        <w:rPr>
          <w:lang/>
        </w:rPr>
        <w:tab/>
      </w:r>
      <w:r>
        <w:rPr>
          <w:lang/>
        </w:rPr>
        <w:fldChar w:fldCharType="begin"/>
      </w:r>
      <w:r>
        <w:rPr>
          <w:lang/>
        </w:rPr>
        <w:instrText xml:space="preserve"> PAGEREF _Toc510100183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"_Toc510100184"</w:instrText>
      </w:r>
      <w:r>
        <w:rPr>
          <w:rStyle w:val="11"/>
          <w:lang/>
        </w:rPr>
        <w:instrText xml:space="preserve"> </w:instrText>
      </w:r>
      <w:r>
        <w:rPr>
          <w:rStyle w:val="11"/>
          <w:lang/>
        </w:rPr>
        <w:fldChar w:fldCharType="separate"/>
      </w:r>
      <w:r>
        <w:rPr>
          <w:rStyle w:val="11"/>
          <w:b/>
          <w:bCs/>
          <w:lang/>
        </w:rPr>
        <w:t>9.3</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_Toc510100184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"_Toc510100185"</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_Toc510100185 \h </w:instrText>
      </w:r>
      <w:r>
        <w:rPr>
          <w:lang/>
        </w:rPr>
        <w:fldChar w:fldCharType="separate"/>
      </w:r>
      <w:r>
        <w:rPr>
          <w:lang/>
        </w:rPr>
        <w:t>76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"_Toc510100186"</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_Toc510100186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"_Toc510100187"</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_Toc510100187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"_Toc510100188"</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_Toc510100188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"_Toc510100189"</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_Toc510100189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"_Toc510100190"</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_Toc510100190 \h </w:instrText>
      </w:r>
      <w:r>
        <w:rPr>
          <w:lang/>
        </w:rPr>
        <w:fldChar w:fldCharType="separate"/>
      </w:r>
      <w:r>
        <w:rPr>
          <w:lang/>
        </w:rPr>
        <w:t>76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"_Toc510100191"</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_Toc510100191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"_Toc510100192"</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_Toc510100192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"_Toc510100193"</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_Toc510100193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"_Toc510100194"</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_Toc510100194 \h </w:instrText>
      </w:r>
      <w:r>
        <w:rPr>
          <w:lang/>
        </w:rPr>
        <w:fldChar w:fldCharType="separate"/>
      </w:r>
      <w:r>
        <w:rPr>
          <w:lang/>
        </w:rPr>
        <w:t>80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"_Toc510100195"</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_Toc510100195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"_Toc510100196"</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_Toc510100196 \h </w:instrText>
      </w:r>
      <w:r>
        <w:rPr>
          <w:lang/>
        </w:rPr>
        <w:fldChar w:fldCharType="separate"/>
      </w:r>
      <w:r>
        <w:rPr>
          <w:lang/>
        </w:rPr>
        <w:t>84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"_Toc510100197"</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_Toc510100197 \h </w:instrText>
      </w:r>
      <w:r>
        <w:rPr>
          <w:lang/>
        </w:rPr>
        <w:fldChar w:fldCharType="separate"/>
      </w:r>
      <w:r>
        <w:rPr>
          <w:lang/>
        </w:rPr>
        <w:t>85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"_Toc510100198"</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_Toc510100198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"_Toc510100199"</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rStyle w:val="11"/>
          <w:lang/>
        </w:rPr>
        <w:t>.</w:t>
      </w:r>
      <w:r>
        <w:rPr>
          <w:lang/>
        </w:rPr>
        <w:tab/>
      </w:r>
      <w:r>
        <w:rPr>
          <w:lang/>
        </w:rPr>
        <w:fldChar w:fldCharType="begin"/>
      </w:r>
      <w:r>
        <w:rPr>
          <w:lang/>
        </w:rPr>
        <w:instrText xml:space="preserve"> PAGEREF _Toc510100199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"_Toc510100200"</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_Toc510100200 \h </w:instrText>
      </w:r>
      <w:r>
        <w:rPr>
          <w:lang/>
        </w:rPr>
        <w:fldChar w:fldCharType="separate"/>
      </w:r>
      <w:r>
        <w:rPr>
          <w:lang/>
        </w:rPr>
        <w:t>85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"_Toc510100201"</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_Toc510100201 \h </w:instrText>
      </w:r>
      <w:r>
        <w:rPr>
          <w:lang/>
        </w:rPr>
        <w:fldChar w:fldCharType="separate"/>
      </w:r>
      <w:r>
        <w:rPr>
          <w:lang/>
        </w:rPr>
        <w:t>85</w:t>
      </w:r>
      <w:r>
        <w:rPr>
          <w:lang/>
        </w:rPr>
        <w:fldChar w:fldCharType="end"/>
      </w:r>
      <w:r>
        <w:rPr>
          <w:rStyle w:val="11"/>
          <w:lang/>
        </w:rPr>
        <w:fldChar w:fldCharType="end"/>
      </w:r>
    </w:p>
    <w:p>
      <w:pPr>
        <w:widowControl/>
        <w:jc w:val="left"/>
        <w:rPr>
          <w:rFonts w:hint="eastAsia" w:ascii="宋体" w:hAnsi="宋体" w:cs="宋体"/>
          <w:kern w:val="0"/>
          <w:sz w:val="24"/>
          <w:szCs w:val="24"/>
        </w:rPr>
      </w:pPr>
      <w:r>
        <w:rPr>
          <w:rFonts w:ascii="宋体" w:hAnsi="宋体" w:cs="宋体"/>
          <w:kern w:val="0"/>
          <w:sz w:val="24"/>
          <w:szCs w:val="24"/>
        </w:rPr>
        <w:fldChar w:fldCharType="end"/>
      </w:r>
      <w:r>
        <w:rPr>
          <w:rFonts w:hint="eastAsia" w:ascii="宋体" w:hAnsi="宋体" w:cs="宋体"/>
          <w:kern w:val="0"/>
          <w:sz w:val="24"/>
          <w:szCs w:val="24"/>
        </w:rPr>
        <w:t xml:space="preserve"> </w:t>
      </w:r>
      <w:r>
        <w:rPr>
          <w:rFonts w:ascii="Times New Roman" w:hAnsi="Times New Roman"/>
          <w:sz w:val="24"/>
          <w:szCs w:val="24"/>
        </w:rPr>
        <w:br w:type="page"/>
      </w:r>
    </w:p>
    <w:p>
      <w:pPr>
        <w:pStyle w:val="13"/>
        <w:rPr>
          <w:rFonts w:hint="eastAsia"/>
        </w:rPr>
      </w:pPr>
      <w:bookmarkStart w:id="3" w:name="_Toc510100136"/>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510100137"/>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2017年03月27日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134,987,531.05份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004360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76,565,435.10份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58,422,095.95份</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14"/>
      </w:pPr>
      <w:bookmarkStart w:id="5" w:name="_Toc510100138"/>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沪深300指数收益率×80%+中债综合财富（总值）指数收益率×20%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  本基金为混合型基金，长期来看，其预期风险与预期收益水平高于债券型基金和货币市场基金，低于股票型基金。</w:t>
            </w:r>
            <w:r>
              <w:rPr>
                <w:rFonts w:hint="eastAsia"/>
              </w:rPr>
              <w:br w:type="textWrapping"/>
            </w:r>
            <w:r>
              <w:rPr>
                <w:rFonts w:hint="eastAsia"/>
              </w:rPr>
              <w:t>  </w:t>
            </w:r>
          </w:p>
        </w:tc>
      </w:tr>
      <w:tr>
        <w:tblPrEx>
          <w:tblCellMar>
            <w:top w:w="0" w:type="dxa"/>
            <w:left w:w="108" w:type="dxa"/>
            <w:bottom w:w="0" w:type="dxa"/>
            <w:right w:w="108" w:type="dxa"/>
          </w:tblCellMar>
        </w:tblPrEx>
        <w:trPr>
          <w:wBefore w:w="0" w:type="auto"/>
        </w:trPr>
        <w:tc>
          <w:tcPr>
            <w:tcW w:w="0" w:type="auto"/>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c>
          <w:tcPr>
            <w:tcW w:w="0" w:type="auto"/>
            <w:tcBorders>
              <w:top w:val="single" w:color="000000" w:sz="2" w:space="0"/>
              <w:left w:val="single" w:color="000000" w:sz="2" w:space="0"/>
              <w:bottom w:val="single" w:color="000000" w:sz="2" w:space="0"/>
              <w:right w:val="single" w:color="000000" w:sz="2" w:space="0"/>
            </w:tcBorders>
            <w:noWrap w:val="0"/>
            <w:vAlign w:val="center"/>
          </w:tcPr>
          <w:p>
            <w:pPr>
              <w:widowControl/>
              <w:wordWrap w:val="0"/>
              <w:jc w:val="left"/>
              <w:rPr>
                <w:kern w:val="0"/>
                <w:sz w:val="20"/>
                <w:szCs w:val="20"/>
              </w:rPr>
            </w:pPr>
          </w:p>
        </w:tc>
      </w:tr>
    </w:tbl>
    <w:p>
      <w:pPr>
        <w:pStyle w:val="14"/>
      </w:pPr>
      <w:bookmarkStart w:id="6" w:name="_Toc510100139"/>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 1号A栋201 室</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510100140"/>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证券日报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14"/>
        <w:rPr>
          <w:rFonts w:hint="eastAsia"/>
        </w:rPr>
      </w:pPr>
      <w:bookmarkStart w:id="8" w:name="_Toc510100141"/>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r>
        <w:tblPrEx>
          <w:tblCellMar>
            <w:top w:w="0" w:type="dxa"/>
            <w:left w:w="108" w:type="dxa"/>
            <w:bottom w:w="0" w:type="dxa"/>
            <w:right w:w="108" w:type="dxa"/>
          </w:tblCellMar>
        </w:tblPrEx>
        <w:trPr>
          <w:wBefore w:w="0" w:type="auto"/>
        </w:trPr>
        <w:tc>
          <w:tcPr>
            <w:tcW w:w="0" w:type="auto"/>
            <w:gridSpan w:val="3"/>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13"/>
      </w:pPr>
      <w:bookmarkStart w:id="9" w:name="_Toc510100142"/>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510100143"/>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637"/>
        <w:gridCol w:w="2760"/>
        <w:gridCol w:w="2760"/>
        <w:gridCol w:w="222"/>
        <w:gridCol w:w="222"/>
        <w:gridCol w:w="222"/>
        <w:gridCol w:w="222"/>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本期2017年03月27日（基金合同生效日）- 2017年12月31日 </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23,455,770.37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16,421,110.58</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22,069,074.07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20,656,477.60</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0.0793</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9,466,589.19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6,693,440.56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86,032,024.29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65,115,536.51</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2017年末</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c>
          <w:tcPr>
            <w:tcW w:w="6" w:type="dxa"/>
            <w:gridSpan w:val="2"/>
            <w:tcBorders>
              <w:top w:val="nil"/>
              <w:left w:val="nil"/>
              <w:bottom w:val="nil"/>
              <w:right w:val="nil"/>
            </w:tcBorders>
            <w:noWrap w:val="0"/>
            <w:tcMar>
              <w:top w:w="0" w:type="dxa"/>
              <w:left w:w="0" w:type="dxa"/>
              <w:bottom w:w="0" w:type="dxa"/>
              <w:right w:w="0" w:type="dxa"/>
            </w:tcMar>
            <w:vAlign w:val="center"/>
          </w:tcPr>
          <w:p>
            <w:pPr>
              <w:pStyle w:val="18"/>
              <w:wordWrap w:val="0"/>
              <w:rPr>
                <w:rFonts w:hint="eastAsia"/>
                <w:vanish/>
              </w:rPr>
            </w:pPr>
            <w:r>
              <w:rPr>
                <w:rFonts w:hint="eastAsia"/>
                <w:vanish/>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11.46%</w:t>
            </w: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4.本基金合同生效日为2017年3月27日，截至报告期末，本基金成立不满一年。合同生效当期的相关数据和指标按实际存续期计算。</w:t>
      </w:r>
    </w:p>
    <w:p>
      <w:pPr>
        <w:pStyle w:val="14"/>
        <w:rPr>
          <w:rFonts w:hint="eastAsia"/>
        </w:rPr>
      </w:pPr>
      <w:bookmarkStart w:id="11" w:name="_Toc510100144"/>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17"/>
      </w:pPr>
      <w:r>
        <w:rPr>
          <w:rFonts w:hint="eastAsia" w:hAnsi="Calibri"/>
          <w:color w:val="000000"/>
        </w:rPr>
        <w:t>创金合信量化核心混合A</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7"/>
        <w:rPr>
          <w:rFonts w:hint="eastAsia"/>
        </w:rPr>
      </w:pPr>
      <w:r>
        <w:rPr>
          <w:rFonts w:hint="eastAsia" w:hAnsi="Calibri"/>
          <w:color w:val="000000"/>
        </w:rPr>
        <w:t>创金合信量化核心混合C</w:t>
      </w:r>
    </w:p>
    <w:tbl>
      <w:tblPr>
        <w:tblStyle w:val="7"/>
        <w:tblW w:w="0" w:type="auto"/>
        <w:jc w:val="center"/>
        <w:tblLayout w:type="autofit"/>
        <w:tblCellMar>
          <w:top w:w="0" w:type="dxa"/>
          <w:left w:w="108" w:type="dxa"/>
          <w:bottom w:w="0" w:type="dxa"/>
          <w:right w:w="108" w:type="dxa"/>
        </w:tblCellMar>
      </w:tblPr>
      <w:tblGrid>
        <w:gridCol w:w="1477"/>
        <w:gridCol w:w="951"/>
        <w:gridCol w:w="950"/>
        <w:gridCol w:w="1299"/>
        <w:gridCol w:w="1543"/>
        <w:gridCol w:w="1543"/>
        <w:gridCol w:w="1543"/>
      </w:tblGrid>
      <w:tr>
        <w:tblPrEx>
          <w:tblCellMar>
            <w:top w:w="0" w:type="dxa"/>
            <w:left w:w="108" w:type="dxa"/>
            <w:bottom w:w="0" w:type="dxa"/>
            <w:right w:w="108" w:type="dxa"/>
          </w:tblCellMar>
        </w:tblPrEx>
        <w:trPr>
          <w:wBefore w:w="0" w:type="auto"/>
          <w:jc w:val="center"/>
        </w:trPr>
        <w:tc>
          <w:tcPr>
            <w:tcW w:w="200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0.03%</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bl>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恒生系统安装\B13\Bin\MOD\TMP\CN_50990000_004359_FB010010_20180002_2.jpg" type="#_x0000_t75" style="height:286.2pt;width:441pt;" filled="f" stroked="f" coordsize="21600,21600">
            <v:path/>
            <v:fill on="f" focussize="0,0"/>
            <v:stroke on="f"/>
            <v:imagedata r:id="rId10" grayscale="f" bilevel="f" o:title="CN_50990000_004359_FB010010_20180002_2"/>
            <o:lock v:ext="edit" grouping="f" rotation="f" aspectratio="t"/>
            <w10:wrap type="none"/>
            <w10:anchorlock/>
          </v:shape>
        </w:pict>
      </w:r>
    </w:p>
    <w:p>
      <w:pPr>
        <w:pStyle w:val="17"/>
        <w:rPr>
          <w:rFonts w:hint="eastAsia"/>
        </w:rPr>
      </w:pPr>
      <w:r>
        <w:rPr>
          <w:rFonts w:hAnsi="Calibri"/>
          <w:color w:val="000000"/>
          <w:lang/>
        </w:rPr>
        <w:pict>
          <v:shape id="_x0000_i1026" o:spt="75" alt="D:\恒生系统安装\B13\Bin\MOD\TMP\CN_50990000_004359_FB010010_20180002_3.jpg" type="#_x0000_t75" style="height:286.2pt;width:441pt;" filled="f" stroked="f" coordsize="21600,21600">
            <v:path/>
            <v:fill on="f" focussize="0,0"/>
            <v:stroke on="f"/>
            <v:imagedata r:id="rId11" grayscale="f" bilevel="f" o:title="CN_50990000_004359_FB010010_20180002_3"/>
            <o:lock v:ext="edit" grouping="f" rotation="f" aspectratio="t"/>
            <w10:wrap type="none"/>
            <w10:anchorlock/>
          </v:shape>
        </w:pict>
      </w: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恒生系统安装\B13\Bin\MOD\TMP\CN_50990000_004359_FB010010_20180002_4.jpg" type="#_x0000_t75" style="height:285.95pt;width:440.6pt;" filled="f" stroked="f" coordsize="21600,21600">
            <v:path/>
            <v:fill on="f" focussize="0,0"/>
            <v:stroke on="f"/>
            <v:imagedata r:id="rId12" grayscale="f" bilevel="f" o:title="CN_50990000_004359_FB010010_20180002_4"/>
            <o:lock v:ext="edit" grouping="f" rotation="f" aspectratio="t"/>
            <w10:wrap type="none"/>
            <w10:anchorlock/>
          </v:shape>
        </w:pict>
      </w:r>
    </w:p>
    <w:p>
      <w:pPr>
        <w:pStyle w:val="17"/>
        <w:rPr>
          <w:rFonts w:hint="eastAsia"/>
        </w:rPr>
      </w:pPr>
      <w:r>
        <w:rPr>
          <w:rFonts w:hAnsi="Calibri"/>
          <w:color w:val="000000"/>
          <w:lang/>
        </w:rPr>
        <w:pict>
          <v:shape id="_x0000_i1028" o:spt="75" alt="D:\恒生系统安装\B13\Bin\MOD\TMP\CN_50990000_004359_FB010010_20180002_5.jpg" type="#_x0000_t75" style="height:285.95pt;width:440.6pt;" filled="f" stroked="f" coordsize="21600,21600">
            <v:path/>
            <v:fill on="f" focussize="0,0"/>
            <v:stroke on="f"/>
            <v:imagedata r:id="rId13" grayscale="f" bilevel="f" o:title="CN_50990000_004359_FB010010_20180002_5"/>
            <o:lock v:ext="edit" grouping="f" rotation="f" aspectratio="t"/>
            <w10:wrap type="none"/>
            <w10:anchorlock/>
          </v:shape>
        </w:pict>
      </w:r>
    </w:p>
    <w:p>
      <w:pPr>
        <w:pStyle w:val="14"/>
        <w:rPr>
          <w:rFonts w:hint="eastAsia"/>
        </w:rPr>
      </w:pPr>
      <w:bookmarkStart w:id="12" w:name="_Toc510100145"/>
      <w:r>
        <w:rPr>
          <w:rFonts w:hint="eastAsia" w:hAnsi="Calibri"/>
          <w:b/>
          <w:color w:val="000000"/>
        </w:rPr>
        <w:t>3.3 过去三年基金的利润分配情况</w:t>
      </w:r>
      <w:bookmarkEnd w:id="12"/>
    </w:p>
    <w:p>
      <w:pPr>
        <w:pStyle w:val="20"/>
        <w:rPr>
          <w:rFonts w:hint="eastAsia"/>
        </w:rPr>
      </w:pPr>
      <w:r>
        <w:rPr>
          <w:rFonts w:hint="eastAsia"/>
        </w:rPr>
        <w:t>本基金自基金合同生效日（2017年3月27日）至本报告期末未发生利润分配。</w:t>
      </w:r>
    </w:p>
    <w:p>
      <w:pPr>
        <w:pStyle w:val="13"/>
        <w:rPr>
          <w:rFonts w:hint="eastAsia"/>
        </w:rPr>
      </w:pPr>
      <w:bookmarkStart w:id="13" w:name="_Toc510100146"/>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510100147"/>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rPr>
          <w:rFonts w:hint="eastAsia"/>
        </w:rPr>
      </w:pPr>
      <w:r>
        <w:rPr>
          <w:rFonts w:hint="eastAsia"/>
        </w:rPr>
        <w:t>  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r>
        <w:rPr>
          <w:rFonts w:hint="eastAsia"/>
        </w:rPr>
        <w:br w:type="textWrapping"/>
      </w:r>
      <w:r>
        <w:rPr>
          <w:rFonts w:hint="eastAsia"/>
        </w:rPr>
        <w:t>  公司始终坚持"客户利益至上"，致力于为客户实现长期稳定的投资回报，做客户投资理财的亲密伙伴。</w:t>
      </w:r>
      <w:r>
        <w:rPr>
          <w:rFonts w:hint="eastAsia"/>
        </w:rPr>
        <w:br w:type="textWrapping"/>
      </w:r>
      <w:r>
        <w:rPr>
          <w:rFonts w:hint="eastAsia"/>
        </w:rPr>
        <w:t>  报告期内，本公司共发行8只公募基金。截至2017年12月31日，本公司共管理29只公募基金，其中混合型产品11只、指数型产品4只、债券型产品8只、股票型产品4只、货币型产品1只、保本型产品1只；管理的公募基金规模约149.41亿元。</w:t>
      </w: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1103"/>
        <w:gridCol w:w="1196"/>
        <w:gridCol w:w="1196"/>
        <w:gridCol w:w="1196"/>
        <w:gridCol w:w="1104"/>
        <w:gridCol w:w="3403"/>
      </w:tblGrid>
      <w:tr>
        <w:tblPrEx>
          <w:tblCellMar>
            <w:top w:w="0" w:type="dxa"/>
            <w:left w:w="108" w:type="dxa"/>
            <w:bottom w:w="0" w:type="dxa"/>
            <w:right w:w="108" w:type="dxa"/>
          </w:tblCellMar>
        </w:tblPrEx>
        <w:trPr>
          <w:wBefore w:w="0" w:type="auto"/>
        </w:trPr>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6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3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241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6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先生，中国国籍，复旦大学硕士。曾在中信证券股份有限公司从事研究工作。2012年2月加入华安基金管理有限公司后从事量化分析与投资工作。2013年11月起担任华安沪深300量化增强证券投资基金的基金经理助理，2015年1月21日至2017年1月26日担任华安沪深300量化增强证券投资基金基金经理。2017年5月加入创金合信基金，现任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pStyle w:val="14"/>
        <w:rPr>
          <w:rFonts w:hint="eastAsia"/>
        </w:rPr>
      </w:pPr>
      <w:bookmarkStart w:id="15" w:name="_Toc510100148"/>
      <w:r>
        <w:rPr>
          <w:rFonts w:hint="eastAsia"/>
          <w:b/>
          <w:bCs/>
        </w:rPr>
        <w:t>4.2 管理人对报告期内本基金运作遵规守信情况的说明</w:t>
      </w:r>
      <w:bookmarkEnd w:id="15"/>
    </w:p>
    <w:p>
      <w:pPr>
        <w:pStyle w:val="20"/>
        <w:rPr>
          <w:rFonts w:hint="eastAsia"/>
        </w:rPr>
      </w:pPr>
      <w:r>
        <w:rPr>
          <w:rFonts w:hint="eastAsia"/>
        </w:rPr>
        <w:t>  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4"/>
        <w:rPr>
          <w:rFonts w:hint="eastAsia"/>
        </w:rPr>
      </w:pPr>
      <w:bookmarkStart w:id="16" w:name="_Toc510100149"/>
      <w:r>
        <w:rPr>
          <w:rFonts w:hint="eastAsia"/>
          <w:b/>
          <w:bCs/>
        </w:rPr>
        <w:t>4.3 管理人对报告期内公平交易情况的专项说明</w:t>
      </w:r>
      <w:bookmarkEnd w:id="16"/>
    </w:p>
    <w:p>
      <w:pPr>
        <w:pStyle w:val="15"/>
        <w:rPr>
          <w:rFonts w:hint="eastAsia"/>
        </w:rPr>
      </w:pPr>
      <w:r>
        <w:rPr>
          <w:rFonts w:hint="eastAsia"/>
          <w:b/>
          <w:bCs/>
        </w:rPr>
        <w:t>4.3.1 公平交易制度和控制方法</w:t>
      </w:r>
    </w:p>
    <w:p>
      <w:pPr>
        <w:pStyle w:val="20"/>
        <w:rPr>
          <w:rFonts w:hint="eastAsia"/>
        </w:rPr>
      </w:pPr>
      <w:r>
        <w:rPr>
          <w:rFonts w:hint="eastAsia"/>
        </w:rPr>
        <w:t>  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r>
        <w:rPr>
          <w:rFonts w:hint="eastAsia"/>
        </w:rPr>
        <w:br w:type="textWrapping"/>
      </w:r>
      <w:r>
        <w:rPr>
          <w:rFonts w:hint="eastAsia"/>
        </w:rPr>
        <w:t>  1、授权、研究分析与投资决策的内部控制</w:t>
      </w:r>
      <w:r>
        <w:rPr>
          <w:rFonts w:hint="eastAsia"/>
        </w:rPr>
        <w:br w:type="textWrapping"/>
      </w:r>
      <w:r>
        <w:rPr>
          <w:rFonts w:hint="eastAsia"/>
        </w:rPr>
        <w:t>  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r>
        <w:rPr>
          <w:rFonts w:hint="eastAsia"/>
        </w:rPr>
        <w:br w:type="textWrapping"/>
      </w:r>
      <w:r>
        <w:rPr>
          <w:rFonts w:hint="eastAsia"/>
        </w:rPr>
        <w:t>  2、交易执行的内部控制</w:t>
      </w:r>
      <w:r>
        <w:rPr>
          <w:rFonts w:hint="eastAsia"/>
        </w:rPr>
        <w:br w:type="textWrapping"/>
      </w:r>
      <w:r>
        <w:rPr>
          <w:rFonts w:hint="eastAsia"/>
        </w:rPr>
        <w:t>  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r>
        <w:rPr>
          <w:rFonts w:hint="eastAsia"/>
        </w:rPr>
        <w:br w:type="textWrapping"/>
      </w:r>
      <w:r>
        <w:rPr>
          <w:rFonts w:hint="eastAsia"/>
        </w:rPr>
        <w:t>  3、交易指令分配的控制</w:t>
      </w:r>
      <w:r>
        <w:rPr>
          <w:rFonts w:hint="eastAsia"/>
        </w:rPr>
        <w:br w:type="textWrapping"/>
      </w:r>
      <w:r>
        <w:rPr>
          <w:rFonts w:hint="eastAsia"/>
        </w:rPr>
        <w:t>  所有投资对象的投资指令必须经由交易室总监或其授权人审核后分配至交易员执行。</w:t>
      </w:r>
      <w:r>
        <w:rPr>
          <w:rFonts w:hint="eastAsia"/>
        </w:rPr>
        <w:br w:type="textWrapping"/>
      </w:r>
      <w:r>
        <w:rPr>
          <w:rFonts w:hint="eastAsia"/>
        </w:rPr>
        <w:t>  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r>
        <w:rPr>
          <w:rFonts w:hint="eastAsia"/>
        </w:rPr>
        <w:br w:type="textWrapping"/>
      </w:r>
      <w:r>
        <w:rPr>
          <w:rFonts w:hint="eastAsia"/>
        </w:rPr>
        <w:t>  4、公平交易监控</w:t>
      </w:r>
      <w:r>
        <w:rPr>
          <w:rFonts w:hint="eastAsia"/>
        </w:rPr>
        <w:br w:type="textWrapping"/>
      </w:r>
      <w:r>
        <w:rPr>
          <w:rFonts w:hint="eastAsia"/>
        </w:rPr>
        <w:t>  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b/>
          <w:bCs/>
        </w:rPr>
        <w:t>4.3.2 公平交易制度的执行情况</w:t>
      </w:r>
    </w:p>
    <w:p>
      <w:pPr>
        <w:pStyle w:val="20"/>
        <w:rPr>
          <w:rFonts w:hint="eastAsia"/>
        </w:rPr>
      </w:pPr>
      <w:r>
        <w:rPr>
          <w:rFonts w:hint="eastAsia"/>
        </w:rPr>
        <w:t>  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b/>
          <w:bCs/>
        </w:rPr>
        <w:t>4.3.3 异常交易行为的专项说明</w:t>
      </w:r>
    </w:p>
    <w:p>
      <w:pPr>
        <w:pStyle w:val="20"/>
        <w:rPr>
          <w:rFonts w:hint="eastAsia"/>
        </w:rPr>
      </w:pPr>
      <w:r>
        <w:rPr>
          <w:rFonts w:hint="eastAsia"/>
        </w:rPr>
        <w:t>  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510100150"/>
      <w:r>
        <w:rPr>
          <w:rFonts w:hint="eastAsia"/>
          <w:b/>
          <w:bCs/>
        </w:rPr>
        <w:t>4.4 管理人对报告期内基金的投资策略和业绩表现的说明</w:t>
      </w:r>
      <w:bookmarkEnd w:id="17"/>
    </w:p>
    <w:p>
      <w:pPr>
        <w:widowControl/>
        <w:jc w:val="left"/>
        <w:rPr>
          <w:rFonts w:hint="eastAsia" w:ascii="宋体" w:hAnsi="宋体" w:cs="宋体"/>
          <w:kern w:val="0"/>
          <w:sz w:val="24"/>
          <w:szCs w:val="24"/>
        </w:rPr>
      </w:pPr>
    </w:p>
    <w:p>
      <w:pPr>
        <w:pStyle w:val="15"/>
        <w:rPr>
          <w:rFonts w:hint="eastAsia"/>
        </w:rPr>
      </w:pPr>
      <w:r>
        <w:rPr>
          <w:rFonts w:hint="eastAsia"/>
          <w:b/>
          <w:bCs/>
        </w:rPr>
        <w:t>4.4.1 报告期内基金投资策略和运作分析</w:t>
      </w:r>
    </w:p>
    <w:p>
      <w:pPr>
        <w:pStyle w:val="20"/>
        <w:rPr>
          <w:rFonts w:hint="eastAsia"/>
        </w:rPr>
      </w:pPr>
      <w:r>
        <w:rPr>
          <w:rFonts w:hint="eastAsia"/>
        </w:rPr>
        <w:t>  回顾2017年，我们严格依据量化模型进行投资，并严格进行风险管理。一方面，我们按照量化选股模型进行股票组合构建；另一方面，仓位管理上，我们按照量化择时模型进行操作。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b/>
          <w:bCs/>
        </w:rPr>
        <w:t>4.4.2 报告期内基金的业绩表现</w:t>
      </w:r>
    </w:p>
    <w:p>
      <w:pPr>
        <w:pStyle w:val="20"/>
        <w:rPr>
          <w:rFonts w:hint="eastAsia"/>
        </w:rPr>
      </w:pPr>
      <w:r>
        <w:rPr>
          <w:rFonts w:hint="eastAsia"/>
        </w:rPr>
        <w:t>  截至报告期末创金合信量化核心混合A基金份额净值为1.1236元;本报告期内，基金份额净值增长率为12.36%，同期业绩比较基准收益率为12.46%;截至报告期末创金合信量化核心混合C基金份额净值为1.1146元;本报告期内，基金份额净值增长率为11.46%，同期业绩比较基准收益率为12.46%。</w:t>
      </w:r>
    </w:p>
    <w:p>
      <w:pPr>
        <w:widowControl/>
        <w:jc w:val="left"/>
        <w:rPr>
          <w:rFonts w:hint="eastAsia" w:ascii="宋体" w:hAnsi="宋体" w:cs="宋体"/>
          <w:kern w:val="0"/>
          <w:sz w:val="24"/>
          <w:szCs w:val="24"/>
        </w:rPr>
      </w:pPr>
    </w:p>
    <w:p>
      <w:pPr>
        <w:pStyle w:val="14"/>
        <w:rPr>
          <w:rFonts w:hint="eastAsia"/>
        </w:rPr>
      </w:pPr>
      <w:bookmarkStart w:id="18" w:name="_Toc510100151"/>
      <w:r>
        <w:rPr>
          <w:rFonts w:hint="eastAsia"/>
          <w:b/>
          <w:bCs/>
        </w:rPr>
        <w:t>4.5 管理人对宏观经济、证券市场及行业走势的简要展望</w:t>
      </w:r>
      <w:bookmarkEnd w:id="18"/>
    </w:p>
    <w:p>
      <w:pPr>
        <w:pStyle w:val="20"/>
        <w:rPr>
          <w:rFonts w:hint="eastAsia"/>
        </w:rPr>
      </w:pPr>
      <w:r>
        <w:rPr>
          <w:rFonts w:hint="eastAsia"/>
        </w:rPr>
        <w:t>  从宏观上看，经济基本面韧性较强，全年增长率超预期。考虑到在房地产政策趋紧的情况下，房地产成交量萎缩，投资房市的资金需要重新配置，在海外投资受限的情况下，权益类资产有望在投资者投资配置中提升权重。从投资情绪来看，市场已在一定程度地回暖，投资者风险偏好提升，爆款基金密集发行，增量资金入市情况明显。</w:t>
      </w:r>
    </w:p>
    <w:p>
      <w:pPr>
        <w:widowControl/>
        <w:jc w:val="left"/>
        <w:rPr>
          <w:rFonts w:hint="eastAsia" w:ascii="宋体" w:hAnsi="宋体" w:cs="宋体"/>
          <w:kern w:val="0"/>
          <w:sz w:val="24"/>
          <w:szCs w:val="24"/>
        </w:rPr>
      </w:pPr>
    </w:p>
    <w:p>
      <w:pPr>
        <w:pStyle w:val="14"/>
        <w:rPr>
          <w:rFonts w:hint="eastAsia"/>
        </w:rPr>
      </w:pPr>
      <w:bookmarkStart w:id="19" w:name="_Toc510100152"/>
      <w:r>
        <w:rPr>
          <w:rFonts w:hint="eastAsia"/>
          <w:b/>
          <w:bCs/>
        </w:rPr>
        <w:t>4.6 管理人内部有关本基金的监察稽核工作情况</w:t>
      </w:r>
      <w:bookmarkEnd w:id="19"/>
    </w:p>
    <w:p>
      <w:pPr>
        <w:pStyle w:val="20"/>
        <w:rPr>
          <w:rFonts w:hint="eastAsia"/>
        </w:rPr>
      </w:pPr>
      <w:r>
        <w:rPr>
          <w:rFonts w:hint="eastAsia"/>
        </w:rPr>
        <w:t>  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r>
        <w:rPr>
          <w:rFonts w:hint="eastAsia"/>
        </w:rPr>
        <w:br w:type="textWrapping"/>
      </w:r>
      <w:r>
        <w:rPr>
          <w:rFonts w:hint="eastAsia"/>
        </w:rPr>
        <w:t>  本报告期内，本基金管理人的主要内部监察稽核工作如下：</w:t>
      </w:r>
      <w:r>
        <w:rPr>
          <w:rFonts w:hint="eastAsia"/>
        </w:rPr>
        <w:br w:type="textWrapping"/>
      </w:r>
      <w:r>
        <w:rPr>
          <w:rFonts w:hint="eastAsia"/>
        </w:rPr>
        <w:t>  （1）开展全面自查工作，排查各项业务活动中存在的问题或潜在的风险隐患，制定整改计划，并督促按计划完成整改；</w:t>
      </w:r>
      <w:r>
        <w:rPr>
          <w:rFonts w:hint="eastAsia"/>
        </w:rPr>
        <w:br w:type="textWrapping"/>
      </w:r>
      <w:r>
        <w:rPr>
          <w:rFonts w:hint="eastAsia"/>
        </w:rPr>
        <w:t>  （2）开展公司专项稽核工作，了解合规风险现状、发现薄弱环节，并持续督导改进；</w:t>
      </w:r>
      <w:r>
        <w:rPr>
          <w:rFonts w:hint="eastAsia"/>
        </w:rPr>
        <w:br w:type="textWrapping"/>
      </w:r>
      <w:r>
        <w:rPr>
          <w:rFonts w:hint="eastAsia"/>
        </w:rPr>
        <w:t>  （3）强化合规法务工作。严格审核公司业务、产品及其合同等法律文件，解读最新的法律法规，发布合规提示或警示，举办合规培训；</w:t>
      </w:r>
      <w:r>
        <w:rPr>
          <w:rFonts w:hint="eastAsia"/>
        </w:rPr>
        <w:br w:type="textWrapping"/>
      </w:r>
      <w:r>
        <w:rPr>
          <w:rFonts w:hint="eastAsia"/>
        </w:rPr>
        <w:t>  （4）建立健全全面风险管理体系。全面梳理各业务部门的职责与权限，理顺工作流程；同时加强权限管理，健全事前、事中和事后的风险管理体系；</w:t>
      </w:r>
      <w:r>
        <w:rPr>
          <w:rFonts w:hint="eastAsia"/>
        </w:rPr>
        <w:br w:type="textWrapping"/>
      </w:r>
      <w:r>
        <w:rPr>
          <w:rFonts w:hint="eastAsia"/>
        </w:rPr>
        <w:t>  （5）完善信息披露工作。修订完善《信息披露制度》等制度，建立统一规范信息披露流程，明确各部门信息披露的职责分工，及时履行信息披露工作；</w:t>
      </w:r>
      <w:r>
        <w:rPr>
          <w:rFonts w:hint="eastAsia"/>
        </w:rPr>
        <w:br w:type="textWrapping"/>
      </w:r>
      <w:r>
        <w:rPr>
          <w:rFonts w:hint="eastAsia"/>
        </w:rPr>
        <w:t>  （6）加强关联交易管理。修订《关联交易管理制度》，履行关联交易决策审批程序；</w:t>
      </w:r>
      <w:r>
        <w:rPr>
          <w:rFonts w:hint="eastAsia"/>
        </w:rPr>
        <w:br w:type="textWrapping"/>
      </w:r>
      <w:r>
        <w:rPr>
          <w:rFonts w:hint="eastAsia"/>
        </w:rPr>
        <w:t>  （7）建立内幕交易防控机制。公司建立了《内幕交易防控管理办法》，定期开展关于防止内幕交易的合规培训，严防内幕信息传递和内幕交易发生；</w:t>
      </w:r>
      <w:r>
        <w:rPr>
          <w:rFonts w:hint="eastAsia"/>
        </w:rPr>
        <w:br w:type="textWrapping"/>
      </w:r>
      <w:r>
        <w:rPr>
          <w:rFonts w:hint="eastAsia"/>
        </w:rPr>
        <w:t>  （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r>
        <w:rPr>
          <w:rFonts w:hint="eastAsia"/>
        </w:rPr>
        <w:br w:type="textWrapping"/>
      </w:r>
      <w:r>
        <w:rPr>
          <w:rFonts w:hint="eastAsia"/>
        </w:rPr>
        <w:t>  （9）建立员工投资行为管理机制，规范员工的证券投资行为。</w:t>
      </w:r>
      <w:r>
        <w:rPr>
          <w:rFonts w:hint="eastAsia"/>
        </w:rPr>
        <w:br w:type="textWrapping"/>
      </w:r>
      <w:r>
        <w:rPr>
          <w:rFonts w:hint="eastAsia"/>
        </w:rPr>
        <w:t>  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510100153"/>
      <w:r>
        <w:rPr>
          <w:rFonts w:hint="eastAsia"/>
          <w:b/>
          <w:bCs/>
        </w:rPr>
        <w:t>4.7 管理人对报告期内基金估值程序等事项的说明</w:t>
      </w:r>
      <w:bookmarkEnd w:id="20"/>
    </w:p>
    <w:p>
      <w:pPr>
        <w:pStyle w:val="20"/>
        <w:rPr>
          <w:rFonts w:hint="eastAsia"/>
        </w:rPr>
      </w:pPr>
      <w:r>
        <w:rPr>
          <w:rFonts w:hint="eastAsia"/>
        </w:rPr>
        <w:t>  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r>
        <w:rPr>
          <w:rFonts w:hint="eastAsia"/>
        </w:rPr>
        <w:br w:type="textWrapping"/>
      </w:r>
      <w:r>
        <w:rPr>
          <w:rFonts w:hint="eastAsia"/>
        </w:rPr>
        <w:t>  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510100154"/>
      <w:r>
        <w:rPr>
          <w:rFonts w:hint="eastAsia"/>
          <w:b/>
          <w:bCs/>
        </w:rPr>
        <w:t>4.8 管理人对报告期内基金利润分配情况的说明</w:t>
      </w:r>
      <w:bookmarkEnd w:id="21"/>
    </w:p>
    <w:p>
      <w:pPr>
        <w:pStyle w:val="20"/>
        <w:rPr>
          <w:rFonts w:hint="eastAsia"/>
        </w:rPr>
      </w:pPr>
      <w:r>
        <w:rPr>
          <w:rFonts w:hint="eastAsia"/>
        </w:rPr>
        <w:t>  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510100155"/>
      <w:r>
        <w:rPr>
          <w:rFonts w:hint="eastAsia"/>
          <w:b/>
          <w:bCs/>
        </w:rPr>
        <w:t>4.9 报告期内管理人对本基金持有人数或基金资产净值预警情形的说明</w:t>
      </w:r>
      <w:bookmarkEnd w:id="22"/>
    </w:p>
    <w:p>
      <w:pPr>
        <w:pStyle w:val="20"/>
        <w:rPr>
          <w:rFonts w:hint="eastAsia"/>
        </w:rPr>
      </w:pPr>
      <w:r>
        <w:rPr>
          <w:rFonts w:hint="eastAsia"/>
        </w:rPr>
        <w:t>  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510100156"/>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510100157"/>
      <w:r>
        <w:rPr>
          <w:rFonts w:hint="eastAsia"/>
          <w:b/>
          <w:bCs/>
        </w:rPr>
        <w:t>5.1 报告期内本基金托管人遵规守信情况声明</w:t>
      </w:r>
      <w:bookmarkEnd w:id="24"/>
    </w:p>
    <w:p>
      <w:pPr>
        <w:pStyle w:val="20"/>
        <w:rPr>
          <w:rFonts w:hint="eastAsia"/>
        </w:rPr>
      </w:pPr>
      <w:r>
        <w:rPr>
          <w:rFonts w:hint="eastAsia"/>
        </w:rPr>
        <w:t>  本报告期内，本基金托管人在对创金合信量化核心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510100158"/>
      <w:r>
        <w:rPr>
          <w:rFonts w:hint="eastAsia"/>
          <w:b/>
          <w:bCs/>
        </w:rPr>
        <w:t>5.2 托管人对报告期内本基金投资运作遵规守信、净值计算、利润分配等情况的说明</w:t>
      </w:r>
      <w:bookmarkEnd w:id="25"/>
    </w:p>
    <w:p>
      <w:pPr>
        <w:pStyle w:val="20"/>
        <w:rPr>
          <w:rFonts w:hint="eastAsia"/>
        </w:rPr>
      </w:pPr>
      <w:r>
        <w:rPr>
          <w:rFonts w:hint="eastAsia"/>
        </w:rPr>
        <w:t>  本报告期内，创金合信量化核心混合型证券投资基金的管理人--创金合信基金管理有限公司在创金合信量化核心混合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510100159"/>
      <w:r>
        <w:rPr>
          <w:rFonts w:hint="eastAsia"/>
          <w:b/>
          <w:bCs/>
        </w:rPr>
        <w:t>5.3 托管人对本年度报告中财务信息等内容的真实、准确和完整发表意见</w:t>
      </w:r>
      <w:bookmarkEnd w:id="26"/>
    </w:p>
    <w:p>
      <w:pPr>
        <w:pStyle w:val="20"/>
        <w:rPr>
          <w:rFonts w:hint="eastAsia"/>
        </w:rPr>
      </w:pPr>
      <w:r>
        <w:rPr>
          <w:rFonts w:hint="eastAsia"/>
        </w:rPr>
        <w:t>  本托管人依法对创金合信基金管理有限公司编制和披露的创金合信量化核心混合型证券投资基金2017年年度报告中财务指标、净值表现、利润分配情况、财务会计报告、投资组合报告等内容进行了核查，以上内容真实、准确和完整。</w:t>
      </w:r>
    </w:p>
    <w:p>
      <w:pPr>
        <w:pStyle w:val="13"/>
        <w:rPr>
          <w:rFonts w:hint="eastAsia"/>
        </w:rPr>
      </w:pPr>
      <w:bookmarkStart w:id="27" w:name="_Toc510100160"/>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510100161"/>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普华永道中天审字(2018)第21823号</w:t>
            </w:r>
          </w:p>
        </w:tc>
      </w:tr>
    </w:tbl>
    <w:p>
      <w:pPr>
        <w:widowControl/>
        <w:jc w:val="left"/>
        <w:rPr>
          <w:rFonts w:hint="eastAsia" w:ascii="宋体" w:hAnsi="宋体" w:cs="宋体"/>
          <w:kern w:val="0"/>
          <w:sz w:val="24"/>
          <w:szCs w:val="24"/>
        </w:rPr>
      </w:pPr>
    </w:p>
    <w:p>
      <w:pPr>
        <w:pStyle w:val="14"/>
        <w:rPr>
          <w:rFonts w:hint="eastAsia"/>
        </w:rPr>
      </w:pPr>
      <w:bookmarkStart w:id="29" w:name="_Toc510100162"/>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核心混合型证券投资基金(以下简称"创金合信量化核心混合基金")的财务报表，包括2017年12月31日的资产负债表，2017年3月27日(基金合同生效日)至2017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核心混合基金2017年12月31日的财务状况以及2017年3月27日(基金合同生效日)至2017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按照中国注册会计师职业道德守则，我们独立于创金合信量化核心混合基金，并履行了职业道德方面的其他责任。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核心混合基金的持续经营能力，披露与持续经营相关的事项(如适用)，并运用持续经营假设，除非基金管理人管理层计划清算创金合信量化核心混合基金、终止运营或别无其他现实的选择。 基金管理人治理层负责监督创金合信量化核心混合基金的财务报告过程。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核心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核心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2018-03-27</w:t>
            </w:r>
          </w:p>
        </w:tc>
      </w:tr>
    </w:tbl>
    <w:p>
      <w:pPr>
        <w:pStyle w:val="13"/>
        <w:rPr>
          <w:rFonts w:hint="eastAsia"/>
        </w:rPr>
      </w:pPr>
      <w:bookmarkStart w:id="30" w:name="_Toc510100163"/>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510100164"/>
      <w:r>
        <w:rPr>
          <w:rFonts w:hint="eastAsia"/>
          <w:b/>
          <w:bCs/>
        </w:rPr>
        <w:t>7.1 资产负债表</w:t>
      </w:r>
      <w:bookmarkEnd w:id="31"/>
    </w:p>
    <w:p>
      <w:pPr>
        <w:pStyle w:val="17"/>
        <w:rPr>
          <w:rFonts w:hint="eastAsia"/>
        </w:rPr>
      </w:pPr>
      <w:r>
        <w:rPr>
          <w:rFonts w:hint="eastAsia"/>
        </w:rPr>
        <w:t>会计主体：创金合信量化核心混合型证券投资基金</w:t>
      </w:r>
    </w:p>
    <w:p>
      <w:pPr>
        <w:pStyle w:val="17"/>
        <w:rPr>
          <w:rFonts w:hint="eastAsia"/>
        </w:rPr>
      </w:pPr>
      <w:r>
        <w:rPr>
          <w:rFonts w:hint="eastAsia"/>
        </w:rPr>
        <w:t>报告截止日：2017年12月31日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052"/>
        <w:gridCol w:w="1520"/>
        <w:gridCol w:w="3548"/>
      </w:tblGrid>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206,259.95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实收基金</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288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bl>
    <w:p>
      <w:pPr>
        <w:pStyle w:val="20"/>
        <w:rPr>
          <w:rFonts w:hint="eastAsia"/>
        </w:rPr>
      </w:pPr>
      <w:r>
        <w:rPr>
          <w:rFonts w:hint="eastAsia"/>
        </w:rPr>
        <w:t>注：1.报告截止日2017年12月31日,基金份额总额134,987,531.05份,其中下属A类基金份额76,565,435.10份,C类基金份额58,422,095.95份。下属A类基金份额净值1.1236元,C类基金份额净值1.1146元。</w:t>
      </w:r>
      <w:r>
        <w:rPr>
          <w:rFonts w:hint="eastAsia"/>
        </w:rPr>
        <w:br w:type="textWrapping"/>
      </w:r>
      <w:r>
        <w:rPr>
          <w:rFonts w:hint="eastAsia"/>
        </w:rPr>
        <w:t>2.本基金合同生效日为2017年3月27日,2017年年度实际报告期间为2017年3月27日至2017年12月31日。截至报告期末本基金合同生效未满1年,本报告期的财务报表及报表附注均无同期对比数据。</w:t>
      </w:r>
    </w:p>
    <w:p>
      <w:pPr>
        <w:pStyle w:val="14"/>
        <w:rPr>
          <w:rFonts w:hint="eastAsia"/>
        </w:rPr>
      </w:pPr>
      <w:bookmarkStart w:id="32" w:name="_Toc510100165"/>
      <w:r>
        <w:rPr>
          <w:rFonts w:hint="eastAsia"/>
          <w:b/>
          <w:bCs/>
        </w:rPr>
        <w:t>7.2 利润表</w:t>
      </w:r>
      <w:bookmarkEnd w:id="32"/>
    </w:p>
    <w:p>
      <w:pPr>
        <w:widowControl/>
        <w:jc w:val="left"/>
        <w:rPr>
          <w:rFonts w:hint="eastAsia" w:ascii="宋体" w:hAnsi="宋体" w:cs="宋体"/>
          <w:kern w:val="0"/>
          <w:sz w:val="24"/>
          <w:szCs w:val="24"/>
        </w:rPr>
      </w:pPr>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本报告期：2017年03月27日（基金合同生效日）至2017年12月31日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4558"/>
        <w:gridCol w:w="1520"/>
        <w:gridCol w:w="3042"/>
      </w:tblGrid>
      <w:tr>
        <w:tblPrEx>
          <w:tblCellMar>
            <w:top w:w="0" w:type="dxa"/>
            <w:left w:w="108" w:type="dxa"/>
            <w:bottom w:w="0" w:type="dxa"/>
            <w:right w:w="108" w:type="dxa"/>
          </w:tblCellMar>
        </w:tblPrEx>
        <w:trPr>
          <w:wBefore w:w="0" w:type="auto"/>
          <w:trHeight w:val="374" w:hRule="atLeast"/>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08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57,302,802.12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3,132,802.73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债券利息收入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329,218.52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资产支持证券利息收入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买入返售金融资产收入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2,143,825.45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其他利息收入</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50,941,830.16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贵金属投资收益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衍生工具收益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股利收益</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14,577,250.45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1,619,995.73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6．其他费用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bl>
    <w:p>
      <w:pPr>
        <w:pStyle w:val="20"/>
        <w:rPr>
          <w:rFonts w:hint="eastAsia"/>
        </w:rPr>
      </w:pPr>
      <w:r>
        <w:rPr>
          <w:rFonts w:hint="eastAsia"/>
        </w:rPr>
        <w:t>注：本财务报表的实际编制期间为2017年3月27日(基金合同生效日)至2017年12月31日。截至报告期末本基金合同生效未满1年,本报告期的财务报表及报表附注均无同期对比数据。</w:t>
      </w:r>
    </w:p>
    <w:p>
      <w:pPr>
        <w:pStyle w:val="14"/>
        <w:rPr>
          <w:rFonts w:hint="eastAsia"/>
        </w:rPr>
      </w:pPr>
      <w:bookmarkStart w:id="33" w:name="_Toc510100166"/>
      <w:r>
        <w:rPr>
          <w:rFonts w:hint="eastAsia"/>
          <w:b/>
          <w:bCs/>
        </w:rPr>
        <w:t>7.3 所有者权益（基金净值）变动表</w:t>
      </w:r>
      <w:bookmarkEnd w:id="33"/>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本报告期：2017年03月27日（基金合同生效日）至2017年12月31日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3249"/>
        <w:gridCol w:w="1806"/>
        <w:gridCol w:w="1806"/>
        <w:gridCol w:w="2167"/>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-667,010,200.74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-26,565,521.92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-693,575,722.66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55,715,216.87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57,846,626.26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 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-722,725,417.61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-28,696,931.31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-751,422,348.92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注：本财务报表的实际报告期间为2017年3月27日(基金合同生效日)至2017年12月31日。截至报告期末本基金合同生效未满1年，本报告期的财务报表及报表附注均无同期对比数据。</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510100167"/>
      <w:r>
        <w:rPr>
          <w:rFonts w:hint="eastAsia"/>
          <w:b/>
          <w:bCs/>
        </w:rPr>
        <w:t>7.4 报表附注</w:t>
      </w:r>
      <w:bookmarkEnd w:id="34"/>
    </w:p>
    <w:p>
      <w:pPr>
        <w:pStyle w:val="15"/>
        <w:rPr>
          <w:rFonts w:hint="eastAsia"/>
        </w:rPr>
      </w:pPr>
      <w:r>
        <w:rPr>
          <w:rFonts w:hint="eastAsia"/>
          <w:b/>
          <w:bCs/>
        </w:rPr>
        <w:t>7.4.1 基金基本情况</w:t>
      </w:r>
    </w:p>
    <w:p>
      <w:pPr>
        <w:pStyle w:val="20"/>
        <w:rPr>
          <w:rFonts w:hint="eastAsia"/>
        </w:rPr>
      </w:pPr>
      <w:r>
        <w:rPr>
          <w:rFonts w:hint="eastAsia"/>
        </w:rPr>
        <w:t>  创金合信量化核心混合型证券投资基金(以下简称"本基金")经中国证券监督管理委员会(以下简称"中国证监会")证监许可[2017]5号《关于准予创金合信量化核心混合型证券投资基金注册的批复》核准，由创金合信基金管理有限公司依照《中华人民共和国证券投资基金法》和《创金合信量化核心混合型证券投资基金基金合同》负责公开募集。本基金为契约型开放式，存续期限不定，首次设立募集不包括认购资金利息共募集人民币801,695,744.90元，业经普华永道中天会计师事务所(特殊普通合伙)普华永道中天验字(2017)第116号验资报告予以验证。经向中国证监会备案，《创金合信量化核心混合型证券投资基金基金合同》于2017年3月27日正式生效，基金合同生效日的基金份额总额为801,997,731.79份基金份额，其中认购资资金利息折合301,986.89份基金份额。本基金的基金管理人为创金合信基金管理有限公司，基金托管人为中国工商银行股份有限公司(以下简称"中国工商银行")。</w:t>
      </w:r>
      <w:r>
        <w:rPr>
          <w:rFonts w:hint="eastAsia"/>
        </w:rPr>
        <w:br w:type="textWrapping"/>
      </w:r>
      <w:r>
        <w:rPr>
          <w:rFonts w:hint="eastAsia"/>
        </w:rPr>
        <w:t>  </w:t>
      </w:r>
      <w:r>
        <w:rPr>
          <w:rFonts w:hint="eastAsia"/>
        </w:rPr>
        <w:br w:type="textWrapping"/>
      </w:r>
      <w:r>
        <w:rPr>
          <w:rFonts w:hint="eastAsia"/>
        </w:rPr>
        <w:t>  根据《中华人民共和国证券投资基金法》和《创金合信量化核心混合型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中小企业私募债券、可转换债券、可交换债券等)、资产支持证券、债券回购、银行存款、金融衍生品(包括权证、股指期货、股票期权等)及法律法规或中国证监会允许基金投资的其他金融工具(但须符合中国证监会相关规定)。本基金的业绩比较基准为：沪深300指数收益率×80%+中债综合财富(总值)指数收益率×20%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rPr>
          <w:rFonts w:hint="eastAsia"/>
        </w:rPr>
      </w:pPr>
      <w:r>
        <w:rPr>
          <w:rFonts w:hint="eastAsia"/>
        </w:rPr>
        <w:t>  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核心混合型证券投资基金基金合同》和在财务报表附注7.4.4所列示的中国证监会、中国基金业协会发布的有关规定及允许的基金行业实务操作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rPr>
          <w:rFonts w:hint="eastAsia"/>
        </w:rPr>
      </w:pPr>
      <w:r>
        <w:rPr>
          <w:rFonts w:hint="eastAsia"/>
        </w:rPr>
        <w:t>  本财务报表符合企业会计准则的要求，真实、完整地反映了本基金本报告期末的财务状况以及本报告期间的经营成果和基金净值变动情况等有关信息。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15"/>
        <w:rPr>
          <w:rFonts w:hint="eastAsia"/>
        </w:rPr>
      </w:pPr>
      <w:r>
        <w:rPr>
          <w:rFonts w:hint="eastAsia"/>
          <w:b/>
          <w:bCs/>
        </w:rPr>
        <w:t>7.4.4.1 会计年度</w:t>
      </w:r>
    </w:p>
    <w:p>
      <w:pPr>
        <w:pStyle w:val="20"/>
        <w:rPr>
          <w:rFonts w:hint="eastAsia"/>
        </w:rPr>
      </w:pPr>
      <w:r>
        <w:rPr>
          <w:rFonts w:hint="eastAsia"/>
        </w:rPr>
        <w:t>  本基金会计年度为公历1月1日起至12月31日止。本期财务报表的实际编制期间为2017年1月23日（基金合同生效日）至2017年12月31日。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rPr>
          <w:rFonts w:hint="eastAsia"/>
        </w:rPr>
      </w:pPr>
      <w:r>
        <w:rPr>
          <w:rFonts w:hint="eastAsia"/>
        </w:rPr>
        <w:t>  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rPr>
          <w:rFonts w:hint="eastAsia"/>
        </w:rPr>
      </w:pPr>
      <w:r>
        <w:rPr>
          <w:rFonts w:hint="eastAsia"/>
        </w:rPr>
        <w:t>  (1)金融资产的分类</w:t>
      </w:r>
      <w:r>
        <w:rPr>
          <w:rFonts w:hint="eastAsia"/>
        </w:rPr>
        <w:br w:type="textWrapping"/>
      </w:r>
      <w:r>
        <w:rPr>
          <w:rFonts w:hint="eastAsia"/>
        </w:rPr>
        <w:t>  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r>
        <w:rPr>
          <w:rFonts w:hint="eastAsia"/>
        </w:rPr>
        <w:br w:type="textWrapping"/>
      </w:r>
      <w:r>
        <w:rPr>
          <w:rFonts w:hint="eastAsia"/>
        </w:rPr>
        <w:t>  本基金目前以交易目的持有的股票投资、债券投资和衍生工具(主要为权证投资)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r>
        <w:rPr>
          <w:rFonts w:hint="eastAsia"/>
        </w:rPr>
        <w:br w:type="textWrapping"/>
      </w:r>
      <w:r>
        <w:rPr>
          <w:rFonts w:hint="eastAsia"/>
        </w:rPr>
        <w:t>  本基金持有的其他金融资产分类为应收款项，包括银行存款和其他各类应收款项等。应收款项是指在活跃市场中没有报价、回收金额固定或可确定的非衍生金融资产。</w:t>
      </w:r>
      <w:r>
        <w:rPr>
          <w:rFonts w:hint="eastAsia"/>
        </w:rPr>
        <w:br w:type="textWrapping"/>
      </w:r>
      <w:r>
        <w:rPr>
          <w:rFonts w:hint="eastAsia"/>
        </w:rPr>
        <w:t>  (2)金融负债的分类</w:t>
      </w:r>
      <w:r>
        <w:rPr>
          <w:rFonts w:hint="eastAsia"/>
        </w:rPr>
        <w:br w:type="textWrapping"/>
      </w:r>
      <w:r>
        <w:rPr>
          <w:rFonts w:hint="eastAsia"/>
        </w:rPr>
        <w:t>  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rPr>
          <w:rFonts w:hint="eastAsia"/>
        </w:rPr>
      </w:pPr>
      <w:r>
        <w:rPr>
          <w:rFonts w:hint="eastAsia"/>
        </w:rPr>
        <w:t>  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r>
        <w:rPr>
          <w:rFonts w:hint="eastAsia"/>
        </w:rPr>
        <w:br w:type="textWrapping"/>
      </w:r>
      <w:r>
        <w:rPr>
          <w:rFonts w:hint="eastAsia"/>
        </w:rPr>
        <w:t>  对于以公允价值计量且其变动计入当期损益的金融资产，按照公允价值进行后续计量；对于应收款项和其他金融负债采用实际利率法，以摊余成本进行后续计量。</w:t>
      </w:r>
      <w:r>
        <w:rPr>
          <w:rFonts w:hint="eastAsia"/>
        </w:rPr>
        <w:br w:type="textWrapping"/>
      </w:r>
      <w:r>
        <w:rPr>
          <w:rFonts w:hint="eastAsia"/>
        </w:rPr>
        <w:t>  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r>
        <w:rPr>
          <w:rFonts w:hint="eastAsia"/>
        </w:rPr>
        <w:br w:type="textWrapping"/>
      </w:r>
      <w:r>
        <w:rPr>
          <w:rFonts w:hint="eastAsia"/>
        </w:rPr>
        <w:t>  金融资产终止确认时，其账面价值与收到的对价的差额，计入当期损益。</w:t>
      </w:r>
      <w:r>
        <w:rPr>
          <w:rFonts w:hint="eastAsia"/>
        </w:rPr>
        <w:br w:type="textWrapping"/>
      </w:r>
      <w:r>
        <w:rPr>
          <w:rFonts w:hint="eastAsia"/>
        </w:rPr>
        <w:t>  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rPr>
          <w:rFonts w:hint="eastAsia"/>
        </w:rPr>
      </w:pPr>
      <w:r>
        <w:rPr>
          <w:rFonts w:hint="eastAsia"/>
        </w:rPr>
        <w:t>  本基金持有的股票投资、债券投资和衍生工具(主要为权证投资)按如下原则确定公允价值并进行估值：</w:t>
      </w:r>
      <w:r>
        <w:rPr>
          <w:rFonts w:hint="eastAsia"/>
        </w:rPr>
        <w:br w:type="textWrapping"/>
      </w:r>
      <w:r>
        <w:rPr>
          <w:rFonts w:hint="eastAsia"/>
        </w:rPr>
        <w:t>  (1)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r>
        <w:rPr>
          <w:rFonts w:hint="eastAsia"/>
        </w:rPr>
        <w:br w:type="textWrapping"/>
      </w:r>
      <w:r>
        <w:rPr>
          <w:rFonts w:hint="eastAsia"/>
        </w:rPr>
        <w:t>  (2)存在活跃市场的金融工具，如估值日无交易且最近交易日后经济环境发生了重大变化，参考类似投资品种的现行市价及重大变化等因素，调整最近交易市价以确定公允价值。</w:t>
      </w:r>
      <w:r>
        <w:rPr>
          <w:rFonts w:hint="eastAsia"/>
        </w:rPr>
        <w:br w:type="textWrapping"/>
      </w:r>
      <w:r>
        <w:rPr>
          <w:rFonts w:hint="eastAsia"/>
        </w:rPr>
        <w:t>  (3)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rPr>
          <w:rFonts w:hint="eastAsia"/>
        </w:rPr>
      </w:pPr>
      <w:r>
        <w:rPr>
          <w:rFonts w:hint="eastAsia"/>
        </w:rPr>
        <w:t>  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rPr>
          <w:rFonts w:hint="eastAsia"/>
        </w:rPr>
      </w:pPr>
      <w:r>
        <w:rPr>
          <w:rFonts w:hint="eastAsia"/>
        </w:rPr>
        <w:t>  实收基金为对外发行基金份额所募集的总金额在扣除损益平准金分摊部分后的余额。由于申购和赎回引起的实收基金变动分别于基金申购确认日及基金赎回确认日确认。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rPr>
          <w:rFonts w:hint="eastAsia"/>
        </w:rPr>
      </w:pPr>
      <w:r>
        <w:rPr>
          <w:rFonts w:hint="eastAsia"/>
        </w:rPr>
        <w:t>  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rPr>
          <w:rFonts w:hint="eastAsia"/>
        </w:rPr>
      </w:pPr>
      <w:r>
        <w:rPr>
          <w:rFonts w:hint="eastAsia"/>
        </w:rPr>
        <w:t>  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r>
        <w:rPr>
          <w:rFonts w:hint="eastAsia"/>
        </w:rPr>
        <w:br w:type="textWrapping"/>
      </w:r>
      <w:r>
        <w:rPr>
          <w:rFonts w:hint="eastAsia"/>
        </w:rPr>
        <w:t>  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r>
        <w:rPr>
          <w:rFonts w:hint="eastAsia"/>
        </w:rPr>
        <w:br w:type="textWrapping"/>
      </w:r>
      <w:r>
        <w:rPr>
          <w:rFonts w:hint="eastAsia"/>
        </w:rPr>
        <w:t>  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rPr>
          <w:rFonts w:hint="eastAsia"/>
        </w:rPr>
      </w:pPr>
      <w:r>
        <w:rPr>
          <w:rFonts w:hint="eastAsia"/>
        </w:rPr>
        <w:t>  本基金的管理人报酬、托管费和销售服务费在费用涵盖期间按基金合同约定的费率和计算方法逐日确认。</w:t>
      </w:r>
      <w:r>
        <w:rPr>
          <w:rFonts w:hint="eastAsia"/>
        </w:rPr>
        <w:br w:type="textWrapping"/>
      </w:r>
      <w:r>
        <w:rPr>
          <w:rFonts w:hint="eastAsia"/>
        </w:rPr>
        <w:t>  其他金融负债在持有期间确认的利息支出按实际利率法计算，实际利率法与直线法差异较小的则按直线法计算。</w:t>
      </w:r>
      <w:r>
        <w:rPr>
          <w:rFonts w:hint="eastAsia"/>
        </w:rPr>
        <w:br w:type="textWrapping"/>
      </w:r>
      <w:r>
        <w:rPr>
          <w:rFonts w:hint="eastAsia"/>
        </w:rPr>
        <w:t>  </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rPr>
          <w:rFonts w:hint="eastAsia"/>
        </w:rPr>
      </w:pPr>
      <w:r>
        <w:rPr>
          <w:rFonts w:hint="eastAsia"/>
        </w:rPr>
        <w:t>  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rPr>
          <w:rFonts w:hint="eastAsia"/>
        </w:rPr>
      </w:pPr>
      <w:r>
        <w:rPr>
          <w:rFonts w:hint="eastAsia"/>
        </w:rPr>
        <w:t>  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r>
        <w:rPr>
          <w:rFonts w:hint="eastAsia"/>
        </w:rPr>
        <w:br w:type="textWrapping"/>
      </w:r>
      <w:r>
        <w:rPr>
          <w:rFonts w:hint="eastAsia"/>
        </w:rPr>
        <w:t>  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rPr>
          <w:rFonts w:hint="eastAsia"/>
        </w:rPr>
      </w:pPr>
      <w:r>
        <w:rPr>
          <w:rFonts w:hint="eastAsia"/>
        </w:rPr>
        <w:t>  根据本基金的估值原则和中国证监会允许的基金行业估值实务操作，本基金确定以下类别股票投资和债券投资的公允价值时采用的估值方法及其关键假设如下：</w:t>
      </w:r>
      <w:r>
        <w:rPr>
          <w:rFonts w:hint="eastAsia"/>
        </w:rPr>
        <w:br w:type="textWrapping"/>
      </w:r>
      <w:r>
        <w:rPr>
          <w:rFonts w:hint="eastAsia"/>
        </w:rPr>
        <w:t>  (1)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r>
        <w:rPr>
          <w:rFonts w:hint="eastAsia"/>
        </w:rPr>
        <w:br w:type="textWrapping"/>
      </w:r>
      <w:r>
        <w:rPr>
          <w:rFonts w:hint="eastAsia"/>
        </w:rPr>
        <w:t>  (2)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央国债登记结算有限责任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rPr>
          <w:rFonts w:hint="eastAsia"/>
        </w:rPr>
      </w:pPr>
      <w:r>
        <w:rPr>
          <w:rFonts w:hint="eastAsia"/>
        </w:rPr>
        <w:t>  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rPr>
          <w:rFonts w:hint="eastAsia"/>
        </w:rPr>
      </w:pPr>
      <w:r>
        <w:rPr>
          <w:rFonts w:hint="eastAsia"/>
        </w:rPr>
        <w:t>  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rPr>
          <w:rFonts w:hint="eastAsia"/>
        </w:rPr>
      </w:pPr>
      <w:r>
        <w:rPr>
          <w:rFonts w:hint="eastAsia"/>
        </w:rPr>
        <w:t>  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rPr>
          <w:rFonts w:hint="eastAsia"/>
        </w:rPr>
      </w:pPr>
      <w:r>
        <w:rPr>
          <w:rFonts w:hint="eastAsia"/>
        </w:rPr>
        <w:t>  根据财政部、国家税务总局财税[2004]78号《财政部、国家税务总局关于证券投资基金税收政策的通知》、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及其他相关财税法规和实务操作，主要税项列示如下：</w:t>
      </w:r>
      <w:r>
        <w:rPr>
          <w:rFonts w:hint="eastAsia"/>
        </w:rPr>
        <w:br w:type="textWrapping"/>
      </w:r>
      <w:r>
        <w:rPr>
          <w:rFonts w:hint="eastAsia"/>
        </w:rPr>
        <w:t>  (1)于2016年5月1日前，以发行基金方式募集资金不属于营业税征收范围，不征收营业税。对证券投资基金管理人运用基金买卖股票、债券的差价收入免征营业税。自2016年5月1日起，金融业由缴纳营业税改为缴纳增值税。对证券投资基金管理人运用基金买卖股票、债券的转让收入免征增值税，对国债、地方政府债以及金融同业往来利息收入亦免征增值税 。</w:t>
      </w:r>
      <w:r>
        <w:rPr>
          <w:rFonts w:hint="eastAsia"/>
        </w:rPr>
        <w:br w:type="textWrapping"/>
      </w:r>
      <w:r>
        <w:rPr>
          <w:rFonts w:hint="eastAsia"/>
        </w:rPr>
        <w:t>  (2)对基金从证券市场中取得的收入，包括买卖股票、债券的差价收入，股票的股息、红利收入，债券的利息收入及其他收入，暂不征收企业所得税。</w:t>
      </w:r>
      <w:r>
        <w:rPr>
          <w:rFonts w:hint="eastAsia"/>
        </w:rPr>
        <w:br w:type="textWrapping"/>
      </w:r>
      <w:r>
        <w:rPr>
          <w:rFonts w:hint="eastAsia"/>
        </w:rPr>
        <w:t>  (3)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r>
        <w:rPr>
          <w:rFonts w:hint="eastAsia"/>
        </w:rPr>
        <w:br w:type="textWrapping"/>
      </w:r>
      <w:r>
        <w:rPr>
          <w:rFonts w:hint="eastAsia"/>
        </w:rPr>
        <w:t>  (4)基金卖出股票按0.1%的税率缴纳股票交易印花税，买入股票不征收股票交易印花税。</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jc w:val="left"/>
        <w:rPr>
          <w:rFonts w:hint="eastAsia" w:ascii="宋体" w:hAnsi="宋体" w:cs="宋体"/>
          <w:kern w:val="0"/>
          <w:sz w:val="24"/>
          <w:szCs w:val="24"/>
        </w:rPr>
      </w:pP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124,652,154.24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125,126,254.24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gridSpan w:val="5"/>
            <w:tcBorders>
              <w:top w:val="single" w:color="000000" w:sz="2" w:space="0"/>
              <w:left w:val="single" w:color="000000" w:sz="2" w:space="0"/>
              <w:bottom w:val="single" w:color="000000" w:sz="2" w:space="0"/>
              <w:right w:val="single" w:color="000000" w:sz="2" w:space="0"/>
            </w:tcBorders>
            <w:noWrap w:val="0"/>
            <w:vAlign w:val="center"/>
          </w:tcPr>
          <w:p>
            <w:pPr>
              <w:rPr>
                <w:rFonts w:hint="eastAsia"/>
              </w:rPr>
            </w:pPr>
          </w:p>
        </w:tc>
      </w:tr>
    </w:tbl>
    <w:p>
      <w:pPr>
        <w:pStyle w:val="20"/>
      </w:pPr>
      <w:r>
        <w:rPr>
          <w:rFonts w:hint="eastAsia"/>
        </w:rPr>
        <w:t>注：衍生金融资产项下的权益衍生工具为股指期货投资，净额为0。在当日无负债结算制度下，结算准备金已包括所持股指期货合约产生的持仓损益，则衍生金融资产项下的股指期货投资与相关的期货暂收款(结算所得的持仓损益)之间按抵销后的净额为0。</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本基金于本期末及上年度末均未持有买入返售金融资产。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7.4.7.4.2 期末买断式逆回购交易中取得的债券</w:t>
      </w:r>
    </w:p>
    <w:p>
      <w:pPr>
        <w:pStyle w:val="20"/>
        <w:rPr>
          <w:rFonts w:hint="eastAsia"/>
        </w:rPr>
      </w:pPr>
      <w:r>
        <w:rPr>
          <w:rFonts w:hint="eastAsia"/>
        </w:rPr>
        <w:t>本基金于本期末及上年度末均未持有买断式逆回购交易中取得的债券。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r>
    </w:tbl>
    <w:p>
      <w:pPr>
        <w:widowControl/>
        <w:jc w:val="left"/>
        <w:rPr>
          <w:rFonts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本基金本期末未持有其他资产。</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创金合信量化核心混合A</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w:t>
            </w:r>
            <w:r>
              <w:rPr>
                <w:rStyle w:val="30"/>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269,241,417.75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269,241,417.75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12,412,980.46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12,412,980.46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-205,088,963.11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-205,088,963.11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创金合信量化核心混合C</w:t>
      </w:r>
    </w:p>
    <w:p>
      <w:pPr>
        <w:widowControl/>
        <w:spacing w:before="100" w:beforeAutospacing="1" w:after="100" w:afterAutospacing="1"/>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w:t>
            </w:r>
            <w:r>
              <w:rPr>
                <w:rStyle w:val="30"/>
                <w:rFonts w:hint="eastAsia"/>
              </w:rPr>
              <w:t>（基金合同生效日）</w:t>
            </w:r>
            <w:r>
              <w:rPr>
                <w:rFonts w:hint="eastAsia"/>
              </w:rPr>
              <w:t>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532,756,314.04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532,756,314.04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43,302,236.41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43,302,236.41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-517,636,454.50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-517,636,454.50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r>
    </w:tbl>
    <w:p>
      <w:pPr>
        <w:pStyle w:val="20"/>
        <w:rPr>
          <w:rFonts w:hint="eastAsia"/>
        </w:rPr>
      </w:pPr>
      <w:r>
        <w:rPr>
          <w:rFonts w:hint="eastAsia"/>
        </w:rPr>
        <w:t>注：1.申购含红利再投、转换入份（金）额，赎回含转换出份（金）额。</w:t>
      </w:r>
      <w:r>
        <w:rPr>
          <w:rFonts w:hint="eastAsia"/>
        </w:rPr>
        <w:br w:type="textWrapping"/>
      </w:r>
      <w:r>
        <w:rPr>
          <w:rFonts w:hint="eastAsia"/>
        </w:rPr>
        <w:t>2.本基金自2017年2月21日至2017年3月21日止期间公开发售，共募集有效净认购资金801,695,744.90元，其中A类基金募集有效净认购资金为269,161,531.43元，C类基金募集有效净认购资金为532,534,213.47元。根据《创金合信量化核心混合型证券投资基金招募说明书》的规定，本基金设立募集期内认购资金产生的利息收入301,986.89元在本基金成立后，折算为301,986.89份基金份额(其中A类基金募集期内认购资金产生的利息收入为79,886.32元，折算为79,886.32份基金份额，C类基金募集期内认购资金产生的利息收入为222,100.57元，折算为222,100.57份基金份额)，划入基金份额持有人账户。</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创金合信量化核心混合A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23,455,770.37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-1,386,696.30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22,069,074.07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-12,185,991.41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-416,493.47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-12,602,484.88</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1,055,436.56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40,919.13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1,096,355.69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-13,241,427.97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-457,412.60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-13,698,840.57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11,269,778.96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-1,803,189.77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9,466,589.19</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创金合信量化核心混合C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16,421,110.58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4,235,367.02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20,656,477.60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-8,363,487.76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-5,599,549.28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-13,963,037.04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648,411.07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386,642.63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1,035,053.70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-9,011,898.83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-5,986,191.91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-14,998,090.74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8,057,622.82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-1,364,182.26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6,693,440.56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253,593.43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3,348,092,137.77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3,303,370,157.71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50,451,611.15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50,020,300.00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328,846.59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本基金于本期未发生衍生工具收益。</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378,957.89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6,552,075.30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rPr>
          <w:rFonts w:hint="eastAsia"/>
        </w:rPr>
      </w:pPr>
      <w:r>
        <w:rPr>
          <w:rFonts w:hint="eastAsia"/>
        </w:rPr>
        <w:t>  截至资产负债表日，本基金并无须作披露的或有事项。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rPr>
          <w:rFonts w:hint="eastAsia"/>
        </w:rPr>
      </w:pPr>
      <w:r>
        <w:rPr>
          <w:rFonts w:hint="eastAsia"/>
        </w:rPr>
        <w:t>  截至本财务报表批准报出日，本基金无须作披露的资产负债表日后事项。</w:t>
      </w:r>
    </w:p>
    <w:p>
      <w:pPr>
        <w:widowControl/>
        <w:jc w:val="left"/>
        <w:rPr>
          <w:rFonts w:hint="eastAsia" w:ascii="宋体" w:hAnsi="宋体" w:cs="宋体"/>
          <w:kern w:val="0"/>
          <w:sz w:val="24"/>
          <w:szCs w:val="24"/>
        </w:rPr>
      </w:pPr>
    </w:p>
    <w:p>
      <w:pPr>
        <w:pStyle w:val="15"/>
        <w:rPr>
          <w:rFonts w:hint="eastAsia"/>
        </w:rPr>
      </w:pPr>
      <w:r>
        <w:rPr>
          <w:rFonts w:hint="eastAsia"/>
          <w:b/>
          <w:bCs/>
        </w:rPr>
        <w:t>7.4.9 关联方关系</w:t>
      </w:r>
    </w:p>
    <w:p>
      <w:pPr>
        <w:pStyle w:val="20"/>
        <w:rPr>
          <w:rFonts w:hint="eastAsia"/>
        </w:rPr>
      </w:pPr>
      <w:r>
        <w:rPr>
          <w:rFonts w:hint="eastAsia"/>
        </w:rPr>
        <w:t>  本报告期不存在重大关联方发生变化的情况。</w:t>
      </w:r>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4821"/>
        <w:gridCol w:w="4377"/>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20"/>
        <w:rPr>
          <w:rFonts w:hint="eastAsia"/>
        </w:rPr>
      </w:pPr>
      <w:r>
        <w:rPr>
          <w:rFonts w:hint="eastAsia"/>
        </w:rPr>
        <w:t>本基金本报告期内无通过关联方交易单元进行的股票交易。</w:t>
      </w:r>
    </w:p>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本基金本报告期内未通过关联方交易单元进行权证交易。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应支付关联方的佣金</w:t>
      </w:r>
    </w:p>
    <w:p>
      <w:pPr>
        <w:pStyle w:val="20"/>
        <w:rPr>
          <w:rFonts w:hint="eastAsia"/>
        </w:rPr>
      </w:pPr>
      <w:r>
        <w:rPr>
          <w:rFonts w:hint="eastAsia"/>
        </w:rPr>
        <w:t>本基金本报告期内无应支付关联方的佣金。</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3,361,276.07</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bl>
    <w:p>
      <w:pPr>
        <w:pStyle w:val="20"/>
        <w:rPr>
          <w:rFonts w:hint="eastAsia"/>
        </w:rPr>
      </w:pPr>
      <w:r>
        <w:rPr>
          <w:rFonts w:hint="eastAsia"/>
        </w:rPr>
        <w:t>注:H＝E×0.25%÷当年天数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26"/>
        <w:gridCol w:w="2492"/>
        <w:gridCol w:w="2492"/>
        <w:gridCol w:w="1535"/>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r>
    </w:tbl>
    <w:p>
      <w:pPr>
        <w:pStyle w:val="20"/>
        <w:rPr>
          <w:rFonts w:hint="eastAsia"/>
        </w:rPr>
      </w:pPr>
      <w:r>
        <w:rPr>
          <w:rFonts w:hint="eastAsia"/>
        </w:rPr>
        <w:t>注：支付基金销售机构的销售服务费按前一日C类基金的基金资产净值0.8%的年费率计提，逐日累计至每月月底，按月支付给创金合信基金管理有限公司，再由创金合信基金管理有限公司计算并支付给各基金销售机构。其计算公式为：日销售服务费＝C类基金前一日基金资产净值× 0.8%/ 当年天数。</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11"/>
        <w:gridCol w:w="3069"/>
        <w:gridCol w:w="2865"/>
      </w:tblGrid>
      <w:tr>
        <w:tblPrEx>
          <w:tblCellMar>
            <w:top w:w="0" w:type="dxa"/>
            <w:left w:w="108" w:type="dxa"/>
            <w:bottom w:w="0" w:type="dxa"/>
            <w:right w:w="108" w:type="dxa"/>
          </w:tblCellMar>
        </w:tblPrEx>
        <w:trPr>
          <w:wBefore w:w="0" w:type="auto"/>
        </w:trPr>
        <w:tc>
          <w:tcPr>
            <w:tcW w:w="18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360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bl>
    <w:p>
      <w:pPr>
        <w:pStyle w:val="20"/>
        <w:rPr>
          <w:rFonts w:hint="eastAsia"/>
        </w:rPr>
      </w:pPr>
      <w:r>
        <w:rPr>
          <w:rFonts w:hint="eastAsia"/>
        </w:rPr>
        <w:t>注:本基金的银行存款由基金托管人中国工商银行保管，按银行同业存款利率计息。</w:t>
      </w: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本基金本报告期均未在承销期内参与关联方承销证券。</w:t>
      </w:r>
    </w:p>
    <w:p>
      <w:pPr>
        <w:pStyle w:val="15"/>
        <w:rPr>
          <w:rFonts w:hint="eastAsia"/>
        </w:rPr>
      </w:pPr>
      <w:r>
        <w:rPr>
          <w:rFonts w:hint="eastAsia"/>
          <w:b/>
          <w:bCs/>
        </w:rPr>
        <w:t>7.4.10.7 其他关联交易事项的说明</w:t>
      </w:r>
    </w:p>
    <w:p>
      <w:pPr>
        <w:pStyle w:val="20"/>
        <w:rPr>
          <w:rFonts w:hint="eastAsia"/>
        </w:rPr>
      </w:pPr>
      <w:r>
        <w:rPr>
          <w:rFonts w:hint="eastAsia"/>
        </w:rPr>
        <w:t>  本基金本报告期无需作说明的其他关联交易事项。</w:t>
      </w: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pStyle w:val="15"/>
        <w:rPr>
          <w:rFonts w:hint="eastAsia"/>
        </w:rPr>
      </w:pPr>
      <w:r>
        <w:rPr>
          <w:rFonts w:hint="eastAsia"/>
          <w:b/>
          <w:bCs/>
        </w:rPr>
        <w:t>7.4.12 期末（2017年12月31日）本基金持有的流通受限证券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7.4.12.1.2 受限证券类别：债券</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00"/>
        <w:gridCol w:w="800"/>
        <w:gridCol w:w="800"/>
        <w:gridCol w:w="800"/>
        <w:gridCol w:w="801"/>
        <w:gridCol w:w="801"/>
        <w:gridCol w:w="801"/>
        <w:gridCol w:w="1192"/>
        <w:gridCol w:w="801"/>
        <w:gridCol w:w="801"/>
        <w:gridCol w:w="801"/>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2,656,449.06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1,321,504.71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941,609.03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626,333.42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319,879.45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295,540.14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257,108.70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88,341.02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102,880.14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68,651.29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重大事项停牌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10,311.76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截至本报告期末2017年12月31日止，本基金从事银行间市场债券正回购交易形成的卖出回购证券款余额为0，无抵押债券。</w:t>
      </w:r>
    </w:p>
    <w:p>
      <w:pPr>
        <w:pStyle w:val="15"/>
        <w:rPr>
          <w:rFonts w:hint="eastAsia"/>
        </w:rPr>
      </w:pPr>
      <w:r>
        <w:rPr>
          <w:rFonts w:hint="eastAsia"/>
          <w:b/>
          <w:bCs/>
        </w:rPr>
        <w:t>7.4.12.3.2 交易所市场债券正回购</w:t>
      </w:r>
    </w:p>
    <w:p>
      <w:pPr>
        <w:pStyle w:val="20"/>
        <w:rPr>
          <w:rFonts w:hint="eastAsia"/>
        </w:rPr>
      </w:pPr>
      <w:r>
        <w:rPr>
          <w:rFonts w:hint="eastAsia"/>
        </w:rPr>
        <w:t>  截至本报告期末2017年12月31日止，本基金从事交易所债券正回购交易形成的卖出回购证券款余额为0，无抵押债券。</w:t>
      </w: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rPr>
          <w:rFonts w:hint="eastAsia"/>
        </w:rPr>
      </w:pPr>
      <w:r>
        <w:rPr>
          <w:rFonts w:hint="eastAsia"/>
        </w:rPr>
        <w:t>  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r>
        <w:rPr>
          <w:rFonts w:hint="eastAsia"/>
        </w:rPr>
        <w:br w:type="textWrapping"/>
      </w:r>
      <w:r>
        <w:rPr>
          <w:rFonts w:hint="eastAsia"/>
        </w:rPr>
        <w:t>  本基金的基金管理人奉行全面风险管理体系的建设，建立了以风控与审计委员会为核心的、由督察长、风险控制办公会、监察稽核部和相关业务部门构成的四级风险管理架构体系。</w:t>
      </w:r>
    </w:p>
    <w:p>
      <w:pPr>
        <w:pStyle w:val="15"/>
        <w:rPr>
          <w:rFonts w:hint="eastAsia"/>
        </w:rPr>
      </w:pPr>
      <w:r>
        <w:rPr>
          <w:rFonts w:hint="eastAsia"/>
          <w:b/>
          <w:bCs/>
        </w:rPr>
        <w:t>7.4.13.2 信用风险</w:t>
      </w:r>
    </w:p>
    <w:p>
      <w:pPr>
        <w:pStyle w:val="20"/>
        <w:rPr>
          <w:rFonts w:hint="eastAsia"/>
        </w:rPr>
      </w:pPr>
      <w:r>
        <w:rPr>
          <w:rFonts w:hint="eastAsia"/>
        </w:rPr>
        <w:t>  信用风险是指基金在交易过程中因交易对手未履行合约责任，或者基金所投资证券之发行人出现违约、拒绝支付到期本息等情况，导致基金资产损失和收益变化的风险。</w:t>
      </w:r>
      <w:r>
        <w:rPr>
          <w:rFonts w:hint="eastAsia"/>
        </w:rPr>
        <w:br w:type="textWrapping"/>
      </w:r>
      <w:r>
        <w:rPr>
          <w:rFonts w:hint="eastAsia"/>
        </w:rPr>
        <w:t>  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r>
        <w:rPr>
          <w:rFonts w:hint="eastAsia"/>
        </w:rPr>
        <w:br w:type="textWrapping"/>
      </w:r>
      <w:r>
        <w:rPr>
          <w:rFonts w:hint="eastAsia"/>
        </w:rPr>
        <w:t>  本基金的基金管理人建立了信用风险管理流程，通过对投资品种信用等级评估来控制证券发行人的信用风险，且通过分散化投资以分散信用风险。</w:t>
      </w:r>
      <w:r>
        <w:rPr>
          <w:rFonts w:hint="eastAsia"/>
        </w:rPr>
        <w:br w:type="textWrapping"/>
      </w:r>
      <w:r>
        <w:rPr>
          <w:rFonts w:hint="eastAsia"/>
        </w:rPr>
        <w:t>  本基金债券投资的信用评级情况按《中国人民银行信用评级管理指导意见》设定的标准统计及汇总。</w:t>
      </w:r>
      <w:r>
        <w:rPr>
          <w:rFonts w:hint="eastAsia"/>
        </w:rPr>
        <w:br w:type="textWrapping"/>
      </w:r>
      <w:r>
        <w:rPr>
          <w:rFonts w:hint="eastAsia"/>
        </w:rPr>
        <w:t>  </w:t>
      </w:r>
    </w:p>
    <w:p>
      <w:pPr>
        <w:pStyle w:val="15"/>
        <w:rPr>
          <w:rFonts w:hint="eastAsia"/>
        </w:rPr>
      </w:pPr>
      <w:r>
        <w:rPr>
          <w:rFonts w:hint="eastAsia"/>
          <w:b/>
          <w:bCs/>
        </w:rPr>
        <w:t>7.4.13.2.1 按短期信用评级列示的债券投资</w:t>
      </w:r>
    </w:p>
    <w:p>
      <w:pPr>
        <w:pStyle w:val="24"/>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bl>
    <w:p>
      <w:pPr>
        <w:pStyle w:val="20"/>
        <w:rPr>
          <w:rFonts w:hint="eastAsia"/>
        </w:rPr>
      </w:pPr>
      <w:r>
        <w:rPr>
          <w:rFonts w:hint="eastAsia"/>
        </w:rPr>
        <w:t>本基金本报告期末未持有按短期信用评级列示的债券投资。</w:t>
      </w:r>
      <w:r>
        <w:rPr>
          <w:rFonts w:hint="eastAsia"/>
        </w:rPr>
        <w:br w:type="textWrapping"/>
      </w: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2、未评级债券为期限在一年以内的国债、政策性金融债、央票及未有第三方机构评级的短期融资券、同业存单等债券。</w:t>
      </w:r>
      <w:r>
        <w:rPr>
          <w:rFonts w:hint="eastAsia"/>
        </w:rPr>
        <w:br w:type="textWrapping"/>
      </w:r>
      <w:r>
        <w:rPr>
          <w:rFonts w:hint="eastAsia"/>
        </w:rPr>
        <w:t>3、债券投资以净价列示 。</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7.4.13.2.2 按长期信用评级列示的债券投资</w:t>
      </w:r>
    </w:p>
    <w:p>
      <w:pPr>
        <w:pStyle w:val="25"/>
        <w:jc w:val="right"/>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bl>
    <w:p>
      <w:pPr>
        <w:pStyle w:val="20"/>
        <w:rPr>
          <w:rFonts w:hint="eastAsia"/>
        </w:rPr>
      </w:pPr>
      <w:r>
        <w:rPr>
          <w:rFonts w:hint="eastAsia"/>
        </w:rPr>
        <w:t>注：</w:t>
      </w:r>
      <w:r>
        <w:rPr>
          <w:rFonts w:hint="eastAsia"/>
        </w:rPr>
        <w:br w:type="textWrapping"/>
      </w:r>
      <w:r>
        <w:rPr>
          <w:rFonts w:hint="eastAsia"/>
        </w:rPr>
        <w:t>1、债券评级取自第三方评级机构的债项评级 ，依照在一个会计年度孰新孰低原则，若此会计年度无评级，则追溯上一会计年度，上一会计年度无评级则为无评级。 </w:t>
      </w:r>
      <w:r>
        <w:rPr>
          <w:rFonts w:hint="eastAsia"/>
        </w:rPr>
        <w:br w:type="textWrapping"/>
      </w:r>
      <w:r>
        <w:rPr>
          <w:rFonts w:hint="eastAsia"/>
        </w:rPr>
        <w:t>2、未评级债券为期限一年以上的国债、政策性金融债、央票及未有第三方机构评级的短期融资券、同业存单等债券。</w:t>
      </w:r>
      <w:r>
        <w:rPr>
          <w:rFonts w:hint="eastAsia"/>
        </w:rPr>
        <w:br w:type="textWrapping"/>
      </w:r>
      <w:r>
        <w:rPr>
          <w:rFonts w:hint="eastAsia"/>
        </w:rPr>
        <w:t>3、债券投资以净价列示。</w:t>
      </w:r>
      <w:r>
        <w:rPr>
          <w:rFonts w:hint="eastAsia"/>
        </w:rPr>
        <w:br w:type="textWrapping"/>
      </w:r>
      <w:r>
        <w:rPr>
          <w:rFonts w:hint="eastAsia"/>
        </w:rPr>
        <w:t>4、若出现期限为1年以内的债券评级为长期信用评级的标志，不进行评级等同。</w:t>
      </w:r>
    </w:p>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rPr>
          <w:rFonts w:hint="eastAsia"/>
        </w:rPr>
      </w:pPr>
      <w:r>
        <w:rPr>
          <w:rFonts w:hint="eastAsia"/>
        </w:rPr>
        <w:t>  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r>
        <w:rPr>
          <w:rFonts w:hint="eastAsia"/>
        </w:rPr>
        <w:br w:type="textWrapping"/>
      </w:r>
      <w:r>
        <w:rPr>
          <w:rFonts w:hint="eastAsia"/>
        </w:rPr>
        <w:t>  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r>
        <w:rPr>
          <w:rFonts w:hint="eastAsia"/>
        </w:rPr>
        <w:br w:type="textWrapping"/>
      </w:r>
      <w:r>
        <w:rPr>
          <w:rFonts w:hint="eastAsia"/>
        </w:rPr>
        <w:t>  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证券市值不超过基金资产净值的10%，且本基金与由本基金的基金管理人管理的其他基金共同持有一家上市公司发行的可流通股票不得超过该上市公司可流通股票的15%。本基金主动投资于流动性受限资产的市值合计不得超过基金资产净值的15%。本基金所持大部分证券在证券交易所上市，其余亦可在银行间同业市场交易，因此除附注7.4.12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r>
        <w:rPr>
          <w:rFonts w:hint="eastAsia"/>
        </w:rPr>
        <w:br w:type="textWrapping"/>
      </w:r>
      <w:r>
        <w:rPr>
          <w:rFonts w:hint="eastAsia"/>
        </w:rPr>
        <w:t>  于2017年12月31日，本基金所承担的全部金融负债的合约约定到期日均为一个月以内且不计息，可赎回基金份额净值(所有者权益)无固定到期日且不计息，因此账面余额即为未折现的合约到期现金流量。</w:t>
      </w:r>
    </w:p>
    <w:p>
      <w:pPr>
        <w:pStyle w:val="15"/>
        <w:rPr>
          <w:rFonts w:hint="eastAsia"/>
        </w:rPr>
      </w:pPr>
      <w:r>
        <w:rPr>
          <w:rFonts w:hint="eastAsia"/>
          <w:b/>
          <w:bCs/>
        </w:rPr>
        <w:t>7.4.13.3.2 报告期内本基金组合资产的流动性风险分析</w:t>
      </w:r>
    </w:p>
    <w:p>
      <w:pPr>
        <w:widowControl/>
        <w:jc w:val="left"/>
        <w:rPr>
          <w:rFonts w:hint="eastAsia" w:ascii="宋体" w:hAnsi="宋体" w:cs="宋体"/>
          <w:kern w:val="0"/>
          <w:sz w:val="24"/>
          <w:szCs w:val="24"/>
        </w:rPr>
      </w:pPr>
      <w:r>
        <w:rPr>
          <w:rFonts w:hint="eastAsia" w:ascii="宋体" w:hAnsi="宋体" w:cs="宋体"/>
          <w:kern w:val="0"/>
          <w:sz w:val="24"/>
          <w:szCs w:val="24"/>
        </w:rPr>
        <w:t>  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r>
        <w:rPr>
          <w:rFonts w:hint="eastAsia" w:ascii="宋体" w:hAnsi="宋体" w:cs="宋体"/>
          <w:kern w:val="0"/>
          <w:sz w:val="24"/>
          <w:szCs w:val="24"/>
        </w:rPr>
        <w:br w:type="textWrapping"/>
      </w:r>
      <w:r>
        <w:rPr>
          <w:rFonts w:hint="eastAsia" w:ascii="宋体" w:hAnsi="宋体" w:cs="宋体"/>
          <w:kern w:val="0"/>
          <w:sz w:val="24"/>
          <w:szCs w:val="24"/>
        </w:rPr>
        <w:t>  本基金的基金管理人每日对基金组合资产中7个工作日可变现资产的可变现价值进行审慎评估与测算，确保每日确认的净赎回申请不得超过7个工作日可变现资产的可变现价值。于2017年12月31日，本基金组合资产中7个工作日可变现资产的账面价值为136106593.19元，超过经确认的当日净赎回金额。于2017年12月31日，本基金持有的流动性受限资产的估值占基金资产净值的比例为4.50%，未超过15%。</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同时，本基金的基金管理人通过合理分散逆回购交易的到期日与交易对手的集中度。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综合上述各项流动性指标的监测结果及流动性风险管理措施的实施，本基金在本报告期内流动性情况良好。</w:t>
      </w:r>
      <w:r>
        <w:rPr>
          <w:rFonts w:hint="eastAsia" w:ascii="宋体" w:hAnsi="宋体" w:cs="宋体"/>
          <w:kern w:val="0"/>
          <w:sz w:val="24"/>
          <w:szCs w:val="24"/>
        </w:rPr>
        <w:br w:type="textWrapping"/>
      </w:r>
      <w:r>
        <w:rPr>
          <w:rFonts w:hint="eastAsia" w:ascii="宋体" w:hAnsi="宋体" w:cs="宋体"/>
          <w:kern w:val="0"/>
          <w:sz w:val="24"/>
          <w:szCs w:val="24"/>
        </w:rPr>
        <w:t>  </w:t>
      </w:r>
      <w:r>
        <w:rPr>
          <w:rFonts w:hint="eastAsia" w:ascii="宋体" w:hAnsi="宋体" w:cs="宋体"/>
          <w:kern w:val="0"/>
          <w:sz w:val="24"/>
          <w:szCs w:val="24"/>
        </w:rPr>
        <w:br w:type="textWrapping"/>
      </w:r>
      <w:r>
        <w:rPr>
          <w:rFonts w:hint="eastAsia" w:ascii="宋体" w:hAnsi="宋体" w:cs="宋体"/>
          <w:kern w:val="0"/>
          <w:sz w:val="24"/>
          <w:szCs w:val="24"/>
        </w:rPr>
        <w:t xml:space="preserve">  注：流动性受限资产、7个工作日可变现资产的计算口径见《公开募集开放式证券投资基金流动性风险管理规定》第四十条。 </w:t>
      </w:r>
    </w:p>
    <w:p>
      <w:pPr>
        <w:pStyle w:val="15"/>
        <w:rPr>
          <w:rFonts w:hint="eastAsia"/>
        </w:rPr>
      </w:pPr>
      <w:r>
        <w:rPr>
          <w:rFonts w:hint="eastAsia"/>
          <w:b/>
          <w:bCs/>
        </w:rPr>
        <w:t>7.4.13.4 市场风险</w:t>
      </w:r>
    </w:p>
    <w:p>
      <w:pPr>
        <w:pStyle w:val="20"/>
        <w:rPr>
          <w:rFonts w:hint="eastAsia"/>
        </w:rPr>
      </w:pPr>
      <w:r>
        <w:rPr>
          <w:rFonts w:hint="eastAsia"/>
        </w:rPr>
        <w:t>  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rPr>
          <w:rFonts w:hint="eastAsia"/>
        </w:rPr>
      </w:pPr>
      <w:r>
        <w:rPr>
          <w:rFonts w:hint="eastAsia"/>
        </w:rPr>
        <w:t>  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r>
        <w:rPr>
          <w:rFonts w:hint="eastAsia"/>
        </w:rPr>
        <w:br w:type="textWrapping"/>
      </w:r>
      <w:r>
        <w:rPr>
          <w:rFonts w:hint="eastAsia"/>
        </w:rPr>
        <w:t>  本基金的基金管理人定期对本基金面临的利率敏感性缺口进行监控，并通过调整投资组合的久期等方法对上述利率风险进行管理。</w:t>
      </w:r>
      <w:r>
        <w:rPr>
          <w:rFonts w:hint="eastAsia"/>
        </w:rPr>
        <w:br w:type="textWrapping"/>
      </w:r>
      <w:r>
        <w:rPr>
          <w:rFonts w:hint="eastAsia"/>
        </w:rPr>
        <w:t>  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675"/>
        <w:gridCol w:w="1574"/>
        <w:gridCol w:w="1273"/>
        <w:gridCol w:w="1173"/>
        <w:gridCol w:w="1675"/>
        <w:gridCol w:w="1675"/>
      </w:tblGrid>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本期末2017年12月31日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127,757,032.02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206,259.95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126,314,308.55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c>
          <w:tcPr>
            <w:tcW w:w="0" w:type="auto"/>
            <w:noWrap w:val="0"/>
            <w:vAlign w:val="center"/>
          </w:tcPr>
          <w:p>
            <w:pPr>
              <w:widowControl/>
              <w:jc w:val="left"/>
              <w:rPr>
                <w:kern w:val="0"/>
                <w:sz w:val="20"/>
                <w:szCs w:val="20"/>
              </w:rPr>
            </w:pPr>
          </w:p>
        </w:tc>
      </w:tr>
    </w:tbl>
    <w:p>
      <w:pPr>
        <w:pStyle w:val="20"/>
      </w:pPr>
      <w:r>
        <w:rPr>
          <w:rFonts w:hint="eastAsia"/>
        </w:rPr>
        <w:t>注：表中所示为本基金资产及负债的账面价值，并按照合约规定的利率重新定价日或到期日孰早者予以分类。</w:t>
      </w:r>
    </w:p>
    <w:p>
      <w:pPr>
        <w:pStyle w:val="15"/>
        <w:rPr>
          <w:rFonts w:hint="eastAsia"/>
        </w:rPr>
      </w:pPr>
      <w:r>
        <w:rPr>
          <w:rFonts w:hint="eastAsia"/>
          <w:b/>
          <w:bCs/>
        </w:rPr>
        <w:t>7.4.13.4.1.2 利率风险的敏感性分析</w:t>
      </w:r>
    </w:p>
    <w:p>
      <w:pPr>
        <w:pStyle w:val="20"/>
        <w:rPr>
          <w:rFonts w:hint="eastAsia"/>
        </w:rPr>
      </w:pPr>
      <w:r>
        <w:rPr>
          <w:rFonts w:hint="eastAsia"/>
        </w:rPr>
        <w:t>于2017年12月31日本基金持有的交易性债券投资公允价值占基金资产净值的比例为0.31%，且均为可转换债券及可交换债券，因此市场利率的变动对于本基金资产净值无重大影响。</w:t>
      </w:r>
    </w:p>
    <w:p>
      <w:pPr>
        <w:pStyle w:val="15"/>
        <w:rPr>
          <w:rFonts w:hint="eastAsia"/>
        </w:rPr>
      </w:pPr>
      <w:r>
        <w:rPr>
          <w:rFonts w:hint="eastAsia"/>
          <w:b/>
          <w:bCs/>
        </w:rPr>
        <w:t>7.4.13.4.2 外汇风险</w:t>
      </w:r>
    </w:p>
    <w:p>
      <w:pPr>
        <w:pStyle w:val="20"/>
        <w:rPr>
          <w:rFonts w:hint="eastAsia"/>
        </w:rPr>
      </w:pPr>
      <w:r>
        <w:rPr>
          <w:rFonts w:hint="eastAsia"/>
        </w:rPr>
        <w:t>  外汇风险是指金融工具的公允价值或未来现金流量因外汇汇率变动而发生波动的风险。本基金的所有资产及负债以人民币计价，因此无重大外汇风险。</w:t>
      </w:r>
    </w:p>
    <w:p>
      <w:pPr>
        <w:pStyle w:val="15"/>
        <w:rPr>
          <w:rFonts w:hint="eastAsia"/>
        </w:rPr>
      </w:pPr>
      <w:r>
        <w:rPr>
          <w:rFonts w:hint="eastAsia"/>
          <w:b/>
          <w:bCs/>
        </w:rPr>
        <w:t>7.4.13.4.2.2 外汇风险的敏感性分析</w:t>
      </w:r>
    </w:p>
    <w:p>
      <w:pPr>
        <w:pStyle w:val="20"/>
        <w:rPr>
          <w:rFonts w:hint="eastAsia"/>
        </w:rPr>
      </w:pPr>
      <w:r>
        <w:rPr>
          <w:rFonts w:hint="eastAsia"/>
        </w:rPr>
        <w:t>无</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rPr>
          <w:rFonts w:hint="eastAsia"/>
        </w:rPr>
      </w:pPr>
      <w:r>
        <w:rPr>
          <w:rFonts w:hint="eastAsia"/>
        </w:rPr>
        <w:t>  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r>
        <w:rPr>
          <w:rFonts w:hint="eastAsia"/>
        </w:rPr>
        <w:br w:type="textWrapping"/>
      </w:r>
      <w:r>
        <w:rPr>
          <w:rFonts w:hint="eastAsia"/>
        </w:rPr>
        <w:t>  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r>
        <w:rPr>
          <w:rFonts w:hint="eastAsia"/>
        </w:rPr>
        <w:br w:type="textWrapping"/>
      </w:r>
      <w:r>
        <w:rPr>
          <w:rFonts w:hint="eastAsia"/>
        </w:rPr>
        <w:t>  </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4788"/>
        <w:gridCol w:w="2661"/>
        <w:gridCol w:w="1596"/>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88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交易性金融资产-债券投资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bl>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60"/>
        <w:gridCol w:w="3244"/>
        <w:gridCol w:w="4894"/>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bl>
    <w:p>
      <w:pPr>
        <w:pStyle w:val="20"/>
        <w:rPr>
          <w:rFonts w:hint="eastAsia"/>
        </w:rPr>
      </w:pPr>
      <w:r>
        <w:rPr>
          <w:rFonts w:hint="eastAsia"/>
        </w:rPr>
        <w:t>本基金的业绩比较基准=沪深300指数收益率×80%+中债综合财富(总值)指数收益率×20%</w:t>
      </w:r>
    </w:p>
    <w:p>
      <w:pPr>
        <w:pStyle w:val="15"/>
        <w:rPr>
          <w:rFonts w:hint="eastAsia"/>
        </w:rPr>
      </w:pPr>
      <w:r>
        <w:rPr>
          <w:rFonts w:hint="eastAsia"/>
          <w:b/>
          <w:bCs/>
        </w:rPr>
        <w:t>7.4.14 有助于理解和分析会计报表需要说明的其他事项</w:t>
      </w:r>
    </w:p>
    <w:p>
      <w:pPr>
        <w:pStyle w:val="20"/>
        <w:rPr>
          <w:rFonts w:hint="eastAsia"/>
        </w:rPr>
      </w:pPr>
      <w:r>
        <w:rPr>
          <w:rFonts w:hint="eastAsia"/>
        </w:rPr>
        <w:t>  (1)公允价值</w:t>
      </w:r>
      <w:r>
        <w:rPr>
          <w:rFonts w:hint="eastAsia"/>
        </w:rPr>
        <w:br w:type="textWrapping"/>
      </w:r>
      <w:r>
        <w:rPr>
          <w:rFonts w:hint="eastAsia"/>
        </w:rPr>
        <w:t>  (a)金融工具公允价值计量的方法</w:t>
      </w:r>
      <w:r>
        <w:rPr>
          <w:rFonts w:hint="eastAsia"/>
        </w:rPr>
        <w:br w:type="textWrapping"/>
      </w:r>
      <w:r>
        <w:rPr>
          <w:rFonts w:hint="eastAsia"/>
        </w:rPr>
        <w:t>  公允价值计量结果所属的层次，由对公允价值计量整体而言具有重要意义的输入值所属的最低层次决定：</w:t>
      </w:r>
      <w:r>
        <w:rPr>
          <w:rFonts w:hint="eastAsia"/>
        </w:rPr>
        <w:br w:type="textWrapping"/>
      </w:r>
      <w:r>
        <w:rPr>
          <w:rFonts w:hint="eastAsia"/>
        </w:rPr>
        <w:t>  第一层次：相同资产或负债在活跃市场上未经调整的报价。</w:t>
      </w:r>
      <w:r>
        <w:rPr>
          <w:rFonts w:hint="eastAsia"/>
        </w:rPr>
        <w:br w:type="textWrapping"/>
      </w:r>
      <w:r>
        <w:rPr>
          <w:rFonts w:hint="eastAsia"/>
        </w:rPr>
        <w:t>  第二层次：除第一层次输入值外相关资产或负债直接或间接可观察的输入值。</w:t>
      </w:r>
      <w:r>
        <w:rPr>
          <w:rFonts w:hint="eastAsia"/>
        </w:rPr>
        <w:br w:type="textWrapping"/>
      </w:r>
      <w:r>
        <w:rPr>
          <w:rFonts w:hint="eastAsia"/>
        </w:rPr>
        <w:t>  第三层次：相关资产或负债的不可观察输入值。</w:t>
      </w:r>
      <w:r>
        <w:rPr>
          <w:rFonts w:hint="eastAsia"/>
        </w:rPr>
        <w:br w:type="textWrapping"/>
      </w:r>
      <w:r>
        <w:rPr>
          <w:rFonts w:hint="eastAsia"/>
        </w:rPr>
        <w:t>  (b)持续的以公允价值计量的金融工具</w:t>
      </w:r>
      <w:r>
        <w:rPr>
          <w:rFonts w:hint="eastAsia"/>
        </w:rPr>
        <w:br w:type="textWrapping"/>
      </w:r>
      <w:r>
        <w:rPr>
          <w:rFonts w:hint="eastAsia"/>
        </w:rPr>
        <w:t>  (i)各层次金融工具公允价值</w:t>
      </w:r>
      <w:r>
        <w:rPr>
          <w:rFonts w:hint="eastAsia"/>
        </w:rPr>
        <w:br w:type="textWrapping"/>
      </w:r>
      <w:r>
        <w:rPr>
          <w:rFonts w:hint="eastAsia"/>
        </w:rPr>
        <w:t>  于2017年12月31日，本基金持有的以公允价值计量且其变动计入当期损益的金融资产中属于第一层次的余额为120,584,506.71 元，属于第二层次的余额为7,233,698.25 元，无属于第三层次的余额。</w:t>
      </w:r>
      <w:r>
        <w:rPr>
          <w:rFonts w:hint="eastAsia"/>
        </w:rPr>
        <w:br w:type="textWrapping"/>
      </w:r>
      <w:r>
        <w:rPr>
          <w:rFonts w:hint="eastAsia"/>
        </w:rPr>
        <w:t>  (ii)公允价值所属层次间的重大变动</w:t>
      </w:r>
      <w:r>
        <w:rPr>
          <w:rFonts w:hint="eastAsia"/>
        </w:rPr>
        <w:br w:type="textWrapping"/>
      </w:r>
      <w:r>
        <w:rPr>
          <w:rFonts w:hint="eastAsia"/>
        </w:rPr>
        <w:t>  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r>
        <w:rPr>
          <w:rFonts w:hint="eastAsia"/>
        </w:rPr>
        <w:br w:type="textWrapping"/>
      </w:r>
      <w:r>
        <w:rPr>
          <w:rFonts w:hint="eastAsia"/>
        </w:rPr>
        <w:t>  (iii)第三层次公允价值余额和本期变动金额</w:t>
      </w:r>
      <w:r>
        <w:rPr>
          <w:rFonts w:hint="eastAsia"/>
        </w:rPr>
        <w:br w:type="textWrapping"/>
      </w:r>
      <w:r>
        <w:rPr>
          <w:rFonts w:hint="eastAsia"/>
        </w:rPr>
        <w:t>  无。</w:t>
      </w:r>
      <w:r>
        <w:rPr>
          <w:rFonts w:hint="eastAsia"/>
        </w:rPr>
        <w:br w:type="textWrapping"/>
      </w:r>
      <w:r>
        <w:rPr>
          <w:rFonts w:hint="eastAsia"/>
        </w:rPr>
        <w:t>  (c)非持续的以公允价值计量的金融工具</w:t>
      </w:r>
      <w:r>
        <w:rPr>
          <w:rFonts w:hint="eastAsia"/>
        </w:rPr>
        <w:br w:type="textWrapping"/>
      </w:r>
      <w:r>
        <w:rPr>
          <w:rFonts w:hint="eastAsia"/>
        </w:rPr>
        <w:t>  于2017年12月31日，本基金未持有非持续的以公允价值计量的金融资产。</w:t>
      </w:r>
      <w:r>
        <w:rPr>
          <w:rFonts w:hint="eastAsia"/>
        </w:rPr>
        <w:br w:type="textWrapping"/>
      </w:r>
      <w:r>
        <w:rPr>
          <w:rFonts w:hint="eastAsia"/>
        </w:rPr>
        <w:t>  (d)不以公允价值计量的金融工具</w:t>
      </w:r>
      <w:r>
        <w:rPr>
          <w:rFonts w:hint="eastAsia"/>
        </w:rPr>
        <w:br w:type="textWrapping"/>
      </w:r>
      <w:r>
        <w:rPr>
          <w:rFonts w:hint="eastAsia"/>
        </w:rPr>
        <w:t>  不以公允价值计量的金融资产和负债主要包括应收款项和其他金融负债，其账面价值与公允价值相差很小。</w:t>
      </w:r>
      <w:r>
        <w:rPr>
          <w:rFonts w:hint="eastAsia"/>
        </w:rPr>
        <w:br w:type="textWrapping"/>
      </w:r>
      <w:r>
        <w:rPr>
          <w:rFonts w:hint="eastAsia"/>
        </w:rPr>
        <w:t>  (2)增值税</w:t>
      </w:r>
      <w:r>
        <w:rPr>
          <w:rFonts w:hint="eastAsia"/>
        </w:rPr>
        <w:br w:type="textWrapping"/>
      </w:r>
      <w:r>
        <w:rPr>
          <w:rFonts w:hint="eastAsia"/>
        </w:rPr>
        <w:t>  根据财政部、国家税务总局于2016年12月21日颁布的财税[2016]140号《关于明确金融 房地产开发 教育辅助服务等增值税政策的通知》的规定，资管产品运营过程中发生的增值税应税行为，以资管产品管理人为增值税纳税人。</w:t>
      </w:r>
      <w:r>
        <w:rPr>
          <w:rFonts w:hint="eastAsia"/>
        </w:rPr>
        <w:br w:type="textWrapping"/>
      </w:r>
      <w:r>
        <w:rPr>
          <w:rFonts w:hint="eastAsia"/>
        </w:rPr>
        <w:t>  根据财政部、国家税务总局于2017年6月30日颁布的财税[2017]56号《关于资管产品增值税有关问题的通知》的规定，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r>
        <w:rPr>
          <w:rFonts w:hint="eastAsia"/>
        </w:rPr>
        <w:br w:type="textWrapping"/>
      </w:r>
      <w:r>
        <w:rPr>
          <w:rFonts w:hint="eastAsia"/>
        </w:rPr>
        <w:t>  此外，财政部、国家税务总局于2017年12月25日颁布的财税[2017]90号《关于租入固定资产进行税额抵扣等增值税政策的通知》对资管产品管理人自2018年1月1日起运营资管产品提供的贷款服务、发生的部分金融商品转让业务的销售额确定做出规定。</w:t>
      </w:r>
      <w:r>
        <w:rPr>
          <w:rFonts w:hint="eastAsia"/>
        </w:rPr>
        <w:br w:type="textWrapping"/>
      </w:r>
      <w:r>
        <w:rPr>
          <w:rFonts w:hint="eastAsia"/>
        </w:rPr>
        <w:t>  上述税收政策对本基金截至2017年12月31日止的财务状况和经营成果无影响。</w:t>
      </w:r>
      <w:r>
        <w:rPr>
          <w:rFonts w:hint="eastAsia"/>
        </w:rPr>
        <w:br w:type="textWrapping"/>
      </w:r>
      <w:r>
        <w:rPr>
          <w:rFonts w:hint="eastAsia"/>
        </w:rPr>
        <w:t>  (3)除公允价值和增值税外，截至资产负债表日本基金无需要说明的其他重要事项。</w:t>
      </w:r>
    </w:p>
    <w:p>
      <w:pPr>
        <w:pStyle w:val="13"/>
        <w:rPr>
          <w:rFonts w:hint="eastAsia"/>
        </w:rPr>
      </w:pPr>
      <w:bookmarkStart w:id="35" w:name="_Toc510100168"/>
      <w:r>
        <w:rPr>
          <w:rFonts w:hint="eastAsia" w:hAnsi="Calibri"/>
          <w:b/>
          <w:color w:val="000000"/>
        </w:rPr>
        <w:t>§8 投资组合报告</w:t>
      </w:r>
      <w:bookmarkEnd w:id="35"/>
    </w:p>
    <w:p>
      <w:pPr>
        <w:pStyle w:val="14"/>
        <w:rPr>
          <w:rFonts w:hint="eastAsia"/>
        </w:rPr>
      </w:pPr>
      <w:bookmarkStart w:id="36" w:name="_Toc510100169"/>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22,382,983.05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2,389,096.26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pStyle w:val="14"/>
        <w:rPr>
          <w:rFonts w:hint="eastAsia"/>
        </w:rPr>
      </w:pPr>
      <w:bookmarkStart w:id="37" w:name="_Toc510100170"/>
      <w:r>
        <w:rPr>
          <w:rFonts w:hint="eastAsia"/>
          <w:b/>
          <w:bCs/>
        </w:rPr>
        <w:t>8.2 报告期末按行业分类的股票投资组合</w:t>
      </w:r>
      <w:bookmarkEnd w:id="37"/>
    </w:p>
    <w:p>
      <w:pPr>
        <w:pStyle w:val="15"/>
        <w:rPr>
          <w:rFonts w:hint="eastAsia"/>
        </w:rPr>
      </w:pPr>
      <w:r>
        <w:rPr>
          <w:rFonts w:hint="eastAsia"/>
          <w:b/>
          <w:bCs/>
        </w:rPr>
        <w:t>8.2.1 报告期末按行业分类的境内股票投资组合</w:t>
      </w:r>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98,235.00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5,129,158.38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53,741,924.19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35.56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1,905,742.20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4,521,158.00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2,763,345.00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5,348,271.76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4,269,659.55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36,453,161.53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6,682,123.00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2,176,410.00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1,629,403.95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590,490.00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2,016,723.00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30,366.00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84.26</w:t>
            </w:r>
          </w:p>
        </w:tc>
      </w:tr>
    </w:tbl>
    <w:p>
      <w:pPr>
        <w:rPr>
          <w:vanish/>
        </w:rPr>
      </w:pPr>
    </w:p>
    <w:tbl>
      <w:tblPr>
        <w:tblStyle w:val="7"/>
        <w:tblW w:w="0" w:type="dxa"/>
        <w:tblInd w:w="108" w:type="dxa"/>
        <w:tblLayout w:type="autofit"/>
        <w:tblCellMar>
          <w:top w:w="0" w:type="dxa"/>
          <w:left w:w="0" w:type="dxa"/>
          <w:bottom w:w="0" w:type="dxa"/>
          <w:right w:w="0" w:type="dxa"/>
        </w:tblCellMar>
      </w:tblPr>
      <w:tblGrid>
        <w:gridCol w:w="6"/>
      </w:tblGrid>
      <w:tr>
        <w:tblPrEx>
          <w:tblCellMar>
            <w:top w:w="0" w:type="dxa"/>
            <w:left w:w="0" w:type="dxa"/>
            <w:bottom w:w="0" w:type="dxa"/>
            <w:right w:w="0" w:type="dxa"/>
          </w:tblCellMar>
        </w:tblPrEx>
        <w:trPr>
          <w:wBefore w:w="0" w:type="auto"/>
        </w:trPr>
        <w:tc>
          <w:tcPr>
            <w:tcW w:w="0" w:type="auto"/>
            <w:noWrap w:val="0"/>
            <w:vAlign w:val="center"/>
          </w:tcPr>
          <w:p>
            <w:pPr>
              <w:rPr>
                <w:rFonts w:hint="eastAsia" w:ascii="宋体" w:hAnsi="宋体" w:cs="宋体"/>
                <w:kern w:val="0"/>
                <w:sz w:val="24"/>
                <w:szCs w:val="24"/>
              </w:rPr>
            </w:pPr>
          </w:p>
        </w:tc>
      </w:tr>
    </w:tbl>
    <w:p>
      <w:pPr>
        <w:pStyle w:val="14"/>
      </w:pPr>
      <w:bookmarkStart w:id="38" w:name="_Toc510100171"/>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6"/>
        <w:gridCol w:w="1650"/>
        <w:gridCol w:w="1650"/>
        <w:gridCol w:w="1731"/>
        <w:gridCol w:w="1650"/>
        <w:gridCol w:w="16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166,693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5,075,801.85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4,255,203.88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4,162,793.00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3,298,572.00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3,215,416.00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2,937,267.00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2,510,964.00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2,388,672.00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2,177,428.00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2,142,439.00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1,741,392.00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1,722,420.70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1,644,581.16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1,541,129.38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1,515,280.60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1,460,340.00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1,411,800.00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1,357,930.00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1,348,956.00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1,224,312.00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丽珠集团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1,209,390.00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1,204,518.75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1,203,386.00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1,200,676.10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1,194,600.00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1,155,036.00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1,101,121.40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995,430.87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957,047.00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885,573.00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771,974.00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739,110.00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671,840.00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658,692.00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645,919.00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621,552.00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535,902.90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478,848.00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463,603.00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417,894.00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厦门国贸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408,813.00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384,406.00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天茂集团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359,135.00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闰土股份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354,872.87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353,277.00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351,090.00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347,067.00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344,400.00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332,804.60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331,499.00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春秋航空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318,734.00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视源股份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311,750.00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苏宁环球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291,410.00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森源电气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深南电路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267,621.64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256,883.00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243,507.00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240,318.00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213,846.00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206,193.60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183,915.00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182,666.00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德赛西威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178,784.97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174,724.00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159,896.05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西部证券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154,671.00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130,752.00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102,880.14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海南橡胶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97,418.00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贵州百灵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88,509.00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86,457.00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杭州银行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上海莱士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立思辰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潮宏基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光弘科技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44,407.54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中欣氟材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38,181.15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603477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振静股份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国轩高科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小商品城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神州高铁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科创信息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34,112.55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三七互娱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鹏鹞环保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石化油服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名臣健康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28,948.46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22,248.15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赛腾股份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上海雅仕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新疆火炬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16,143.20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张家港行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中石科技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11,528.38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朗博科技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8,193.30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天健集团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pStyle w:val="14"/>
        <w:rPr>
          <w:rFonts w:hint="eastAsia"/>
        </w:rPr>
      </w:pPr>
      <w:bookmarkStart w:id="39" w:name="_Toc510100172"/>
      <w:r>
        <w:rPr>
          <w:rFonts w:hint="eastAsia"/>
          <w:b/>
          <w:bCs/>
        </w:rPr>
        <w:t>8.4 报告期内股票投资组合的重大变动</w:t>
      </w:r>
      <w:bookmarkEnd w:id="39"/>
    </w:p>
    <w:p>
      <w:pPr>
        <w:pStyle w:val="15"/>
        <w:rPr>
          <w:rFonts w:hint="eastAsia"/>
        </w:rPr>
      </w:pPr>
      <w:r>
        <w:rPr>
          <w:rFonts w:hint="eastAsia"/>
          <w:b/>
          <w:bCs/>
        </w:rPr>
        <w:t>8.4.1 累计买入金额超出期末基金资产净值2%或前20名的股票明细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100,702,901.37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81,219,237.72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74,701,482.17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73,545,874.93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69,476,932.29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63,768,001.56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63,412,312.04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62,772,796.00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53,415,242.47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50,757,828.11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43,149,578.02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42,013,929.90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40,237,028.04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40,225,666.80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40,071,199.43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39,197,269.00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38,784,842.00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36,158,194.00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33,502,083.44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33,457,483.86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30,956,043.19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30,747,655.70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29,869,131.59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29,741,293.53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28,774,363.76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28,681,274.00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28,138,446.67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27,855,828.00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27,657,491.40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26,748,131.34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26,667,701.75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26,099,779.22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26,035,711.38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25,278,758.82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24,854,321.20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24,296,500.24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23,938,044.23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23,565,228.14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22,835,584.15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22,609,731.42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22,461,152.69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21,600,177.46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21,158,803.64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20,890,239.00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20,753,787.20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20,639,956.20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20,255,654.99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20,251,827.50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19,882,798.00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19,631,867.48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18,571,621.00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18,482,889.00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18,119,798.00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18,029,159.55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17,879,043.00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17,726,513.15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17,378,350.74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17,245,809.77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17,092,009.24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16,881,223.80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16,863,833.00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16,731,352.00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16,349,950.40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15,598,074.80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15,455,841.80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15,055,517.24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15,013,188.30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14,941,547.00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14,551,897.56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14,304,217.26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14,192,391.50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14,041,098.10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13,974,121.00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13,737,499.56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13,427,888.81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13,140,795.39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13,067,554.00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12,778,286.71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12,333,834.45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11,941,336.00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11,912,003.00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11,833,168.23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11,718,174.62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11,696,542.76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11,404,602.00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11,061,894.20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10,937,798.00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10,842,229.29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10,722,569.00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10,680,905.00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10,436,414.00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荣安地产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10,263,345.00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10,157,328.86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9,929,793.00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9,894,250.40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9,880,591.54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9,872,446.80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9,862,241.20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9,805,271.00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9,440,634.61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9,347,277.61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9,335,186.60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8,936,104.00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8,847,479.18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8,546,834.93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8,502,592.98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8,376,191.00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8,344,980.30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8,240,784.39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8,235,035.00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8,216,824.00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8,210,880.00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8,035,408.00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8,016,415.96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7,853,742.74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7,818,725.98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7,618,072.87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7,596,735.49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7,443,942.00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7,376,329.87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7,341,040.00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7,337,356.27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7,241,567.00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7,165,383.01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7,130,266.00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7,021,076.00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6,925,685.04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6,412,851.63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6,407,791.71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6,183,310.39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6,125,691.00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6,091,220.91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6,078,303.03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5,962,736.00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5,942,170.00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5,926,601.00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5,862,236.50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5,765,019.24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5,750,307.00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5,644,959.00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5,601,679.00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5,554,433.00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5,546,491.54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5,514,951.00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5,289,708.00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5,261,266.00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5,246,285.00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上海莱士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5,166,369.43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贝因美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5,118,146.00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4,974,060.36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4,843,022.90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4,829,965.00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4,793,506.87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4,704,035.26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4,695,117.96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4,597,499.56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4,591,853.69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4,446,730.40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4,437,060.99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4,419,629.68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4,339,868.70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4,332,823.00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4,327,427.21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4,305,980.00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4,283,490.00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4,262,228.80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4,216,582.00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4,037,015.00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3,990,189.63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3,928,151.87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3,861,687.00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3,791,571.69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3,771,337.00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3,742,429.15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3,712,993.40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3,682,163.00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3,682,122.00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3,649,337.00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3,620,800.00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3,616,762.00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西王食品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3,569,783.00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3,533,176.86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鸿达兴业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3,467,844.00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康得新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3,429,657.00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3,422,181.00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3,416,130.00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3,391,703.00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3,373,769.00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翰宇药业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3,326,727.00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3,308,284.95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3,302,297.00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3,263,851.00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3,253,651.00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圆通速递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3,220,277.98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3,209,452.00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奥瑞德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3,178,387.00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3,135,308.00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3,093,350.78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3,038,503.92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爱施德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3,034,927.27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bl>
    <w:p>
      <w:pPr>
        <w:pStyle w:val="20"/>
        <w:rPr>
          <w:rFonts w:hint="eastAsia"/>
        </w:rPr>
      </w:pPr>
      <w:r>
        <w:rPr>
          <w:rFonts w:hint="eastAsia"/>
        </w:rPr>
        <w:t>注：本期累计买入金额按买卖成交金额,不考虑相关交易费用。</w:t>
      </w:r>
    </w:p>
    <w:p>
      <w:pPr>
        <w:pStyle w:val="15"/>
        <w:rPr>
          <w:rFonts w:hint="eastAsia"/>
        </w:rPr>
      </w:pPr>
      <w:r>
        <w:rPr>
          <w:rFonts w:hint="eastAsia"/>
          <w:b/>
          <w:bCs/>
        </w:rPr>
        <w:t>8.4.2 累计卖出金额超出期末基金资产净值2%或前20名的股票明细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49"/>
        <w:gridCol w:w="2059"/>
        <w:gridCol w:w="2059"/>
        <w:gridCol w:w="2059"/>
        <w:gridCol w:w="2072"/>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101,595,520.01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80,348,164.52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72,664,028.25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70,006,698.19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69,852,805.44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66,252,952.39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63,952,790.65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62,795,161.00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51,844,806.32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50,432,088.16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44,377,411.31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42,792,526.75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41,035,779.02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39,436,011.27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38,488,570.00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38,335,026.27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37,020,594.40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34,953,085.99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33,298,600.88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32,884,884.52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30,694,893.65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30,609,798.12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30,100,336.19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28,413,289.88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27,818,107.00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27,622,647.04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27,111,101.00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26,782,710.95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26,636,594.12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25,964,539.84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25,961,334.35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25,315,998.69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中山公用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24,555,365.17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23,967,032.12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23,723,658.98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23,439,143.04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22,654,771.97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22,411,737.09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22,333,029.75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21,408,785.45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21,027,208.85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20,978,120.50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20,631,785.00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20,597,751.20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20,580,587.89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20,543,429.42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20,375,979.86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20,277,870.84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19,294,038.00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19,254,057.70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18,869,704.59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18,751,826.00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17,841,046.00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金正大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17,635,805.74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17,401,548.66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航发控制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17,071,181.98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红日药业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17,002,638.35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16,866,064.18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16,774,660.69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16,594,424.00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16,539,563.40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和 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16,043,968.08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15,836,227.36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15,318,543.00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15,038,568.22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14,954,192.93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14,935,726.13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14,929,631.00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华润三九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14,445,380.05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14,437,120.00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新湖中宝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14,187,373.75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13,836,629.00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13,705,281.00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13,635,590.00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鄂武商Ａ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13,273,273.89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12,644,240.00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12,353,958.42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12,213,048.80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星网锐捷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12,125,658.16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12,080,397.41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12,063,151.55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鲁西化工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11,959,436.95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11,816,338.21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11,646,465.00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山西证券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11,536,711.39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11,208,124.00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世纪华通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11,087,119.39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青青稞酒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10,762,181.70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华闻传媒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10,680,431.00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10,513,307.40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长安汽车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10,277,356.05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荣安地产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10,259,749.00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亿帆医药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10,224,840.56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锡业股份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9,858,663.60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9,725,314.00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9,725,211.94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9,452,531.00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苏宁云商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9,219,244.74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9,000,362.90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太钢不锈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8,986,815.00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8,885,642.57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8,797,731.51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8,662,992.20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8,578,413.00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8,502,846.85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8,490,912.07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8,473,229.10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8,378,402.32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富春环保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8,244,281.90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渤海金控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7,995,025.40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7,767,637.12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7,670,721.30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7,567,640.75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7,507,075.00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7,403,167.61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7,361,708.40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7,347,341.00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7,341,394.00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合肥百货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7,236,501.34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7,169,166.47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7,024,249.45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恒生电子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6,997,319.64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6,986,803.00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6,917,868.13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中远海控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6,756,776.00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6,606,601.40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古井贡酒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6,403,977.56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6,401,948.26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6,231,483.90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6,102,331.00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5,961,361.73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5,929,640.16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5,877,068.76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5,748,420.00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5,739,658.33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四川长虹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5,727,376.00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5,682,196.00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5,460,935.00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5,443,862.00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光迅科技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5,437,530.60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5,357,481.54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5,354,524.14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盐湖股份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5,337,538.00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贝因美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5,159,546.00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5,138,769.00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上海莱士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5,138,549.60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4,899,524.00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4,828,875.65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沪电股份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4,723,085.00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4,577,102.00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4,552,140.50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4,539,574.00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 产 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4,515,873.80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4,398,781.68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4,352,684.00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4,301,460.00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旋极信息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4,293,086.32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健康元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4,292,838.00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4,286,234.17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4,238,778.07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庞大集团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4,151,855.00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4,095,568.83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维维股份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4,072,299.00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4,044,675.00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4,032,667.00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4,025,539.00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泛海控股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3,978,149.00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华策影视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3,932,881.50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3,888,258.00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四维图新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3,868,154.00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3,822,739.56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3,787,517.16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3,696,927.00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3,650,302.00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3,650,094.00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3,641,101.00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3,565,811.00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誉衡药业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3,562,284.00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二三四五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3,551,868.27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3,551,059.00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3,543,540.00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天坛生物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3,491,160.39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西王食品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3,459,310.00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3,366,432.44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3,356,807.00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3,336,685.00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3,319,515.53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圆通速递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3,280,887.75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翰宇药业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3,273,302.80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3,241,805.53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3,235,505.00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阳光电源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3,212,937.36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3,185,580.97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开山股份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3,177,897.75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3,025,397.67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3,428,022,311.95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3,348,092,137.77</w:t>
            </w:r>
          </w:p>
        </w:tc>
      </w:tr>
    </w:tbl>
    <w:p>
      <w:pPr>
        <w:pStyle w:val="20"/>
        <w:rPr>
          <w:rFonts w:hint="eastAsia"/>
        </w:rPr>
      </w:pPr>
      <w:r>
        <w:rPr>
          <w:rFonts w:hint="eastAsia"/>
        </w:rPr>
        <w:t>注:买入股票成本、卖出股票收入均按买卖成交金额填列，不考虑相关交易费用。</w:t>
      </w:r>
    </w:p>
    <w:p>
      <w:pPr>
        <w:pStyle w:val="14"/>
        <w:rPr>
          <w:rFonts w:hint="eastAsia"/>
        </w:rPr>
      </w:pPr>
      <w:bookmarkStart w:id="40" w:name="_Toc510100173"/>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0.31</w:t>
            </w:r>
          </w:p>
        </w:tc>
      </w:tr>
    </w:tbl>
    <w:p>
      <w:pPr>
        <w:pStyle w:val="14"/>
        <w:rPr>
          <w:rFonts w:hint="eastAsia"/>
        </w:rPr>
      </w:pPr>
      <w:bookmarkStart w:id="41" w:name="_Toc510100174"/>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800"/>
        <w:gridCol w:w="1634"/>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17宝武EB</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宁行转债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0.02</w:t>
            </w:r>
          </w:p>
        </w:tc>
      </w:tr>
    </w:tbl>
    <w:p>
      <w:pPr>
        <w:pStyle w:val="14"/>
        <w:rPr>
          <w:rFonts w:hint="eastAsia"/>
        </w:rPr>
      </w:pPr>
      <w:bookmarkStart w:id="42" w:name="_Toc510100175"/>
      <w:r>
        <w:rPr>
          <w:rFonts w:hint="eastAsia"/>
          <w:b/>
          <w:bCs/>
        </w:rPr>
        <w:t>8.7 期末按公允价值占基金资产净值比例大小排序的所有资产支持证券投资明细</w:t>
      </w:r>
      <w:bookmarkEnd w:id="42"/>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本基金本报告期末未持有资产支持证券。</w:t>
      </w:r>
    </w:p>
    <w:p>
      <w:pPr>
        <w:pStyle w:val="14"/>
        <w:rPr>
          <w:rFonts w:hint="eastAsia"/>
        </w:rPr>
      </w:pPr>
      <w:bookmarkStart w:id="43" w:name="_Toc510100176"/>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pStyle w:val="14"/>
        <w:rPr>
          <w:rFonts w:hint="eastAsia"/>
        </w:rPr>
      </w:pPr>
      <w:bookmarkStart w:id="44" w:name="_Toc510100177"/>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pStyle w:val="14"/>
        <w:rPr>
          <w:rFonts w:hint="eastAsia"/>
        </w:rPr>
      </w:pPr>
      <w:bookmarkStart w:id="45" w:name="_Toc510100178"/>
      <w:r>
        <w:rPr>
          <w:rFonts w:hint="eastAsia"/>
          <w:b/>
          <w:bCs/>
        </w:rPr>
        <w:t>8.10 报告期末本基金投资的股指期货交易情况说明</w:t>
      </w:r>
      <w:bookmarkEnd w:id="45"/>
    </w:p>
    <w:p>
      <w:pPr>
        <w:pStyle w:val="15"/>
        <w:rPr>
          <w:rFonts w:hint="eastAsia"/>
        </w:rPr>
      </w:pPr>
      <w:r>
        <w:rPr>
          <w:rFonts w:hint="eastAsia"/>
          <w:b/>
          <w:bCs/>
        </w:rPr>
        <w:t>8.10.1 报告期末本基金投资的股指期货持仓和损益明细</w:t>
      </w:r>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10,931,220.00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156,720.00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-2,660,820.00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156,720.00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rPr>
          <w:rFonts w:hint="eastAsia"/>
        </w:rPr>
      </w:pPr>
      <w:r>
        <w:rPr>
          <w:rFonts w:hint="eastAsia"/>
        </w:rPr>
        <w:t>  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510100179"/>
      <w:r>
        <w:rPr>
          <w:rFonts w:hint="eastAsia"/>
          <w:b/>
          <w:bCs/>
        </w:rPr>
        <w:t>8.11 报告期末本基金投资的国债期货交易情况说明</w:t>
      </w:r>
      <w:bookmarkEnd w:id="46"/>
    </w:p>
    <w:p>
      <w:pPr>
        <w:widowControl/>
        <w:jc w:val="left"/>
        <w:rPr>
          <w:rFonts w:hint="eastAsia" w:ascii="宋体" w:hAnsi="宋体" w:cs="宋体"/>
          <w:kern w:val="0"/>
          <w:sz w:val="24"/>
          <w:szCs w:val="24"/>
        </w:rPr>
      </w:pP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widowControl/>
              <w:jc w:val="left"/>
              <w:rPr>
                <w:rFonts w:hint="eastAsia" w:ascii="宋体" w:hAnsi="宋体" w:cs="宋体"/>
                <w:kern w:val="0"/>
                <w:sz w:val="24"/>
                <w:szCs w:val="24"/>
              </w:rPr>
            </w:pPr>
          </w:p>
        </w:tc>
      </w:tr>
    </w:tbl>
    <w:p>
      <w:pPr>
        <w:pStyle w:val="20"/>
      </w:pPr>
      <w:r>
        <w:rPr>
          <w:rFonts w:hint="eastAsia"/>
        </w:rPr>
        <w:t>本基金本报告期未投资国债期货。</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4"/>
        <w:rPr>
          <w:rFonts w:hint="eastAsia"/>
        </w:rPr>
      </w:pPr>
      <w:bookmarkStart w:id="47" w:name="_Toc510100180"/>
      <w:r>
        <w:rPr>
          <w:rFonts w:hint="eastAsia"/>
          <w:b/>
          <w:bCs/>
        </w:rPr>
        <w:t>8.12 投资组合报告附注</w:t>
      </w:r>
      <w:bookmarkEnd w:id="47"/>
    </w:p>
    <w:p>
      <w:pPr>
        <w:pStyle w:val="15"/>
        <w:rPr>
          <w:rFonts w:hint="eastAsia"/>
        </w:rPr>
      </w:pPr>
      <w:r>
        <w:rPr>
          <w:rFonts w:hint="eastAsia"/>
          <w:b/>
          <w:bCs/>
        </w:rPr>
        <w:t>8.12.1 2016年9月20日，万华化学集团股份有限公司（下称"万华化学"，股票代码：600309）的烟台工业园发生了爆炸事故，根据事故安全调查结果，认定该爆炸事故是一起较大生产安全责任事故，事故造成4人死亡，4人受伤；直接经济损失573.62万元。根据烟台市人民政府批复的《万华化学集团股份有限公司烟台工业园"9.20"较大爆炸事故调查报告》的建议，万华化学对9名相关责任人给予相应责任追究，包括解除劳动合同、撤职、留厂查看、降级、记过、警告等处分；烟台市安监局对万华化学集团股份有限公司负责人处上一年收入40%的罚款，对万华化学集团股份有限公司处以80万元罚款。</w:t>
      </w:r>
      <w:r>
        <w:rPr>
          <w:rFonts w:hint="eastAsia"/>
          <w:b/>
          <w:bCs/>
        </w:rPr>
        <w:br w:type="textWrapping"/>
      </w:r>
      <w:r>
        <w:rPr>
          <w:rFonts w:hint="eastAsia"/>
          <w:b/>
          <w:bCs/>
        </w:rPr>
        <w:t>  本基金投研人员分析认为，在事故发生以及受到处罚后，万华化学认真吸取事故教训，改正态度积极，并迅速做出反应，查找不足，积极整改，进一步加强安全管理，该事件发生后该公司经营状况正常。另外，事故于一年前发生，事故对于该公司的影响已逐步变淡，对公司业绩影响有限。该公司目前经营状况良好。本基金基金经理依据基金合同和公司投资管理制度，在投资授权范围内，经正常投资决策程序对万华化学进行了投资。</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2,389,096.26</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本基金本报告期末未持有处于转股期的可转换债券。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5"/>
        <w:rPr>
          <w:rFonts w:hint="eastAsia"/>
        </w:rPr>
      </w:pPr>
      <w:r>
        <w:rPr>
          <w:rFonts w:hint="eastAsia"/>
          <w:b/>
          <w:bCs/>
        </w:rPr>
        <w:t>8.12.5 期末前十名股票中存在流通受限情况的说明</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r>
        <w:rPr>
          <w:rFonts w:hint="eastAsia" w:ascii="宋体" w:hAnsi="宋体" w:cs="宋体"/>
          <w:kern w:val="0"/>
          <w:sz w:val="24"/>
          <w:szCs w:val="24"/>
        </w:rPr>
        <w:br w:type="textWrapping"/>
      </w:r>
      <w:r>
        <w:rPr>
          <w:rFonts w:hint="eastAsia" w:ascii="宋体" w:hAnsi="宋体" w:cs="宋体"/>
          <w:kern w:val="0"/>
          <w:sz w:val="24"/>
          <w:szCs w:val="24"/>
        </w:rPr>
        <w:br w:type="textWrapping"/>
      </w:r>
    </w:p>
    <w:p>
      <w:pPr>
        <w:pStyle w:val="13"/>
        <w:rPr>
          <w:rFonts w:hint="eastAsia"/>
        </w:rPr>
      </w:pPr>
      <w:bookmarkStart w:id="48" w:name="_Toc510100181"/>
      <w:r>
        <w:rPr>
          <w:rFonts w:hint="eastAsia" w:hAnsi="Calibri"/>
          <w:b/>
          <w:color w:val="000000"/>
        </w:rPr>
        <w:t>§9  基金份额持有人信息</w:t>
      </w:r>
      <w:bookmarkEnd w:id="48"/>
    </w:p>
    <w:p>
      <w:pPr>
        <w:pStyle w:val="14"/>
        <w:rPr>
          <w:rFonts w:hint="eastAsia"/>
        </w:rPr>
      </w:pPr>
      <w:bookmarkStart w:id="49" w:name="_Toc510100182"/>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jc w:val="center"/>
        <w:tblLayout w:type="autofit"/>
        <w:tblCellMar>
          <w:top w:w="0" w:type="dxa"/>
          <w:left w:w="108" w:type="dxa"/>
          <w:bottom w:w="0" w:type="dxa"/>
          <w:right w:w="108" w:type="dxa"/>
        </w:tblCellMar>
      </w:tblPr>
      <w:tblGrid>
        <w:gridCol w:w="904"/>
        <w:gridCol w:w="904"/>
        <w:gridCol w:w="1809"/>
        <w:gridCol w:w="1809"/>
        <w:gridCol w:w="905"/>
        <w:gridCol w:w="1809"/>
        <w:gridCol w:w="905"/>
      </w:tblGrid>
      <w:tr>
        <w:tblPrEx>
          <w:tblCellMar>
            <w:top w:w="0" w:type="dxa"/>
            <w:left w:w="108" w:type="dxa"/>
            <w:bottom w:w="0" w:type="dxa"/>
            <w:right w:w="108" w:type="dxa"/>
          </w:tblCellMar>
        </w:tblPrEx>
        <w:trPr>
          <w:wBefore w:w="0" w:type="auto"/>
          <w:jc w:val="center"/>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65,777.87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65,422.28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66,693.44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510100183"/>
      <w:r>
        <w:rPr>
          <w:rFonts w:hint="eastAsia" w:hAnsi="Calibri"/>
          <w:b/>
          <w:color w:val="000000"/>
        </w:rPr>
        <w:t>9.2期末基金管理人的从业人员持有本基金的情况</w:t>
      </w:r>
      <w:bookmarkEnd w:id="50"/>
    </w:p>
    <w:tbl>
      <w:tblPr>
        <w:tblStyle w:val="7"/>
        <w:tblW w:w="9045" w:type="dxa"/>
        <w:jc w:val="center"/>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jc w:val="center"/>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119,386.22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37,065.78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0.0600%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156,452.00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0.1200%</w:t>
            </w:r>
          </w:p>
        </w:tc>
      </w:tr>
    </w:tbl>
    <w:p>
      <w:pPr>
        <w:widowControl/>
        <w:jc w:val="left"/>
        <w:rPr>
          <w:rFonts w:hint="eastAsia" w:ascii="宋体" w:hAnsi="宋体" w:cs="宋体"/>
          <w:kern w:val="0"/>
          <w:sz w:val="24"/>
          <w:szCs w:val="24"/>
        </w:rPr>
      </w:pPr>
    </w:p>
    <w:p>
      <w:pPr>
        <w:pStyle w:val="14"/>
        <w:rPr>
          <w:rFonts w:hint="eastAsia"/>
        </w:rPr>
      </w:pPr>
      <w:bookmarkStart w:id="51" w:name="_Toc510100184"/>
      <w:r>
        <w:rPr>
          <w:rFonts w:hint="eastAsia"/>
          <w:b/>
          <w:bCs/>
        </w:rPr>
        <w:t>9.3期末基金管理人的从业人员持有本开放式基金份额总量区间情况</w:t>
      </w:r>
      <w:bookmarkEnd w:id="51"/>
    </w:p>
    <w:tbl>
      <w:tblPr>
        <w:tblStyle w:val="7"/>
        <w:tblW w:w="9045" w:type="dxa"/>
        <w:jc w:val="center"/>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jc w:val="center"/>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jc w:val="center"/>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jc w:val="center"/>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pStyle w:val="13"/>
        <w:rPr>
          <w:rFonts w:hint="eastAsia"/>
        </w:rPr>
      </w:pPr>
      <w:bookmarkStart w:id="52" w:name="_Toc510100185"/>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基金合同生效日(2017年03月27日)基金份额总额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269,241,417.75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532,756,314.04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12,412,980.46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43,302,236.41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205,088,963.11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517,636,454.50</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76,565,435.10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58,422,095.95</w:t>
            </w:r>
          </w:p>
        </w:tc>
      </w:tr>
    </w:tbl>
    <w:p>
      <w:pPr>
        <w:pStyle w:val="13"/>
        <w:rPr>
          <w:rFonts w:hint="eastAsia"/>
        </w:rPr>
      </w:pPr>
      <w:bookmarkStart w:id="53" w:name="_Toc510100186"/>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510100187"/>
      <w:r>
        <w:rPr>
          <w:rFonts w:hint="eastAsia"/>
          <w:b/>
          <w:bCs/>
        </w:rPr>
        <w:t>11.1 基金份额持有人大会决议</w:t>
      </w:r>
      <w:bookmarkEnd w:id="54"/>
    </w:p>
    <w:p>
      <w:pPr>
        <w:pStyle w:val="20"/>
        <w:rPr>
          <w:rFonts w:hint="eastAsia"/>
        </w:rPr>
      </w:pPr>
      <w:r>
        <w:rPr>
          <w:rFonts w:hint="eastAsia"/>
        </w:rPr>
        <w:t>  本报告期内未召开基金份额持有人大会。</w:t>
      </w:r>
    </w:p>
    <w:p>
      <w:pPr>
        <w:pStyle w:val="14"/>
        <w:rPr>
          <w:rFonts w:hint="eastAsia"/>
        </w:rPr>
      </w:pPr>
      <w:bookmarkStart w:id="55" w:name="_Toc510100188"/>
      <w:r>
        <w:rPr>
          <w:rFonts w:hint="eastAsia"/>
          <w:b/>
          <w:bCs/>
        </w:rPr>
        <w:t>11.2 基金管理人、基金托管人的专门基金托管部门的重大人事变动</w:t>
      </w:r>
      <w:bookmarkEnd w:id="55"/>
    </w:p>
    <w:p>
      <w:pPr>
        <w:pStyle w:val="20"/>
        <w:rPr>
          <w:rFonts w:hint="eastAsia"/>
        </w:rPr>
      </w:pPr>
      <w:r>
        <w:rPr>
          <w:rFonts w:hint="eastAsia"/>
        </w:rPr>
        <w:t>  本报告期内基金管理人、基金托管人的专门基金托管部门无重大人事变动。</w:t>
      </w:r>
    </w:p>
    <w:p>
      <w:pPr>
        <w:pStyle w:val="14"/>
        <w:rPr>
          <w:rFonts w:hint="eastAsia"/>
        </w:rPr>
      </w:pPr>
      <w:bookmarkStart w:id="56" w:name="_Toc510100189"/>
      <w:r>
        <w:rPr>
          <w:rFonts w:hint="eastAsia"/>
          <w:b/>
          <w:bCs/>
        </w:rPr>
        <w:t>11.3 涉及基金管理人、基金财产、基金托管业务的诉讼</w:t>
      </w:r>
      <w:bookmarkEnd w:id="56"/>
    </w:p>
    <w:p>
      <w:pPr>
        <w:pStyle w:val="20"/>
        <w:rPr>
          <w:rFonts w:hint="eastAsia"/>
        </w:rPr>
      </w:pPr>
      <w:r>
        <w:rPr>
          <w:rFonts w:hint="eastAsia"/>
        </w:rPr>
        <w:t>  本报告期内，未出现涉及基金管理人、基金财产、基金托管业务的诉讼。</w:t>
      </w:r>
    </w:p>
    <w:p>
      <w:pPr>
        <w:pStyle w:val="14"/>
        <w:rPr>
          <w:rFonts w:hint="eastAsia"/>
        </w:rPr>
      </w:pPr>
      <w:bookmarkStart w:id="57" w:name="_Toc510100190"/>
      <w:r>
        <w:rPr>
          <w:rFonts w:hint="eastAsia"/>
          <w:b/>
          <w:bCs/>
        </w:rPr>
        <w:t>11.4 基金投资策略的改变</w:t>
      </w:r>
      <w:bookmarkEnd w:id="57"/>
    </w:p>
    <w:p>
      <w:pPr>
        <w:pStyle w:val="20"/>
        <w:rPr>
          <w:rFonts w:hint="eastAsia"/>
        </w:rPr>
      </w:pPr>
      <w:r>
        <w:rPr>
          <w:rFonts w:hint="eastAsia"/>
        </w:rPr>
        <w:t>  本报告期内基金投资策略无重大改变。</w:t>
      </w:r>
    </w:p>
    <w:p>
      <w:pPr>
        <w:pStyle w:val="14"/>
        <w:rPr>
          <w:rFonts w:hint="eastAsia"/>
        </w:rPr>
      </w:pPr>
      <w:bookmarkStart w:id="58" w:name="_Toc510100191"/>
      <w:r>
        <w:rPr>
          <w:rFonts w:hint="eastAsia"/>
          <w:b/>
          <w:bCs/>
        </w:rPr>
        <w:t>11.5 为基金进行审计的会计师事务所情况</w:t>
      </w:r>
      <w:bookmarkEnd w:id="58"/>
    </w:p>
    <w:p>
      <w:pPr>
        <w:pStyle w:val="20"/>
        <w:rPr>
          <w:rFonts w:hint="eastAsia"/>
        </w:rPr>
      </w:pPr>
      <w:r>
        <w:rPr>
          <w:rFonts w:hint="eastAsia"/>
        </w:rPr>
        <w:t>  本报告期内本基金未更换会计师事务所,本年度支付给普华永道中天会计师事务所(特殊普通合伙)审计费用85,000.00元,该审计机构连续提供审计服务的年限为1年。 </w:t>
      </w:r>
    </w:p>
    <w:p>
      <w:pPr>
        <w:pStyle w:val="14"/>
        <w:rPr>
          <w:rFonts w:hint="eastAsia"/>
        </w:rPr>
      </w:pPr>
      <w:bookmarkStart w:id="59" w:name="_Toc510100192"/>
      <w:r>
        <w:rPr>
          <w:rFonts w:hint="eastAsia"/>
          <w:b/>
          <w:bCs/>
        </w:rPr>
        <w:t>11.6 管理人、托管人及其高级管理人员受稽查或处罚等情况</w:t>
      </w:r>
      <w:bookmarkEnd w:id="59"/>
    </w:p>
    <w:p>
      <w:pPr>
        <w:pStyle w:val="20"/>
        <w:rPr>
          <w:rFonts w:hint="eastAsia"/>
        </w:rPr>
      </w:pPr>
      <w:r>
        <w:rPr>
          <w:rFonts w:hint="eastAsia"/>
        </w:rPr>
        <w:t>  本报告期内，未出现管理人、托管人及其高级管理人员受监管部门稽查或处罚的情况。</w:t>
      </w:r>
    </w:p>
    <w:p>
      <w:pPr>
        <w:pStyle w:val="14"/>
        <w:rPr>
          <w:rFonts w:hint="eastAsia"/>
        </w:rPr>
      </w:pPr>
      <w:bookmarkStart w:id="60" w:name="_Toc510100193"/>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1080"/>
        <w:gridCol w:w="1716"/>
        <w:gridCol w:w="1050"/>
        <w:gridCol w:w="1349"/>
        <w:gridCol w:w="1050"/>
        <w:gridCol w:w="649"/>
      </w:tblGrid>
      <w:tr>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08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321,321,692.65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72,298.70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1,407,036,188.05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451,570.63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112,164,159.64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59,974.09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9,755,764.83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4,204.34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36,616,465.83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11,402.12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292,182,187.86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64,691.63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4,373,617,954.96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64.59%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1,846,178.64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15,389,841.84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6,454.60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203,601,006.24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86,177.06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2151"/>
        <w:gridCol w:w="656"/>
        <w:gridCol w:w="1050"/>
        <w:gridCol w:w="818"/>
        <w:gridCol w:w="1050"/>
        <w:gridCol w:w="610"/>
        <w:gridCol w:w="1050"/>
        <w:gridCol w:w="610"/>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1,285,000,000.00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813,000,000.00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9,229.50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708,820.21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11,266,800,000.00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1" w:name="_Toc510100194"/>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创金合信量化核心混合型证券投资基金份额发售公告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创金合信基金管理有限公司关于旗下创金合信量化核心混合型证券投资基金参与第一创业证券的费率优惠活动的公告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创金合信量化核心混合型证券投资基金关于增加华泰证券为代销机构的公告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创金合信量化核心混合型证券投资基金关于增加兴业银行为代销机构的公告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创金合信基金管理有限公司旗下部分开放式证券投资基金增加上海基煜为代销机构的公告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创金合信基金管理有限公司关于旗下部分开放式证券投资基金增加汇成基金为代销机构的公告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创金合信基金管理有限公司旗下部分开放式证券投资基金增加安信证券为代销机构的公告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2017-04-26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创金合信量化核心混合型证券投资基金开放日常申购、赎回和定期定额投资业务公告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创金合信基金管理有限公司关于创金合信量化核心混合型证券投资基金参加第一创业证券费率优惠活动的公告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创金合信基金管理有限公司关于旗下部分开放式证券投资基金增加前海凯恩斯为代销机构的公告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创金合信基金管理有限公司关于开通旗下部分开放式基金转换业务的公告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创金合信基金管理有限公司关于旗下部分基金及其代销机构一览表的公告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创金合信基金管理有限公司关于旗下部分开放式基金增加代销机构暨参加代销机构费率优惠活动的公告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2017-07-01</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关于创金合信基金管理有限公司旗下部分开放式基金开通在代销机构转换业务的公告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关于创金合信基金管理有限公司关于旗下部分基金开通在微信直销平台转换业务的公告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创金合信基金管理有限公司关于旗下部分开放式基金增加东莞证券为代销机构的公告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创金合信基金管理有限公司关于旗下部分开放式基金增加凯石财富为代销机构的公告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创金合信量化核心混合型证券投资基金2017年第二季度报告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创金合信基金管理有限公司关于旗下部分开放式基金增加唐鼎耀华为代销机构的公告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创金合信基金管理有限公司关于旗下部分开放式基金增加凤凰金融为代销机构的公告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创金合信基金管理有限公司关于旗下部分开放式基金增加挖财基金为代销机构的公告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创金合信量化核心混合型证券投资基金2017年半年度报告摘要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创金合信基金管理有限公司关于旗下部分开放式基金增加万家财富为代销机构的公告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创金合信基金管理有限公司关于旗下部分开放式基金增加大智慧为代销机构的公告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创金合信基金管理有限公司关于旗下部分开放式基金增加中泰证券为代销机构暨参加中泰证券费率优惠活动的公告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创金合信基金管理有限公司关于旗下部分开放式基金增加光大证券为代销机构的公告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创金合信基金管理有限公司关于旗下部分开放式基金增加世纪证券为代销机构的公告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创金合信基金管理有限公司关于旗下部分开放式基金增加包商银行为代销机构的公告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创金合信量化核心混合型证券投资基金招募说明书（更新）摘要（2017年第1号）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创金合信基金管理有限公司关于旗下部分开放式基金增加广发期货为代销机构的公告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创金合信基金管理有限公司关于增值税对资产管理产品影响告投资者通知书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2017-12-30</w:t>
            </w:r>
          </w:p>
        </w:tc>
      </w:tr>
    </w:tbl>
    <w:p>
      <w:pPr>
        <w:widowControl/>
        <w:jc w:val="left"/>
        <w:rPr>
          <w:rFonts w:hint="eastAsia" w:ascii="宋体" w:hAnsi="宋体" w:cs="宋体"/>
          <w:kern w:val="0"/>
          <w:sz w:val="24"/>
          <w:szCs w:val="24"/>
        </w:rPr>
      </w:pPr>
    </w:p>
    <w:p>
      <w:pPr>
        <w:pStyle w:val="13"/>
        <w:rPr>
          <w:rFonts w:hint="eastAsia"/>
        </w:rPr>
      </w:pPr>
      <w:bookmarkStart w:id="62" w:name="_Toc510100195"/>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3" w:name="_Toc510100196"/>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4"/>
        <w:rPr>
          <w:rFonts w:hint="eastAsia"/>
        </w:rPr>
      </w:pPr>
      <w:bookmarkStart w:id="64" w:name="_Toc510100197"/>
      <w:r>
        <w:rPr>
          <w:rFonts w:hint="eastAsia"/>
          <w:b/>
          <w:bCs/>
        </w:rPr>
        <w:t>12.2 影响投资者决策的其他重要信息</w:t>
      </w:r>
      <w:bookmarkEnd w:id="64"/>
    </w:p>
    <w:p>
      <w:pPr>
        <w:pStyle w:val="17"/>
        <w:rPr>
          <w:rFonts w:hint="eastAsia"/>
        </w:rPr>
      </w:pPr>
      <w:r>
        <w:rPr>
          <w:rFonts w:hint="eastAsia"/>
        </w:rPr>
        <w:t>  本报告期，未出现影响投资者决策的其他重要信息。</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13"/>
        <w:rPr>
          <w:rFonts w:hint="eastAsia"/>
        </w:rPr>
      </w:pPr>
      <w:bookmarkStart w:id="65" w:name="_Toc510100198"/>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510100199"/>
      <w:r>
        <w:rPr>
          <w:rFonts w:hint="eastAsia"/>
          <w:b/>
          <w:bCs/>
        </w:rPr>
        <w:t>13.1 备查文件目录</w:t>
      </w:r>
      <w:r>
        <w:rPr>
          <w:rFonts w:hint="eastAsia"/>
        </w:rPr>
        <w:t>.</w:t>
      </w:r>
      <w:bookmarkEnd w:id="66"/>
    </w:p>
    <w:p>
      <w:pPr>
        <w:pStyle w:val="20"/>
        <w:rPr>
          <w:rFonts w:hint="eastAsia"/>
        </w:rPr>
      </w:pPr>
      <w:r>
        <w:rPr>
          <w:rFonts w:hint="eastAsia"/>
        </w:rPr>
        <w:t>  1、《创金合信量化核心混合型证券投资基金基金合同》；</w:t>
      </w:r>
      <w:r>
        <w:rPr>
          <w:rFonts w:hint="eastAsia"/>
        </w:rPr>
        <w:br w:type="textWrapping"/>
      </w:r>
      <w:r>
        <w:rPr>
          <w:rFonts w:hint="eastAsia"/>
        </w:rPr>
        <w:t>  2、《创金合信量化核心混合型证券投资基金托管协议》；</w:t>
      </w:r>
      <w:r>
        <w:rPr>
          <w:rFonts w:hint="eastAsia"/>
        </w:rPr>
        <w:br w:type="textWrapping"/>
      </w:r>
      <w:r>
        <w:rPr>
          <w:rFonts w:hint="eastAsia"/>
        </w:rPr>
        <w:t>  3、创金合信量化核心混合型证券投资基金2017年年度报告</w:t>
      </w:r>
    </w:p>
    <w:p>
      <w:pPr>
        <w:pStyle w:val="14"/>
        <w:rPr>
          <w:rFonts w:hint="eastAsia"/>
        </w:rPr>
      </w:pPr>
      <w:bookmarkStart w:id="67" w:name="_Toc510100200"/>
      <w:r>
        <w:rPr>
          <w:rFonts w:hint="eastAsia"/>
          <w:b/>
          <w:bCs/>
        </w:rPr>
        <w:t>13.2 存放地点</w:t>
      </w:r>
      <w:bookmarkEnd w:id="67"/>
    </w:p>
    <w:p>
      <w:pPr>
        <w:pStyle w:val="20"/>
        <w:rPr>
          <w:rFonts w:hint="eastAsia"/>
        </w:rPr>
      </w:pPr>
      <w:r>
        <w:rPr>
          <w:rFonts w:hint="eastAsia"/>
        </w:rPr>
        <w:t>  深圳市福田中心区福华一路115号投行大厦15楼</w:t>
      </w:r>
    </w:p>
    <w:p>
      <w:pPr>
        <w:pStyle w:val="14"/>
        <w:rPr>
          <w:rFonts w:hint="eastAsia"/>
        </w:rPr>
      </w:pPr>
      <w:bookmarkStart w:id="68" w:name="_Toc510100201"/>
      <w:r>
        <w:rPr>
          <w:rFonts w:hint="eastAsia"/>
          <w:b/>
          <w:bCs/>
        </w:rPr>
        <w:t>13.3 查阅方式</w:t>
      </w:r>
      <w:bookmarkEnd w:id="68"/>
    </w:p>
    <w:p>
      <w:pPr>
        <w:pStyle w:val="20"/>
        <w:rPr>
          <w:rFonts w:hint="eastAsia"/>
        </w:rPr>
      </w:pPr>
      <w:r>
        <w:rPr>
          <w:rFonts w:hint="eastAsia"/>
        </w:rPr>
        <w:t>  www.cjhxfund.com</w:t>
      </w:r>
    </w:p>
    <w:p>
      <w:pPr>
        <w:widowControl/>
        <w:spacing w:after="240"/>
        <w:jc w:val="left"/>
        <w:rPr>
          <w:rFonts w:hint="eastAsia" w:ascii="宋体" w:hAnsi="宋体" w:cs="宋体"/>
          <w:kern w:val="0"/>
          <w:sz w:val="24"/>
          <w:szCs w:val="24"/>
        </w:rPr>
      </w:pPr>
      <w:r>
        <w:rPr>
          <w:rFonts w:hint="eastAsia" w:ascii="宋体" w:hAnsi="宋体" w:cs="宋体"/>
          <w:kern w:val="0"/>
          <w:sz w:val="24"/>
          <w:szCs w:val="24"/>
        </w:rPr>
        <w:br w:type="textWrapping"/>
      </w: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二〇一八年三月三十一日</w:t>
      </w:r>
    </w:p>
    <w:p>
      <w:pPr>
        <w:pStyle w:val="26"/>
        <w:autoSpaceDE w:val="0"/>
        <w:autoSpaceDN w:val="0"/>
        <w:adjustRightInd w:val="0"/>
        <w:spacing w:before="145" w:beforeAutospacing="0" w:after="0" w:afterAutospacing="0" w:line="288" w:lineRule="auto"/>
        <w:ind w:left="15"/>
        <w:jc w:val="right"/>
        <w:rPr>
          <w:rFonts w:hint="eastAsia"/>
          <w:b/>
        </w:rPr>
      </w:pPr>
    </w:p>
    <w:sectPr>
      <w:headerReference r:id="rId5" w:type="first"/>
      <w:footerReference r:id="rId8" w:type="first"/>
      <w:headerReference r:id="rId3" w:type="default"/>
      <w:footerReference r:id="rId6" w:type="default"/>
      <w:headerReference r:id="rId4" w:type="even"/>
      <w:footerReference r:id="rId7"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4</w:t>
    </w:r>
    <w:r>
      <w:rPr>
        <w:rStyle w:val="10"/>
      </w:rPr>
      <w:fldChar w:fldCharType="end"/>
    </w:r>
  </w:p>
  <w:p>
    <w:pPr>
      <w:pStyle w:val="2"/>
      <w:jc w:val="center"/>
    </w:pPr>
    <w:r>
      <w:rPr>
        <w:rFonts w:hint="eastAsia"/>
      </w:rPr>
      <w:t xml:space="preserve">                   第       页，共85页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rFonts w:hint="eastAsia"/>
      </w:rPr>
      <w:t>创金合信量化核心混合型证券投资基金2017年年度报告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E1D76"/>
    <w:rsid w:val="000B62F2"/>
    <w:rsid w:val="003C3E23"/>
    <w:rsid w:val="00BE1D76"/>
    <w:rsid w:val="00F952FF"/>
    <w:rsid w:val="6C8A5A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8"/>
    <w:unhideWhenUsed/>
    <w:uiPriority w:val="99"/>
    <w:pPr>
      <w:tabs>
        <w:tab w:val="center" w:pos="4153"/>
        <w:tab w:val="right" w:pos="8306"/>
      </w:tabs>
      <w:snapToGrid w:val="0"/>
      <w:jc w:val="left"/>
    </w:pPr>
    <w:rPr>
      <w:sz w:val="18"/>
      <w:szCs w:val="18"/>
    </w:rPr>
  </w:style>
  <w:style w:type="paragraph" w:styleId="3">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2465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2474_is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6">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7">
    <w:name w:val="页眉 Char"/>
    <w:link w:val="3"/>
    <w:locked/>
    <w:uiPriority w:val="99"/>
    <w:rPr>
      <w:rFonts w:hint="default" w:ascii="Times New Roman" w:hAnsi="Times New Roman" w:cs="Times New Roman"/>
      <w:sz w:val="18"/>
      <w:szCs w:val="18"/>
    </w:rPr>
  </w:style>
  <w:style w:type="character" w:customStyle="1" w:styleId="28">
    <w:name w:val="页脚 Char"/>
    <w:link w:val="2"/>
    <w:locked/>
    <w:uiPriority w:val="99"/>
    <w:rPr>
      <w:rFonts w:hint="default" w:ascii="Times New Roman" w:hAnsi="Times New Roman" w:cs="Times New Roman"/>
      <w:sz w:val="18"/>
      <w:szCs w:val="18"/>
    </w:rPr>
  </w:style>
  <w:style w:type="character" w:customStyle="1" w:styleId="29">
    <w:name w:val="biaoge_left1"/>
    <w:basedOn w:val="8"/>
    <w:uiPriority w:val="0"/>
  </w:style>
  <w:style w:type="character" w:customStyle="1" w:styleId="30">
    <w:name w:val="$sfzbgqn"/>
    <w:basedOn w:val="8"/>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10679</Words>
  <Characters>60874</Characters>
  <Lines>507</Lines>
  <Paragraphs>142</Paragraphs>
  <TotalTime>0</TotalTime>
  <ScaleCrop>false</ScaleCrop>
  <LinksUpToDate>false</LinksUpToDate>
  <CharactersWithSpaces>71411</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2018-03-29T07:20:00Z</dcterms:created>
  <dc:creator>贺祎琪</dc:creator>
  <cp:lastModifiedBy>Administrator</cp:lastModifiedBy>
  <dcterms:modified xsi:type="dcterms:W3CDTF">2019-12-26T14:09:54Z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