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9" w:name="_GoBack"/>
      <w:bookmarkEnd w:id="69"/>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创金合信优选回报灵活配置混合型证券投资基金</w:t>
      </w:r>
    </w:p>
    <w:p>
      <w:pPr>
        <w:widowControl/>
        <w:spacing w:before="240" w:after="120"/>
        <w:jc w:val="center"/>
        <w:rPr>
          <w:rFonts w:ascii="黑体" w:hAnsi="黑体" w:eastAsia="黑体"/>
          <w:b/>
          <w:color w:val="000000"/>
          <w:sz w:val="36"/>
        </w:rPr>
      </w:pPr>
      <w:r>
        <w:rPr>
          <w:rFonts w:ascii="黑体" w:hAnsi="黑体" w:eastAsia="黑体"/>
          <w:b/>
          <w:color w:val="000000"/>
          <w:sz w:val="36"/>
        </w:rPr>
        <w:t>2017年年度报告</w:t>
      </w:r>
    </w:p>
    <w:p>
      <w:pPr>
        <w:widowControl/>
        <w:spacing w:before="240" w:after="120"/>
        <w:jc w:val="center"/>
        <w:rPr>
          <w:rFonts w:ascii="宋体" w:hAnsi="宋体"/>
          <w:b/>
          <w:color w:val="000000"/>
          <w:sz w:val="24"/>
        </w:rPr>
      </w:pPr>
      <w:r>
        <w:rPr>
          <w:rFonts w:ascii="宋体" w:hAnsi="宋体"/>
          <w:b/>
          <w:color w:val="000000"/>
          <w:sz w:val="24"/>
        </w:rPr>
        <w:t>2017年12月31日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基金托管人:中国工商银行股份有限公司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送出日期:2018年03月31日</w:t>
      </w:r>
      <w:r>
        <w:rPr>
          <w:b/>
          <w:color w:val="000000"/>
        </w:rPr>
        <w:br w:type="page"/>
      </w:r>
    </w:p>
    <w:p>
      <w:pPr>
        <w:pStyle w:val="12"/>
        <w:spacing w:before="240" w:after="120"/>
      </w:pPr>
      <w:bookmarkStart w:id="0" w:name="_Toc510100202"/>
      <w:r>
        <w:rPr>
          <w:rFonts w:hint="eastAsia" w:hAnsi="Calibri"/>
          <w:b/>
          <w:color w:val="000000"/>
        </w:rPr>
        <w:t>§1  重要提示及目录</w:t>
      </w:r>
      <w:bookmarkEnd w:id="0"/>
      <w:r>
        <w:rPr>
          <w:rFonts w:hint="eastAsia"/>
        </w:rPr>
        <w:t xml:space="preserve"> </w:t>
      </w:r>
    </w:p>
    <w:p>
      <w:pPr>
        <w:pStyle w:val="13"/>
        <w:rPr>
          <w:rFonts w:hint="eastAsia"/>
        </w:rPr>
      </w:pPr>
      <w:bookmarkStart w:id="1" w:name="_Toc510100203"/>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widowControl/>
              <w:wordWrap w:val="0"/>
              <w:jc w:val="left"/>
              <w:rPr>
                <w:rFonts w:hint="eastAsia" w:ascii="宋体" w:hAnsi="宋体" w:cs="宋体"/>
                <w:kern w:val="0"/>
                <w:sz w:val="24"/>
                <w:szCs w:val="24"/>
              </w:rPr>
            </w:pPr>
            <w:r>
              <w:rPr>
                <w:rStyle w:val="26"/>
                <w:rFonts w:hint="eastAsia" w:ascii="宋体" w:hAnsi="宋体" w:cs="宋体"/>
                <w:kern w:val="0"/>
                <w:sz w:val="24"/>
                <w:szCs w:val="24"/>
              </w:rPr>
              <w:t>  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r>
              <w:rPr>
                <w:rFonts w:hint="eastAsia" w:ascii="宋体" w:hAnsi="宋体" w:cs="宋体"/>
                <w:kern w:val="0"/>
                <w:sz w:val="24"/>
                <w:szCs w:val="24"/>
              </w:rPr>
              <w:br w:type="textWrapping"/>
            </w:r>
            <w:r>
              <w:rPr>
                <w:rStyle w:val="26"/>
                <w:rFonts w:hint="eastAsia" w:ascii="宋体" w:hAnsi="宋体" w:cs="宋体"/>
                <w:kern w:val="0"/>
                <w:sz w:val="24"/>
                <w:szCs w:val="24"/>
              </w:rPr>
              <w:t>  基金托管人中国工商银行股份有限公司根据本基金合同规定，于2018年3月28日复核了本报告中的财务指标、净值表现、利润分配情况、财务会计报告、投资组合报告等内容，保证复核内容不存在虚假记载、误导性陈述或者重大遗漏。　　</w:t>
            </w:r>
            <w:r>
              <w:rPr>
                <w:rFonts w:hint="eastAsia" w:ascii="宋体" w:hAnsi="宋体" w:cs="宋体"/>
                <w:kern w:val="0"/>
                <w:sz w:val="24"/>
                <w:szCs w:val="24"/>
              </w:rPr>
              <w:br w:type="textWrapping"/>
            </w:r>
            <w:r>
              <w:rPr>
                <w:rStyle w:val="26"/>
                <w:rFonts w:hint="eastAsia" w:ascii="宋体" w:hAnsi="宋体" w:cs="宋体"/>
                <w:kern w:val="0"/>
                <w:sz w:val="24"/>
                <w:szCs w:val="24"/>
              </w:rPr>
              <w:t>  基金管理人承诺以诚实信用、勤勉尽责的原则管理和运用基金资产，但不保证基金一定盈利。</w:t>
            </w:r>
            <w:r>
              <w:rPr>
                <w:rFonts w:hint="eastAsia" w:ascii="宋体" w:hAnsi="宋体" w:cs="宋体"/>
                <w:kern w:val="0"/>
                <w:sz w:val="24"/>
                <w:szCs w:val="24"/>
              </w:rPr>
              <w:br w:type="textWrapping"/>
            </w:r>
            <w:r>
              <w:rPr>
                <w:rStyle w:val="26"/>
                <w:rFonts w:hint="eastAsia" w:ascii="宋体" w:hAnsi="宋体" w:cs="宋体"/>
                <w:kern w:val="0"/>
                <w:sz w:val="24"/>
                <w:szCs w:val="24"/>
              </w:rPr>
              <w:t>  基金的过往业绩并不代表其未来表现。投资有风险，投资者在作出投资决策前应仔细阅读本基金的招募说明书及其更新。</w:t>
            </w:r>
            <w:r>
              <w:rPr>
                <w:rFonts w:hint="eastAsia" w:ascii="宋体" w:hAnsi="宋体" w:cs="宋体"/>
                <w:kern w:val="0"/>
                <w:sz w:val="24"/>
                <w:szCs w:val="24"/>
              </w:rPr>
              <w:br w:type="textWrapping"/>
            </w:r>
            <w:r>
              <w:rPr>
                <w:rStyle w:val="26"/>
                <w:rFonts w:hint="eastAsia" w:ascii="宋体" w:hAnsi="宋体" w:cs="宋体"/>
                <w:kern w:val="0"/>
                <w:sz w:val="24"/>
                <w:szCs w:val="24"/>
              </w:rPr>
              <w:t>  本报告期自2017年09月27日起至2017年12月31日止。</w:t>
            </w:r>
            <w:r>
              <w:rPr>
                <w:rFonts w:hint="eastAsia" w:ascii="宋体" w:hAnsi="宋体" w:cs="宋体"/>
                <w:kern w:val="0"/>
                <w:sz w:val="24"/>
                <w:szCs w:val="24"/>
              </w:rPr>
              <w:t xml:space="preserve"> </w:t>
            </w:r>
          </w:p>
        </w:tc>
      </w:tr>
    </w:tbl>
    <w:p>
      <w:pPr>
        <w:pStyle w:val="13"/>
        <w:rPr>
          <w:rFonts w:hint="eastAsia"/>
        </w:rPr>
      </w:pPr>
      <w:r>
        <w:rPr>
          <w:rFonts w:ascii="Times New Roman" w:hAnsi="Times New Roman"/>
        </w:rPr>
        <w:br w:type="page"/>
      </w:r>
      <w:bookmarkStart w:id="2" w:name="_Toc510100204"/>
      <w:r>
        <w:rPr>
          <w:rFonts w:hint="eastAsia"/>
          <w:b/>
          <w:bCs/>
        </w:rPr>
        <w:t>1.2 目录</w:t>
      </w:r>
      <w:bookmarkEnd w:id="2"/>
    </w:p>
    <w:p>
      <w:pPr>
        <w:pStyle w:val="4"/>
        <w:tabs>
          <w:tab w:val="right" w:leader="dot" w:pos="9080"/>
        </w:tabs>
        <w:rPr>
          <w:lang/>
        </w:rPr>
      </w:pPr>
      <w:r>
        <w:rPr>
          <w:rFonts w:ascii="宋体" w:hAnsi="宋体" w:cs="宋体"/>
          <w:kern w:val="0"/>
          <w:sz w:val="24"/>
          <w:szCs w:val="24"/>
        </w:rPr>
        <w:fldChar w:fldCharType="begin"/>
      </w:r>
      <w:r>
        <w:rPr>
          <w:rFonts w:ascii="宋体" w:hAnsi="宋体" w:cs="宋体"/>
          <w:kern w:val="0"/>
          <w:sz w:val="24"/>
          <w:szCs w:val="24"/>
        </w:rPr>
        <w:instrText xml:space="preserve"> </w:instrText>
      </w:r>
      <w:r>
        <w:rPr>
          <w:rFonts w:hint="eastAsia" w:ascii="宋体" w:hAnsi="宋体" w:cs="宋体"/>
          <w:kern w:val="0"/>
          <w:sz w:val="24"/>
          <w:szCs w:val="24"/>
        </w:rPr>
        <w:instrText xml:space="preserve">TOC \o "1-4" \f 1 \h \z \t "-1"</w:instrText>
      </w:r>
      <w:r>
        <w:rPr>
          <w:rFonts w:ascii="宋体" w:hAnsi="宋体" w:cs="宋体"/>
          <w:kern w:val="0"/>
          <w:sz w:val="24"/>
          <w:szCs w:val="24"/>
        </w:rPr>
        <w:instrText xml:space="preserve"> </w:instrText>
      </w:r>
      <w:r>
        <w:rPr>
          <w:rFonts w:ascii="宋体" w:hAnsi="宋体" w:cs="宋体"/>
          <w:kern w:val="0"/>
          <w:sz w:val="24"/>
          <w:szCs w:val="24"/>
        </w:rPr>
        <w:fldChar w:fldCharType="separate"/>
      </w:r>
      <w:r>
        <w:rPr>
          <w:rStyle w:val="10"/>
          <w:lang/>
        </w:rPr>
        <w:fldChar w:fldCharType="begin"/>
      </w:r>
      <w:r>
        <w:rPr>
          <w:rStyle w:val="10"/>
          <w:lang/>
        </w:rPr>
        <w:instrText xml:space="preserve"> </w:instrText>
      </w:r>
      <w:r>
        <w:rPr>
          <w:lang/>
        </w:rPr>
        <w:instrText xml:space="preserve">HYPERLINK \l "_Toc510100202"</w:instrText>
      </w:r>
      <w:r>
        <w:rPr>
          <w:rStyle w:val="10"/>
          <w:lang/>
        </w:rPr>
        <w:instrText xml:space="preserve"> </w:instrText>
      </w:r>
      <w:r>
        <w:rPr>
          <w:rStyle w:val="10"/>
          <w:lang/>
        </w:rPr>
        <w:fldChar w:fldCharType="separate"/>
      </w:r>
      <w:r>
        <w:rPr>
          <w:rStyle w:val="10"/>
          <w:b/>
          <w:lang/>
        </w:rPr>
        <w:t xml:space="preserve">§1  </w:t>
      </w:r>
      <w:r>
        <w:rPr>
          <w:rStyle w:val="10"/>
          <w:rFonts w:hint="eastAsia"/>
          <w:b/>
          <w:lang/>
        </w:rPr>
        <w:t>重要提示及目录</w:t>
      </w:r>
      <w:r>
        <w:rPr>
          <w:lang/>
        </w:rPr>
        <w:tab/>
      </w:r>
      <w:r>
        <w:rPr>
          <w:lang/>
        </w:rPr>
        <w:fldChar w:fldCharType="begin"/>
      </w:r>
      <w:r>
        <w:rPr>
          <w:lang/>
        </w:rPr>
        <w:instrText xml:space="preserve"> PAGEREF _Toc510100202 \h </w:instrText>
      </w:r>
      <w:r>
        <w:rPr>
          <w:lang/>
        </w:rPr>
        <w:fldChar w:fldCharType="separate"/>
      </w:r>
      <w:r>
        <w:rPr>
          <w:lang/>
        </w:rPr>
        <w:t>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"_Toc510100203"</w:instrText>
      </w:r>
      <w:r>
        <w:rPr>
          <w:rStyle w:val="10"/>
          <w:lang/>
        </w:rPr>
        <w:instrText xml:space="preserve"> </w:instrText>
      </w:r>
      <w:r>
        <w:rPr>
          <w:rStyle w:val="10"/>
          <w:lang/>
        </w:rPr>
        <w:fldChar w:fldCharType="separate"/>
      </w:r>
      <w:r>
        <w:rPr>
          <w:rStyle w:val="10"/>
          <w:b/>
          <w:bCs/>
          <w:lang/>
        </w:rPr>
        <w:t xml:space="preserve">1.1 </w:t>
      </w:r>
      <w:r>
        <w:rPr>
          <w:rStyle w:val="10"/>
          <w:rFonts w:hint="eastAsia"/>
          <w:b/>
          <w:bCs/>
          <w:lang/>
        </w:rPr>
        <w:t>重要提示</w:t>
      </w:r>
      <w:r>
        <w:rPr>
          <w:lang/>
        </w:rPr>
        <w:tab/>
      </w:r>
      <w:r>
        <w:rPr>
          <w:lang/>
        </w:rPr>
        <w:fldChar w:fldCharType="begin"/>
      </w:r>
      <w:r>
        <w:rPr>
          <w:lang/>
        </w:rPr>
        <w:instrText xml:space="preserve"> PAGEREF _Toc510100203 \h </w:instrText>
      </w:r>
      <w:r>
        <w:rPr>
          <w:lang/>
        </w:rPr>
        <w:fldChar w:fldCharType="separate"/>
      </w:r>
      <w:r>
        <w:rPr>
          <w:lang/>
        </w:rPr>
        <w:t>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"_Toc510100204"</w:instrText>
      </w:r>
      <w:r>
        <w:rPr>
          <w:rStyle w:val="10"/>
          <w:lang/>
        </w:rPr>
        <w:instrText xml:space="preserve"> </w:instrText>
      </w:r>
      <w:r>
        <w:rPr>
          <w:rStyle w:val="10"/>
          <w:lang/>
        </w:rPr>
        <w:fldChar w:fldCharType="separate"/>
      </w:r>
      <w:r>
        <w:rPr>
          <w:rStyle w:val="10"/>
          <w:b/>
          <w:bCs/>
          <w:lang/>
        </w:rPr>
        <w:t xml:space="preserve">1.2 </w:t>
      </w:r>
      <w:r>
        <w:rPr>
          <w:rStyle w:val="10"/>
          <w:rFonts w:hint="eastAsia"/>
          <w:b/>
          <w:bCs/>
          <w:lang/>
        </w:rPr>
        <w:t>目录</w:t>
      </w:r>
      <w:r>
        <w:rPr>
          <w:lang/>
        </w:rPr>
        <w:tab/>
      </w:r>
      <w:r>
        <w:rPr>
          <w:lang/>
        </w:rPr>
        <w:fldChar w:fldCharType="begin"/>
      </w:r>
      <w:r>
        <w:rPr>
          <w:lang/>
        </w:rPr>
        <w:instrText xml:space="preserve"> PAGEREF _Toc510100204 \h </w:instrText>
      </w:r>
      <w:r>
        <w:rPr>
          <w:lang/>
        </w:rPr>
        <w:fldChar w:fldCharType="separate"/>
      </w:r>
      <w:r>
        <w:rPr>
          <w:lang/>
        </w:rPr>
        <w:t>3</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"_Toc510100205"</w:instrText>
      </w:r>
      <w:r>
        <w:rPr>
          <w:rStyle w:val="10"/>
          <w:lang/>
        </w:rPr>
        <w:instrText xml:space="preserve"> </w:instrText>
      </w:r>
      <w:r>
        <w:rPr>
          <w:rStyle w:val="10"/>
          <w:lang/>
        </w:rPr>
        <w:fldChar w:fldCharType="separate"/>
      </w:r>
      <w:r>
        <w:rPr>
          <w:rStyle w:val="10"/>
          <w:b/>
          <w:lang/>
        </w:rPr>
        <w:t xml:space="preserve">§2  </w:t>
      </w:r>
      <w:r>
        <w:rPr>
          <w:rStyle w:val="10"/>
          <w:rFonts w:hint="eastAsia"/>
          <w:b/>
          <w:lang/>
        </w:rPr>
        <w:t>基金简介</w:t>
      </w:r>
      <w:r>
        <w:rPr>
          <w:lang/>
        </w:rPr>
        <w:tab/>
      </w:r>
      <w:r>
        <w:rPr>
          <w:lang/>
        </w:rPr>
        <w:fldChar w:fldCharType="begin"/>
      </w:r>
      <w:r>
        <w:rPr>
          <w:lang/>
        </w:rPr>
        <w:instrText xml:space="preserve"> PAGEREF _Toc510100205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"_Toc510100206"</w:instrText>
      </w:r>
      <w:r>
        <w:rPr>
          <w:rStyle w:val="10"/>
          <w:lang/>
        </w:rPr>
        <w:instrText xml:space="preserve"> </w:instrText>
      </w:r>
      <w:r>
        <w:rPr>
          <w:rStyle w:val="10"/>
          <w:lang/>
        </w:rPr>
        <w:fldChar w:fldCharType="separate"/>
      </w:r>
      <w:r>
        <w:rPr>
          <w:rStyle w:val="10"/>
          <w:b/>
          <w:bCs/>
          <w:lang/>
        </w:rPr>
        <w:t xml:space="preserve">2.1 </w:t>
      </w:r>
      <w:r>
        <w:rPr>
          <w:rStyle w:val="10"/>
          <w:rFonts w:hint="eastAsia"/>
          <w:b/>
          <w:bCs/>
          <w:lang/>
        </w:rPr>
        <w:t>基金基本情况</w:t>
      </w:r>
      <w:r>
        <w:rPr>
          <w:lang/>
        </w:rPr>
        <w:tab/>
      </w:r>
      <w:r>
        <w:rPr>
          <w:lang/>
        </w:rPr>
        <w:fldChar w:fldCharType="begin"/>
      </w:r>
      <w:r>
        <w:rPr>
          <w:lang/>
        </w:rPr>
        <w:instrText xml:space="preserve"> PAGEREF _Toc510100206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"_Toc510100207"</w:instrText>
      </w:r>
      <w:r>
        <w:rPr>
          <w:rStyle w:val="10"/>
          <w:lang/>
        </w:rPr>
        <w:instrText xml:space="preserve"> </w:instrText>
      </w:r>
      <w:r>
        <w:rPr>
          <w:rStyle w:val="10"/>
          <w:lang/>
        </w:rPr>
        <w:fldChar w:fldCharType="separate"/>
      </w:r>
      <w:r>
        <w:rPr>
          <w:rStyle w:val="10"/>
          <w:b/>
          <w:bCs/>
          <w:lang/>
        </w:rPr>
        <w:t xml:space="preserve">2.2 </w:t>
      </w:r>
      <w:r>
        <w:rPr>
          <w:rStyle w:val="10"/>
          <w:rFonts w:hint="eastAsia"/>
          <w:b/>
          <w:bCs/>
          <w:lang/>
        </w:rPr>
        <w:t>基金产品说明</w:t>
      </w:r>
      <w:r>
        <w:rPr>
          <w:lang/>
        </w:rPr>
        <w:tab/>
      </w:r>
      <w:r>
        <w:rPr>
          <w:lang/>
        </w:rPr>
        <w:fldChar w:fldCharType="begin"/>
      </w:r>
      <w:r>
        <w:rPr>
          <w:lang/>
        </w:rPr>
        <w:instrText xml:space="preserve"> PAGEREF _Toc510100207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"_Toc510100208"</w:instrText>
      </w:r>
      <w:r>
        <w:rPr>
          <w:rStyle w:val="10"/>
          <w:lang/>
        </w:rPr>
        <w:instrText xml:space="preserve"> </w:instrText>
      </w:r>
      <w:r>
        <w:rPr>
          <w:rStyle w:val="10"/>
          <w:lang/>
        </w:rPr>
        <w:fldChar w:fldCharType="separate"/>
      </w:r>
      <w:r>
        <w:rPr>
          <w:rStyle w:val="10"/>
          <w:b/>
          <w:bCs/>
          <w:lang/>
        </w:rPr>
        <w:t xml:space="preserve">2.3 </w:t>
      </w:r>
      <w:r>
        <w:rPr>
          <w:rStyle w:val="10"/>
          <w:rFonts w:hint="eastAsia"/>
          <w:b/>
          <w:bCs/>
          <w:lang/>
        </w:rPr>
        <w:t>基金管理人和基金托管人</w:t>
      </w:r>
      <w:r>
        <w:rPr>
          <w:lang/>
        </w:rPr>
        <w:tab/>
      </w:r>
      <w:r>
        <w:rPr>
          <w:lang/>
        </w:rPr>
        <w:fldChar w:fldCharType="begin"/>
      </w:r>
      <w:r>
        <w:rPr>
          <w:lang/>
        </w:rPr>
        <w:instrText xml:space="preserve"> PAGEREF _Toc510100208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"_Toc510100209"</w:instrText>
      </w:r>
      <w:r>
        <w:rPr>
          <w:rStyle w:val="10"/>
          <w:lang/>
        </w:rPr>
        <w:instrText xml:space="preserve"> </w:instrText>
      </w:r>
      <w:r>
        <w:rPr>
          <w:rStyle w:val="10"/>
          <w:lang/>
        </w:rPr>
        <w:fldChar w:fldCharType="separate"/>
      </w:r>
      <w:r>
        <w:rPr>
          <w:rStyle w:val="10"/>
          <w:b/>
          <w:bCs/>
          <w:lang/>
        </w:rPr>
        <w:t xml:space="preserve">2.4 </w:t>
      </w:r>
      <w:r>
        <w:rPr>
          <w:rStyle w:val="10"/>
          <w:rFonts w:hint="eastAsia"/>
          <w:b/>
          <w:bCs/>
          <w:lang/>
        </w:rPr>
        <w:t>信息披露方式</w:t>
      </w:r>
      <w:r>
        <w:rPr>
          <w:lang/>
        </w:rPr>
        <w:tab/>
      </w:r>
      <w:r>
        <w:rPr>
          <w:lang/>
        </w:rPr>
        <w:fldChar w:fldCharType="begin"/>
      </w:r>
      <w:r>
        <w:rPr>
          <w:lang/>
        </w:rPr>
        <w:instrText xml:space="preserve"> PAGEREF _Toc510100209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"_Toc510100210"</w:instrText>
      </w:r>
      <w:r>
        <w:rPr>
          <w:rStyle w:val="10"/>
          <w:lang/>
        </w:rPr>
        <w:instrText xml:space="preserve"> </w:instrText>
      </w:r>
      <w:r>
        <w:rPr>
          <w:rStyle w:val="10"/>
          <w:lang/>
        </w:rPr>
        <w:fldChar w:fldCharType="separate"/>
      </w:r>
      <w:r>
        <w:rPr>
          <w:rStyle w:val="10"/>
          <w:b/>
          <w:bCs/>
          <w:lang/>
        </w:rPr>
        <w:t xml:space="preserve">2.5 </w:t>
      </w:r>
      <w:r>
        <w:rPr>
          <w:rStyle w:val="10"/>
          <w:rFonts w:hint="eastAsia"/>
          <w:b/>
          <w:bCs/>
          <w:lang/>
        </w:rPr>
        <w:t>其他相关资料</w:t>
      </w:r>
      <w:r>
        <w:rPr>
          <w:lang/>
        </w:rPr>
        <w:tab/>
      </w:r>
      <w:r>
        <w:rPr>
          <w:lang/>
        </w:rPr>
        <w:fldChar w:fldCharType="begin"/>
      </w:r>
      <w:r>
        <w:rPr>
          <w:lang/>
        </w:rPr>
        <w:instrText xml:space="preserve"> PAGEREF _Toc510100210 \h </w:instrText>
      </w:r>
      <w:r>
        <w:rPr>
          <w:lang/>
        </w:rPr>
        <w:fldChar w:fldCharType="separate"/>
      </w:r>
      <w:r>
        <w:rPr>
          <w:lang/>
        </w:rPr>
        <w:t>6</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"_Toc510100211"</w:instrText>
      </w:r>
      <w:r>
        <w:rPr>
          <w:rStyle w:val="10"/>
          <w:lang/>
        </w:rPr>
        <w:instrText xml:space="preserve"> </w:instrText>
      </w:r>
      <w:r>
        <w:rPr>
          <w:rStyle w:val="10"/>
          <w:lang/>
        </w:rPr>
        <w:fldChar w:fldCharType="separate"/>
      </w:r>
      <w:r>
        <w:rPr>
          <w:rStyle w:val="10"/>
          <w:b/>
          <w:lang/>
        </w:rPr>
        <w:t xml:space="preserve">§3  </w:t>
      </w:r>
      <w:r>
        <w:rPr>
          <w:rStyle w:val="10"/>
          <w:rFonts w:hint="eastAsia"/>
          <w:b/>
          <w:lang/>
        </w:rPr>
        <w:t>主要财务指标、基金净值表现及利润分配情况</w:t>
      </w:r>
      <w:r>
        <w:rPr>
          <w:lang/>
        </w:rPr>
        <w:tab/>
      </w:r>
      <w:r>
        <w:rPr>
          <w:lang/>
        </w:rPr>
        <w:fldChar w:fldCharType="begin"/>
      </w:r>
      <w:r>
        <w:rPr>
          <w:lang/>
        </w:rPr>
        <w:instrText xml:space="preserve"> PAGEREF _Toc510100211 \h </w:instrText>
      </w:r>
      <w:r>
        <w:rPr>
          <w:lang/>
        </w:rPr>
        <w:fldChar w:fldCharType="separate"/>
      </w:r>
      <w:r>
        <w:rPr>
          <w:lang/>
        </w:rPr>
        <w:t>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"_Toc510100212"</w:instrText>
      </w:r>
      <w:r>
        <w:rPr>
          <w:rStyle w:val="10"/>
          <w:lang/>
        </w:rPr>
        <w:instrText xml:space="preserve"> </w:instrText>
      </w:r>
      <w:r>
        <w:rPr>
          <w:rStyle w:val="10"/>
          <w:lang/>
        </w:rPr>
        <w:fldChar w:fldCharType="separate"/>
      </w:r>
      <w:r>
        <w:rPr>
          <w:rStyle w:val="10"/>
          <w:b/>
          <w:bCs/>
          <w:lang/>
        </w:rPr>
        <w:t xml:space="preserve">3.1 </w:t>
      </w:r>
      <w:r>
        <w:rPr>
          <w:rStyle w:val="10"/>
          <w:rFonts w:hint="eastAsia"/>
          <w:b/>
          <w:bCs/>
          <w:lang/>
        </w:rPr>
        <w:t>主要会计数据和财务指标</w:t>
      </w:r>
      <w:r>
        <w:rPr>
          <w:lang/>
        </w:rPr>
        <w:tab/>
      </w:r>
      <w:r>
        <w:rPr>
          <w:lang/>
        </w:rPr>
        <w:fldChar w:fldCharType="begin"/>
      </w:r>
      <w:r>
        <w:rPr>
          <w:lang/>
        </w:rPr>
        <w:instrText xml:space="preserve"> PAGEREF _Toc510100212 \h </w:instrText>
      </w:r>
      <w:r>
        <w:rPr>
          <w:lang/>
        </w:rPr>
        <w:fldChar w:fldCharType="separate"/>
      </w:r>
      <w:r>
        <w:rPr>
          <w:lang/>
        </w:rPr>
        <w:t>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"_Toc510100213"</w:instrText>
      </w:r>
      <w:r>
        <w:rPr>
          <w:rStyle w:val="10"/>
          <w:lang/>
        </w:rPr>
        <w:instrText xml:space="preserve"> </w:instrText>
      </w:r>
      <w:r>
        <w:rPr>
          <w:rStyle w:val="10"/>
          <w:lang/>
        </w:rPr>
        <w:fldChar w:fldCharType="separate"/>
      </w:r>
      <w:r>
        <w:rPr>
          <w:rStyle w:val="10"/>
          <w:b/>
          <w:bCs/>
          <w:lang/>
        </w:rPr>
        <w:t xml:space="preserve">3.2 </w:t>
      </w:r>
      <w:r>
        <w:rPr>
          <w:rStyle w:val="10"/>
          <w:rFonts w:hint="eastAsia"/>
          <w:b/>
          <w:bCs/>
          <w:lang/>
        </w:rPr>
        <w:t>基金净值表现</w:t>
      </w:r>
      <w:r>
        <w:rPr>
          <w:lang/>
        </w:rPr>
        <w:tab/>
      </w:r>
      <w:r>
        <w:rPr>
          <w:lang/>
        </w:rPr>
        <w:fldChar w:fldCharType="begin"/>
      </w:r>
      <w:r>
        <w:rPr>
          <w:lang/>
        </w:rPr>
        <w:instrText xml:space="preserve"> PAGEREF _Toc510100213 \h </w:instrText>
      </w:r>
      <w:r>
        <w:rPr>
          <w:lang/>
        </w:rPr>
        <w:fldChar w:fldCharType="separate"/>
      </w:r>
      <w:r>
        <w:rPr>
          <w:lang/>
        </w:rPr>
        <w:t>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"_Toc510100214"</w:instrText>
      </w:r>
      <w:r>
        <w:rPr>
          <w:rStyle w:val="10"/>
          <w:lang/>
        </w:rPr>
        <w:instrText xml:space="preserve"> </w:instrText>
      </w:r>
      <w:r>
        <w:rPr>
          <w:rStyle w:val="10"/>
          <w:lang/>
        </w:rPr>
        <w:fldChar w:fldCharType="separate"/>
      </w:r>
      <w:r>
        <w:rPr>
          <w:rStyle w:val="10"/>
          <w:b/>
          <w:lang/>
        </w:rPr>
        <w:t xml:space="preserve">3.3 </w:t>
      </w:r>
      <w:r>
        <w:rPr>
          <w:rStyle w:val="10"/>
          <w:rFonts w:hint="eastAsia"/>
          <w:b/>
          <w:lang/>
        </w:rPr>
        <w:t>过去三年基金的利润分配情况</w:t>
      </w:r>
      <w:r>
        <w:rPr>
          <w:lang/>
        </w:rPr>
        <w:tab/>
      </w:r>
      <w:r>
        <w:rPr>
          <w:lang/>
        </w:rPr>
        <w:fldChar w:fldCharType="begin"/>
      </w:r>
      <w:r>
        <w:rPr>
          <w:lang/>
        </w:rPr>
        <w:instrText xml:space="preserve"> PAGEREF _Toc510100214 \h </w:instrText>
      </w:r>
      <w:r>
        <w:rPr>
          <w:lang/>
        </w:rPr>
        <w:fldChar w:fldCharType="separate"/>
      </w:r>
      <w:r>
        <w:rPr>
          <w:lang/>
        </w:rPr>
        <w:t>9</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"_Toc510100215"</w:instrText>
      </w:r>
      <w:r>
        <w:rPr>
          <w:rStyle w:val="10"/>
          <w:lang/>
        </w:rPr>
        <w:instrText xml:space="preserve"> </w:instrText>
      </w:r>
      <w:r>
        <w:rPr>
          <w:rStyle w:val="10"/>
          <w:lang/>
        </w:rPr>
        <w:fldChar w:fldCharType="separate"/>
      </w:r>
      <w:r>
        <w:rPr>
          <w:rStyle w:val="10"/>
          <w:b/>
          <w:lang/>
        </w:rPr>
        <w:t xml:space="preserve">§4  </w:t>
      </w:r>
      <w:r>
        <w:rPr>
          <w:rStyle w:val="10"/>
          <w:rFonts w:hint="eastAsia"/>
          <w:b/>
          <w:lang/>
        </w:rPr>
        <w:t>管理人报告</w:t>
      </w:r>
      <w:r>
        <w:rPr>
          <w:lang/>
        </w:rPr>
        <w:tab/>
      </w:r>
      <w:r>
        <w:rPr>
          <w:lang/>
        </w:rPr>
        <w:fldChar w:fldCharType="begin"/>
      </w:r>
      <w:r>
        <w:rPr>
          <w:lang/>
        </w:rPr>
        <w:instrText xml:space="preserve"> PAGEREF _Toc510100215 \h </w:instrText>
      </w:r>
      <w:r>
        <w:rPr>
          <w:lang/>
        </w:rPr>
        <w:fldChar w:fldCharType="separate"/>
      </w:r>
      <w:r>
        <w:rPr>
          <w:lang/>
        </w:rPr>
        <w:t>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"_Toc510100216"</w:instrText>
      </w:r>
      <w:r>
        <w:rPr>
          <w:rStyle w:val="10"/>
          <w:lang/>
        </w:rPr>
        <w:instrText xml:space="preserve"> </w:instrText>
      </w:r>
      <w:r>
        <w:rPr>
          <w:rStyle w:val="10"/>
          <w:lang/>
        </w:rPr>
        <w:fldChar w:fldCharType="separate"/>
      </w:r>
      <w:r>
        <w:rPr>
          <w:rStyle w:val="10"/>
          <w:b/>
          <w:bCs/>
          <w:lang/>
        </w:rPr>
        <w:t xml:space="preserve">4.1 </w:t>
      </w:r>
      <w:r>
        <w:rPr>
          <w:rStyle w:val="10"/>
          <w:rFonts w:hint="eastAsia"/>
          <w:b/>
          <w:bCs/>
          <w:lang/>
        </w:rPr>
        <w:t>基金管理人及基金经理情况</w:t>
      </w:r>
      <w:r>
        <w:rPr>
          <w:lang/>
        </w:rPr>
        <w:tab/>
      </w:r>
      <w:r>
        <w:rPr>
          <w:lang/>
        </w:rPr>
        <w:fldChar w:fldCharType="begin"/>
      </w:r>
      <w:r>
        <w:rPr>
          <w:lang/>
        </w:rPr>
        <w:instrText xml:space="preserve"> PAGEREF _Toc510100216 \h </w:instrText>
      </w:r>
      <w:r>
        <w:rPr>
          <w:lang/>
        </w:rPr>
        <w:fldChar w:fldCharType="separate"/>
      </w:r>
      <w:r>
        <w:rPr>
          <w:lang/>
        </w:rPr>
        <w:t>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"_Toc510100217"</w:instrText>
      </w:r>
      <w:r>
        <w:rPr>
          <w:rStyle w:val="10"/>
          <w:lang/>
        </w:rPr>
        <w:instrText xml:space="preserve"> </w:instrText>
      </w:r>
      <w:r>
        <w:rPr>
          <w:rStyle w:val="10"/>
          <w:lang/>
        </w:rPr>
        <w:fldChar w:fldCharType="separate"/>
      </w:r>
      <w:r>
        <w:rPr>
          <w:rStyle w:val="10"/>
          <w:b/>
          <w:bCs/>
          <w:lang/>
        </w:rPr>
        <w:t xml:space="preserve">4.2 </w:t>
      </w:r>
      <w:r>
        <w:rPr>
          <w:rStyle w:val="10"/>
          <w:rFonts w:hint="eastAsia"/>
          <w:b/>
          <w:bCs/>
          <w:lang/>
        </w:rPr>
        <w:t>管理人对报告期内本基金运作遵规守信情况的说明</w:t>
      </w:r>
      <w:r>
        <w:rPr>
          <w:lang/>
        </w:rPr>
        <w:tab/>
      </w:r>
      <w:r>
        <w:rPr>
          <w:lang/>
        </w:rPr>
        <w:fldChar w:fldCharType="begin"/>
      </w:r>
      <w:r>
        <w:rPr>
          <w:lang/>
        </w:rPr>
        <w:instrText xml:space="preserve"> PAGEREF _Toc510100217 \h </w:instrText>
      </w:r>
      <w:r>
        <w:rPr>
          <w:lang/>
        </w:rPr>
        <w:fldChar w:fldCharType="separate"/>
      </w:r>
      <w:r>
        <w:rPr>
          <w:lang/>
        </w:rPr>
        <w:t>10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"_Toc510100218"</w:instrText>
      </w:r>
      <w:r>
        <w:rPr>
          <w:rStyle w:val="10"/>
          <w:lang/>
        </w:rPr>
        <w:instrText xml:space="preserve"> </w:instrText>
      </w:r>
      <w:r>
        <w:rPr>
          <w:rStyle w:val="10"/>
          <w:lang/>
        </w:rPr>
        <w:fldChar w:fldCharType="separate"/>
      </w:r>
      <w:r>
        <w:rPr>
          <w:rStyle w:val="10"/>
          <w:b/>
          <w:bCs/>
          <w:lang/>
        </w:rPr>
        <w:t xml:space="preserve">4.3 </w:t>
      </w:r>
      <w:r>
        <w:rPr>
          <w:rStyle w:val="10"/>
          <w:rFonts w:hint="eastAsia"/>
          <w:b/>
          <w:bCs/>
          <w:lang/>
        </w:rPr>
        <w:t>管理人对报告期内公平交易情况的专项说明</w:t>
      </w:r>
      <w:r>
        <w:rPr>
          <w:lang/>
        </w:rPr>
        <w:tab/>
      </w:r>
      <w:r>
        <w:rPr>
          <w:lang/>
        </w:rPr>
        <w:fldChar w:fldCharType="begin"/>
      </w:r>
      <w:r>
        <w:rPr>
          <w:lang/>
        </w:rPr>
        <w:instrText xml:space="preserve"> PAGEREF _Toc510100218 \h </w:instrText>
      </w:r>
      <w:r>
        <w:rPr>
          <w:lang/>
        </w:rPr>
        <w:fldChar w:fldCharType="separate"/>
      </w:r>
      <w:r>
        <w:rPr>
          <w:lang/>
        </w:rPr>
        <w:t>10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"_Toc510100219"</w:instrText>
      </w:r>
      <w:r>
        <w:rPr>
          <w:rStyle w:val="10"/>
          <w:lang/>
        </w:rPr>
        <w:instrText xml:space="preserve"> </w:instrText>
      </w:r>
      <w:r>
        <w:rPr>
          <w:rStyle w:val="10"/>
          <w:lang/>
        </w:rPr>
        <w:fldChar w:fldCharType="separate"/>
      </w:r>
      <w:r>
        <w:rPr>
          <w:rStyle w:val="10"/>
          <w:b/>
          <w:bCs/>
          <w:lang/>
        </w:rPr>
        <w:t xml:space="preserve">4.4 </w:t>
      </w:r>
      <w:r>
        <w:rPr>
          <w:rStyle w:val="10"/>
          <w:rFonts w:hint="eastAsia"/>
          <w:b/>
          <w:bCs/>
          <w:lang/>
        </w:rPr>
        <w:t>管理人对报告期内基金的投资策略和业绩表现的说明</w:t>
      </w:r>
      <w:r>
        <w:rPr>
          <w:lang/>
        </w:rPr>
        <w:tab/>
      </w:r>
      <w:r>
        <w:rPr>
          <w:lang/>
        </w:rPr>
        <w:fldChar w:fldCharType="begin"/>
      </w:r>
      <w:r>
        <w:rPr>
          <w:lang/>
        </w:rPr>
        <w:instrText xml:space="preserve"> PAGEREF _Toc510100219 \h </w:instrText>
      </w:r>
      <w:r>
        <w:rPr>
          <w:lang/>
        </w:rPr>
        <w:fldChar w:fldCharType="separate"/>
      </w:r>
      <w:r>
        <w:rPr>
          <w:lang/>
        </w:rPr>
        <w:t>12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"_Toc510100220"</w:instrText>
      </w:r>
      <w:r>
        <w:rPr>
          <w:rStyle w:val="10"/>
          <w:lang/>
        </w:rPr>
        <w:instrText xml:space="preserve"> </w:instrText>
      </w:r>
      <w:r>
        <w:rPr>
          <w:rStyle w:val="10"/>
          <w:lang/>
        </w:rPr>
        <w:fldChar w:fldCharType="separate"/>
      </w:r>
      <w:r>
        <w:rPr>
          <w:rStyle w:val="10"/>
          <w:b/>
          <w:bCs/>
          <w:lang/>
        </w:rPr>
        <w:t xml:space="preserve">4.5 </w:t>
      </w:r>
      <w:r>
        <w:rPr>
          <w:rStyle w:val="10"/>
          <w:rFonts w:hint="eastAsia"/>
          <w:b/>
          <w:bCs/>
          <w:lang/>
        </w:rPr>
        <w:t>管理人对宏观经济、证券市场及行业走势的简要展望</w:t>
      </w:r>
      <w:r>
        <w:rPr>
          <w:lang/>
        </w:rPr>
        <w:tab/>
      </w:r>
      <w:r>
        <w:rPr>
          <w:lang/>
        </w:rPr>
        <w:fldChar w:fldCharType="begin"/>
      </w:r>
      <w:r>
        <w:rPr>
          <w:lang/>
        </w:rPr>
        <w:instrText xml:space="preserve"> PAGEREF _Toc510100220 \h </w:instrText>
      </w:r>
      <w:r>
        <w:rPr>
          <w:lang/>
        </w:rPr>
        <w:fldChar w:fldCharType="separate"/>
      </w:r>
      <w:r>
        <w:rPr>
          <w:lang/>
        </w:rPr>
        <w:t>12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"_Toc510100221"</w:instrText>
      </w:r>
      <w:r>
        <w:rPr>
          <w:rStyle w:val="10"/>
          <w:lang/>
        </w:rPr>
        <w:instrText xml:space="preserve"> </w:instrText>
      </w:r>
      <w:r>
        <w:rPr>
          <w:rStyle w:val="10"/>
          <w:lang/>
        </w:rPr>
        <w:fldChar w:fldCharType="separate"/>
      </w:r>
      <w:r>
        <w:rPr>
          <w:rStyle w:val="10"/>
          <w:b/>
          <w:bCs/>
          <w:lang/>
        </w:rPr>
        <w:t xml:space="preserve">4.6 </w:t>
      </w:r>
      <w:r>
        <w:rPr>
          <w:rStyle w:val="10"/>
          <w:rFonts w:hint="eastAsia"/>
          <w:b/>
          <w:bCs/>
          <w:lang/>
        </w:rPr>
        <w:t>管理人内部有关本基金的监察稽核工作情况</w:t>
      </w:r>
      <w:r>
        <w:rPr>
          <w:lang/>
        </w:rPr>
        <w:tab/>
      </w:r>
      <w:r>
        <w:rPr>
          <w:lang/>
        </w:rPr>
        <w:fldChar w:fldCharType="begin"/>
      </w:r>
      <w:r>
        <w:rPr>
          <w:lang/>
        </w:rPr>
        <w:instrText xml:space="preserve"> PAGEREF _Toc510100221 \h </w:instrText>
      </w:r>
      <w:r>
        <w:rPr>
          <w:lang/>
        </w:rPr>
        <w:fldChar w:fldCharType="separate"/>
      </w:r>
      <w:r>
        <w:rPr>
          <w:lang/>
        </w:rPr>
        <w:t>13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"_Toc510100222"</w:instrText>
      </w:r>
      <w:r>
        <w:rPr>
          <w:rStyle w:val="10"/>
          <w:lang/>
        </w:rPr>
        <w:instrText xml:space="preserve"> </w:instrText>
      </w:r>
      <w:r>
        <w:rPr>
          <w:rStyle w:val="10"/>
          <w:lang/>
        </w:rPr>
        <w:fldChar w:fldCharType="separate"/>
      </w:r>
      <w:r>
        <w:rPr>
          <w:rStyle w:val="10"/>
          <w:b/>
          <w:bCs/>
          <w:lang/>
        </w:rPr>
        <w:t xml:space="preserve">4.7 </w:t>
      </w:r>
      <w:r>
        <w:rPr>
          <w:rStyle w:val="10"/>
          <w:rFonts w:hint="eastAsia"/>
          <w:b/>
          <w:bCs/>
          <w:lang/>
        </w:rPr>
        <w:t>管理人对报告期内基金估值程序等事项的说明</w:t>
      </w:r>
      <w:r>
        <w:rPr>
          <w:lang/>
        </w:rPr>
        <w:tab/>
      </w:r>
      <w:r>
        <w:rPr>
          <w:lang/>
        </w:rPr>
        <w:fldChar w:fldCharType="begin"/>
      </w:r>
      <w:r>
        <w:rPr>
          <w:lang/>
        </w:rPr>
        <w:instrText xml:space="preserve"> PAGEREF _Toc510100222 \h </w:instrText>
      </w:r>
      <w:r>
        <w:rPr>
          <w:lang/>
        </w:rPr>
        <w:fldChar w:fldCharType="separate"/>
      </w:r>
      <w:r>
        <w:rPr>
          <w:lang/>
        </w:rPr>
        <w:t>13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"_Toc510100223"</w:instrText>
      </w:r>
      <w:r>
        <w:rPr>
          <w:rStyle w:val="10"/>
          <w:lang/>
        </w:rPr>
        <w:instrText xml:space="preserve"> </w:instrText>
      </w:r>
      <w:r>
        <w:rPr>
          <w:rStyle w:val="10"/>
          <w:lang/>
        </w:rPr>
        <w:fldChar w:fldCharType="separate"/>
      </w:r>
      <w:r>
        <w:rPr>
          <w:rStyle w:val="10"/>
          <w:b/>
          <w:bCs/>
          <w:lang/>
        </w:rPr>
        <w:t xml:space="preserve">4.8 </w:t>
      </w:r>
      <w:r>
        <w:rPr>
          <w:rStyle w:val="10"/>
          <w:rFonts w:hint="eastAsia"/>
          <w:b/>
          <w:bCs/>
          <w:lang/>
        </w:rPr>
        <w:t>管理人对报告期内基金利润分配情况的说明</w:t>
      </w:r>
      <w:r>
        <w:rPr>
          <w:lang/>
        </w:rPr>
        <w:tab/>
      </w:r>
      <w:r>
        <w:rPr>
          <w:lang/>
        </w:rPr>
        <w:fldChar w:fldCharType="begin"/>
      </w:r>
      <w:r>
        <w:rPr>
          <w:lang/>
        </w:rPr>
        <w:instrText xml:space="preserve"> PAGEREF _Toc510100223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"_Toc510100224"</w:instrText>
      </w:r>
      <w:r>
        <w:rPr>
          <w:rStyle w:val="10"/>
          <w:lang/>
        </w:rPr>
        <w:instrText xml:space="preserve"> </w:instrText>
      </w:r>
      <w:r>
        <w:rPr>
          <w:rStyle w:val="10"/>
          <w:lang/>
        </w:rPr>
        <w:fldChar w:fldCharType="separate"/>
      </w:r>
      <w:r>
        <w:rPr>
          <w:rStyle w:val="10"/>
          <w:b/>
          <w:bCs/>
          <w:lang/>
        </w:rPr>
        <w:t xml:space="preserve">4.9 </w:t>
      </w:r>
      <w:r>
        <w:rPr>
          <w:rStyle w:val="10"/>
          <w:rFonts w:hint="eastAsia"/>
          <w:b/>
          <w:bCs/>
          <w:lang/>
        </w:rPr>
        <w:t>报告期内管理人对本基金持有人数或基金资产净值预警情形的说明</w:t>
      </w:r>
      <w:r>
        <w:rPr>
          <w:lang/>
        </w:rPr>
        <w:tab/>
      </w:r>
      <w:r>
        <w:rPr>
          <w:lang/>
        </w:rPr>
        <w:fldChar w:fldCharType="begin"/>
      </w:r>
      <w:r>
        <w:rPr>
          <w:lang/>
        </w:rPr>
        <w:instrText xml:space="preserve"> PAGEREF _Toc510100224 \h </w:instrText>
      </w:r>
      <w:r>
        <w:rPr>
          <w:lang/>
        </w:rPr>
        <w:fldChar w:fldCharType="separate"/>
      </w:r>
      <w:r>
        <w:rPr>
          <w:lang/>
        </w:rPr>
        <w:t>14</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"_Toc510100225"</w:instrText>
      </w:r>
      <w:r>
        <w:rPr>
          <w:rStyle w:val="10"/>
          <w:lang/>
        </w:rPr>
        <w:instrText xml:space="preserve"> </w:instrText>
      </w:r>
      <w:r>
        <w:rPr>
          <w:rStyle w:val="10"/>
          <w:lang/>
        </w:rPr>
        <w:fldChar w:fldCharType="separate"/>
      </w:r>
      <w:r>
        <w:rPr>
          <w:rStyle w:val="10"/>
          <w:b/>
          <w:lang/>
        </w:rPr>
        <w:t xml:space="preserve">§5  </w:t>
      </w:r>
      <w:r>
        <w:rPr>
          <w:rStyle w:val="10"/>
          <w:rFonts w:hint="eastAsia"/>
          <w:b/>
          <w:lang/>
        </w:rPr>
        <w:t>托管人报告</w:t>
      </w:r>
      <w:r>
        <w:rPr>
          <w:lang/>
        </w:rPr>
        <w:tab/>
      </w:r>
      <w:r>
        <w:rPr>
          <w:lang/>
        </w:rPr>
        <w:fldChar w:fldCharType="begin"/>
      </w:r>
      <w:r>
        <w:rPr>
          <w:lang/>
        </w:rPr>
        <w:instrText xml:space="preserve"> PAGEREF _Toc510100225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"_Toc510100226"</w:instrText>
      </w:r>
      <w:r>
        <w:rPr>
          <w:rStyle w:val="10"/>
          <w:lang/>
        </w:rPr>
        <w:instrText xml:space="preserve"> </w:instrText>
      </w:r>
      <w:r>
        <w:rPr>
          <w:rStyle w:val="10"/>
          <w:lang/>
        </w:rPr>
        <w:fldChar w:fldCharType="separate"/>
      </w:r>
      <w:r>
        <w:rPr>
          <w:rStyle w:val="10"/>
          <w:b/>
          <w:bCs/>
          <w:lang/>
        </w:rPr>
        <w:t xml:space="preserve">5.1 </w:t>
      </w:r>
      <w:r>
        <w:rPr>
          <w:rStyle w:val="10"/>
          <w:rFonts w:hint="eastAsia"/>
          <w:b/>
          <w:bCs/>
          <w:lang/>
        </w:rPr>
        <w:t>报告期内本基金托管人遵规守信情况声明</w:t>
      </w:r>
      <w:r>
        <w:rPr>
          <w:lang/>
        </w:rPr>
        <w:tab/>
      </w:r>
      <w:r>
        <w:rPr>
          <w:lang/>
        </w:rPr>
        <w:fldChar w:fldCharType="begin"/>
      </w:r>
      <w:r>
        <w:rPr>
          <w:lang/>
        </w:rPr>
        <w:instrText xml:space="preserve"> PAGEREF _Toc510100226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"_Toc510100227"</w:instrText>
      </w:r>
      <w:r>
        <w:rPr>
          <w:rStyle w:val="10"/>
          <w:lang/>
        </w:rPr>
        <w:instrText xml:space="preserve"> </w:instrText>
      </w:r>
      <w:r>
        <w:rPr>
          <w:rStyle w:val="10"/>
          <w:lang/>
        </w:rPr>
        <w:fldChar w:fldCharType="separate"/>
      </w:r>
      <w:r>
        <w:rPr>
          <w:rStyle w:val="10"/>
          <w:b/>
          <w:bCs/>
          <w:lang/>
        </w:rPr>
        <w:t xml:space="preserve">5.2 </w:t>
      </w:r>
      <w:r>
        <w:rPr>
          <w:rStyle w:val="10"/>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_Toc510100227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"_Toc510100228"</w:instrText>
      </w:r>
      <w:r>
        <w:rPr>
          <w:rStyle w:val="10"/>
          <w:lang/>
        </w:rPr>
        <w:instrText xml:space="preserve"> </w:instrText>
      </w:r>
      <w:r>
        <w:rPr>
          <w:rStyle w:val="10"/>
          <w:lang/>
        </w:rPr>
        <w:fldChar w:fldCharType="separate"/>
      </w:r>
      <w:r>
        <w:rPr>
          <w:rStyle w:val="10"/>
          <w:b/>
          <w:bCs/>
          <w:lang/>
        </w:rPr>
        <w:t xml:space="preserve">5.3 </w:t>
      </w:r>
      <w:r>
        <w:rPr>
          <w:rStyle w:val="10"/>
          <w:rFonts w:hint="eastAsia"/>
          <w:b/>
          <w:bCs/>
          <w:lang/>
        </w:rPr>
        <w:t>托管人对本年度报告中财务信息等内容的真实、准确和完整发表意见</w:t>
      </w:r>
      <w:r>
        <w:rPr>
          <w:lang/>
        </w:rPr>
        <w:tab/>
      </w:r>
      <w:r>
        <w:rPr>
          <w:lang/>
        </w:rPr>
        <w:fldChar w:fldCharType="begin"/>
      </w:r>
      <w:r>
        <w:rPr>
          <w:lang/>
        </w:rPr>
        <w:instrText xml:space="preserve"> PAGEREF _Toc510100228 \h </w:instrText>
      </w:r>
      <w:r>
        <w:rPr>
          <w:lang/>
        </w:rPr>
        <w:fldChar w:fldCharType="separate"/>
      </w:r>
      <w:r>
        <w:rPr>
          <w:lang/>
        </w:rPr>
        <w:t>14</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"_Toc510100229"</w:instrText>
      </w:r>
      <w:r>
        <w:rPr>
          <w:rStyle w:val="10"/>
          <w:lang/>
        </w:rPr>
        <w:instrText xml:space="preserve"> </w:instrText>
      </w:r>
      <w:r>
        <w:rPr>
          <w:rStyle w:val="10"/>
          <w:lang/>
        </w:rPr>
        <w:fldChar w:fldCharType="separate"/>
      </w:r>
      <w:r>
        <w:rPr>
          <w:rStyle w:val="10"/>
          <w:b/>
          <w:lang/>
        </w:rPr>
        <w:t xml:space="preserve">§6  </w:t>
      </w:r>
      <w:r>
        <w:rPr>
          <w:rStyle w:val="10"/>
          <w:rFonts w:hint="eastAsia"/>
          <w:b/>
          <w:lang/>
        </w:rPr>
        <w:t>审计报告</w:t>
      </w:r>
      <w:r>
        <w:rPr>
          <w:lang/>
        </w:rPr>
        <w:tab/>
      </w:r>
      <w:r>
        <w:rPr>
          <w:lang/>
        </w:rPr>
        <w:fldChar w:fldCharType="begin"/>
      </w:r>
      <w:r>
        <w:rPr>
          <w:lang/>
        </w:rPr>
        <w:instrText xml:space="preserve"> PAGEREF _Toc510100229 \h </w:instrText>
      </w:r>
      <w:r>
        <w:rPr>
          <w:lang/>
        </w:rPr>
        <w:fldChar w:fldCharType="separate"/>
      </w:r>
      <w:r>
        <w:rPr>
          <w:lang/>
        </w:rPr>
        <w:t>15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"_Toc510100230"</w:instrText>
      </w:r>
      <w:r>
        <w:rPr>
          <w:rStyle w:val="10"/>
          <w:lang/>
        </w:rPr>
        <w:instrText xml:space="preserve"> </w:instrText>
      </w:r>
      <w:r>
        <w:rPr>
          <w:rStyle w:val="10"/>
          <w:lang/>
        </w:rPr>
        <w:fldChar w:fldCharType="separate"/>
      </w:r>
      <w:r>
        <w:rPr>
          <w:rStyle w:val="10"/>
          <w:b/>
          <w:bCs/>
          <w:lang/>
        </w:rPr>
        <w:t xml:space="preserve">6.1 </w:t>
      </w:r>
      <w:r>
        <w:rPr>
          <w:rStyle w:val="10"/>
          <w:rFonts w:hint="eastAsia"/>
          <w:b/>
          <w:bCs/>
          <w:lang/>
        </w:rPr>
        <w:t>审计报告基本信息</w:t>
      </w:r>
      <w:r>
        <w:rPr>
          <w:lang/>
        </w:rPr>
        <w:tab/>
      </w:r>
      <w:r>
        <w:rPr>
          <w:lang/>
        </w:rPr>
        <w:fldChar w:fldCharType="begin"/>
      </w:r>
      <w:r>
        <w:rPr>
          <w:lang/>
        </w:rPr>
        <w:instrText xml:space="preserve"> PAGEREF _Toc510100230 \h </w:instrText>
      </w:r>
      <w:r>
        <w:rPr>
          <w:lang/>
        </w:rPr>
        <w:fldChar w:fldCharType="separate"/>
      </w:r>
      <w:r>
        <w:rPr>
          <w:lang/>
        </w:rPr>
        <w:t>15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"_Toc510100231"</w:instrText>
      </w:r>
      <w:r>
        <w:rPr>
          <w:rStyle w:val="10"/>
          <w:lang/>
        </w:rPr>
        <w:instrText xml:space="preserve"> </w:instrText>
      </w:r>
      <w:r>
        <w:rPr>
          <w:rStyle w:val="10"/>
          <w:lang/>
        </w:rPr>
        <w:fldChar w:fldCharType="separate"/>
      </w:r>
      <w:r>
        <w:rPr>
          <w:rStyle w:val="10"/>
          <w:b/>
          <w:bCs/>
          <w:lang/>
        </w:rPr>
        <w:t xml:space="preserve">6.2 </w:t>
      </w:r>
      <w:r>
        <w:rPr>
          <w:rStyle w:val="10"/>
          <w:rFonts w:hint="eastAsia"/>
          <w:b/>
          <w:bCs/>
          <w:lang/>
        </w:rPr>
        <w:t>审计报告的基本内容</w:t>
      </w:r>
      <w:r>
        <w:rPr>
          <w:lang/>
        </w:rPr>
        <w:tab/>
      </w:r>
      <w:r>
        <w:rPr>
          <w:lang/>
        </w:rPr>
        <w:fldChar w:fldCharType="begin"/>
      </w:r>
      <w:r>
        <w:rPr>
          <w:lang/>
        </w:rPr>
        <w:instrText xml:space="preserve"> PAGEREF _Toc510100231 \h </w:instrText>
      </w:r>
      <w:r>
        <w:rPr>
          <w:lang/>
        </w:rPr>
        <w:fldChar w:fldCharType="separate"/>
      </w:r>
      <w:r>
        <w:rPr>
          <w:lang/>
        </w:rPr>
        <w:t>15</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"_Toc510100232"</w:instrText>
      </w:r>
      <w:r>
        <w:rPr>
          <w:rStyle w:val="10"/>
          <w:lang/>
        </w:rPr>
        <w:instrText xml:space="preserve"> </w:instrText>
      </w:r>
      <w:r>
        <w:rPr>
          <w:rStyle w:val="10"/>
          <w:lang/>
        </w:rPr>
        <w:fldChar w:fldCharType="separate"/>
      </w:r>
      <w:r>
        <w:rPr>
          <w:rStyle w:val="10"/>
          <w:b/>
          <w:lang/>
        </w:rPr>
        <w:t xml:space="preserve">§7  </w:t>
      </w:r>
      <w:r>
        <w:rPr>
          <w:rStyle w:val="10"/>
          <w:rFonts w:hint="eastAsia"/>
          <w:b/>
          <w:lang/>
        </w:rPr>
        <w:t>年度财务报表</w:t>
      </w:r>
      <w:r>
        <w:rPr>
          <w:lang/>
        </w:rPr>
        <w:tab/>
      </w:r>
      <w:r>
        <w:rPr>
          <w:lang/>
        </w:rPr>
        <w:fldChar w:fldCharType="begin"/>
      </w:r>
      <w:r>
        <w:rPr>
          <w:lang/>
        </w:rPr>
        <w:instrText xml:space="preserve"> PAGEREF _Toc510100232 \h </w:instrText>
      </w:r>
      <w:r>
        <w:rPr>
          <w:lang/>
        </w:rPr>
        <w:fldChar w:fldCharType="separate"/>
      </w:r>
      <w:r>
        <w:rPr>
          <w:lang/>
        </w:rPr>
        <w:t>17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"_Toc510100233"</w:instrText>
      </w:r>
      <w:r>
        <w:rPr>
          <w:rStyle w:val="10"/>
          <w:lang/>
        </w:rPr>
        <w:instrText xml:space="preserve"> </w:instrText>
      </w:r>
      <w:r>
        <w:rPr>
          <w:rStyle w:val="10"/>
          <w:lang/>
        </w:rPr>
        <w:fldChar w:fldCharType="separate"/>
      </w:r>
      <w:r>
        <w:rPr>
          <w:rStyle w:val="10"/>
          <w:b/>
          <w:bCs/>
          <w:lang/>
        </w:rPr>
        <w:t xml:space="preserve">7.1 </w:t>
      </w:r>
      <w:r>
        <w:rPr>
          <w:rStyle w:val="10"/>
          <w:rFonts w:hint="eastAsia"/>
          <w:b/>
          <w:bCs/>
          <w:lang/>
        </w:rPr>
        <w:t>资产负债表</w:t>
      </w:r>
      <w:r>
        <w:rPr>
          <w:lang/>
        </w:rPr>
        <w:tab/>
      </w:r>
      <w:r>
        <w:rPr>
          <w:lang/>
        </w:rPr>
        <w:fldChar w:fldCharType="begin"/>
      </w:r>
      <w:r>
        <w:rPr>
          <w:lang/>
        </w:rPr>
        <w:instrText xml:space="preserve"> PAGEREF _Toc510100233 \h </w:instrText>
      </w:r>
      <w:r>
        <w:rPr>
          <w:lang/>
        </w:rPr>
        <w:fldChar w:fldCharType="separate"/>
      </w:r>
      <w:r>
        <w:rPr>
          <w:lang/>
        </w:rPr>
        <w:t>17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"_Toc510100234"</w:instrText>
      </w:r>
      <w:r>
        <w:rPr>
          <w:rStyle w:val="10"/>
          <w:lang/>
        </w:rPr>
        <w:instrText xml:space="preserve"> </w:instrText>
      </w:r>
      <w:r>
        <w:rPr>
          <w:rStyle w:val="10"/>
          <w:lang/>
        </w:rPr>
        <w:fldChar w:fldCharType="separate"/>
      </w:r>
      <w:r>
        <w:rPr>
          <w:rStyle w:val="10"/>
          <w:b/>
          <w:bCs/>
          <w:lang/>
        </w:rPr>
        <w:t xml:space="preserve">7.2 </w:t>
      </w:r>
      <w:r>
        <w:rPr>
          <w:rStyle w:val="10"/>
          <w:rFonts w:hint="eastAsia"/>
          <w:b/>
          <w:bCs/>
          <w:lang/>
        </w:rPr>
        <w:t>利润表</w:t>
      </w:r>
      <w:r>
        <w:rPr>
          <w:lang/>
        </w:rPr>
        <w:tab/>
      </w:r>
      <w:r>
        <w:rPr>
          <w:lang/>
        </w:rPr>
        <w:fldChar w:fldCharType="begin"/>
      </w:r>
      <w:r>
        <w:rPr>
          <w:lang/>
        </w:rPr>
        <w:instrText xml:space="preserve"> PAGEREF _Toc510100234 \h </w:instrText>
      </w:r>
      <w:r>
        <w:rPr>
          <w:lang/>
        </w:rPr>
        <w:fldChar w:fldCharType="separate"/>
      </w:r>
      <w:r>
        <w:rPr>
          <w:lang/>
        </w:rPr>
        <w:t>19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"_Toc510100235"</w:instrText>
      </w:r>
      <w:r>
        <w:rPr>
          <w:rStyle w:val="10"/>
          <w:lang/>
        </w:rPr>
        <w:instrText xml:space="preserve"> </w:instrText>
      </w:r>
      <w:r>
        <w:rPr>
          <w:rStyle w:val="10"/>
          <w:lang/>
        </w:rPr>
        <w:fldChar w:fldCharType="separate"/>
      </w:r>
      <w:r>
        <w:rPr>
          <w:rStyle w:val="10"/>
          <w:b/>
          <w:bCs/>
          <w:lang/>
        </w:rPr>
        <w:t xml:space="preserve">7.3 </w:t>
      </w:r>
      <w:r>
        <w:rPr>
          <w:rStyle w:val="10"/>
          <w:rFonts w:hint="eastAsia"/>
          <w:b/>
          <w:bCs/>
          <w:lang/>
        </w:rPr>
        <w:t>所有者权益（基金净值）变动表</w:t>
      </w:r>
      <w:r>
        <w:rPr>
          <w:lang/>
        </w:rPr>
        <w:tab/>
      </w:r>
      <w:r>
        <w:rPr>
          <w:lang/>
        </w:rPr>
        <w:fldChar w:fldCharType="begin"/>
      </w:r>
      <w:r>
        <w:rPr>
          <w:lang/>
        </w:rPr>
        <w:instrText xml:space="preserve"> PAGEREF _Toc510100235 \h </w:instrText>
      </w:r>
      <w:r>
        <w:rPr>
          <w:lang/>
        </w:rPr>
        <w:fldChar w:fldCharType="separate"/>
      </w:r>
      <w:r>
        <w:rPr>
          <w:lang/>
        </w:rPr>
        <w:t>20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"_Toc510100236"</w:instrText>
      </w:r>
      <w:r>
        <w:rPr>
          <w:rStyle w:val="10"/>
          <w:lang/>
        </w:rPr>
        <w:instrText xml:space="preserve"> </w:instrText>
      </w:r>
      <w:r>
        <w:rPr>
          <w:rStyle w:val="10"/>
          <w:lang/>
        </w:rPr>
        <w:fldChar w:fldCharType="separate"/>
      </w:r>
      <w:r>
        <w:rPr>
          <w:rStyle w:val="10"/>
          <w:b/>
          <w:bCs/>
          <w:lang/>
        </w:rPr>
        <w:t xml:space="preserve">7.4 </w:t>
      </w:r>
      <w:r>
        <w:rPr>
          <w:rStyle w:val="10"/>
          <w:rFonts w:hint="eastAsia"/>
          <w:b/>
          <w:bCs/>
          <w:lang/>
        </w:rPr>
        <w:t>报表附注</w:t>
      </w:r>
      <w:r>
        <w:rPr>
          <w:lang/>
        </w:rPr>
        <w:tab/>
      </w:r>
      <w:r>
        <w:rPr>
          <w:lang/>
        </w:rPr>
        <w:fldChar w:fldCharType="begin"/>
      </w:r>
      <w:r>
        <w:rPr>
          <w:lang/>
        </w:rPr>
        <w:instrText xml:space="preserve"> PAGEREF _Toc510100236 \h </w:instrText>
      </w:r>
      <w:r>
        <w:rPr>
          <w:lang/>
        </w:rPr>
        <w:fldChar w:fldCharType="separate"/>
      </w:r>
      <w:r>
        <w:rPr>
          <w:lang/>
        </w:rPr>
        <w:t>21</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"_Toc510100237"</w:instrText>
      </w:r>
      <w:r>
        <w:rPr>
          <w:rStyle w:val="10"/>
          <w:lang/>
        </w:rPr>
        <w:instrText xml:space="preserve"> </w:instrText>
      </w:r>
      <w:r>
        <w:rPr>
          <w:rStyle w:val="10"/>
          <w:lang/>
        </w:rPr>
        <w:fldChar w:fldCharType="separate"/>
      </w:r>
      <w:r>
        <w:rPr>
          <w:rStyle w:val="10"/>
          <w:b/>
          <w:lang/>
        </w:rPr>
        <w:t xml:space="preserve">§8 </w:t>
      </w:r>
      <w:r>
        <w:rPr>
          <w:rStyle w:val="10"/>
          <w:rFonts w:hint="eastAsia"/>
          <w:b/>
          <w:lang/>
        </w:rPr>
        <w:t>投资组合报告</w:t>
      </w:r>
      <w:r>
        <w:rPr>
          <w:lang/>
        </w:rPr>
        <w:tab/>
      </w:r>
      <w:r>
        <w:rPr>
          <w:lang/>
        </w:rPr>
        <w:fldChar w:fldCharType="begin"/>
      </w:r>
      <w:r>
        <w:rPr>
          <w:lang/>
        </w:rPr>
        <w:instrText xml:space="preserve"> PAGEREF _Toc510100237 \h </w:instrText>
      </w:r>
      <w:r>
        <w:rPr>
          <w:lang/>
        </w:rPr>
        <w:fldChar w:fldCharType="separate"/>
      </w:r>
      <w:r>
        <w:rPr>
          <w:lang/>
        </w:rPr>
        <w:t>43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"_Toc510100238"</w:instrText>
      </w:r>
      <w:r>
        <w:rPr>
          <w:rStyle w:val="10"/>
          <w:lang/>
        </w:rPr>
        <w:instrText xml:space="preserve"> </w:instrText>
      </w:r>
      <w:r>
        <w:rPr>
          <w:rStyle w:val="10"/>
          <w:lang/>
        </w:rPr>
        <w:fldChar w:fldCharType="separate"/>
      </w:r>
      <w:r>
        <w:rPr>
          <w:rStyle w:val="10"/>
          <w:b/>
          <w:bCs/>
          <w:lang/>
        </w:rPr>
        <w:t xml:space="preserve">8.1 </w:t>
      </w:r>
      <w:r>
        <w:rPr>
          <w:rStyle w:val="10"/>
          <w:rFonts w:hint="eastAsia"/>
          <w:b/>
          <w:bCs/>
          <w:lang/>
        </w:rPr>
        <w:t>期末基金资产组合情况</w:t>
      </w:r>
      <w:r>
        <w:rPr>
          <w:lang/>
        </w:rPr>
        <w:tab/>
      </w:r>
      <w:r>
        <w:rPr>
          <w:lang/>
        </w:rPr>
        <w:fldChar w:fldCharType="begin"/>
      </w:r>
      <w:r>
        <w:rPr>
          <w:lang/>
        </w:rPr>
        <w:instrText xml:space="preserve"> PAGEREF _Toc510100238 \h </w:instrText>
      </w:r>
      <w:r>
        <w:rPr>
          <w:lang/>
        </w:rPr>
        <w:fldChar w:fldCharType="separate"/>
      </w:r>
      <w:r>
        <w:rPr>
          <w:lang/>
        </w:rPr>
        <w:t>43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"_Toc510100239"</w:instrText>
      </w:r>
      <w:r>
        <w:rPr>
          <w:rStyle w:val="10"/>
          <w:lang/>
        </w:rPr>
        <w:instrText xml:space="preserve"> </w:instrText>
      </w:r>
      <w:r>
        <w:rPr>
          <w:rStyle w:val="10"/>
          <w:lang/>
        </w:rPr>
        <w:fldChar w:fldCharType="separate"/>
      </w:r>
      <w:r>
        <w:rPr>
          <w:rStyle w:val="10"/>
          <w:b/>
          <w:bCs/>
          <w:lang/>
        </w:rPr>
        <w:t xml:space="preserve">8.2 </w:t>
      </w:r>
      <w:r>
        <w:rPr>
          <w:rStyle w:val="10"/>
          <w:rFonts w:hint="eastAsia"/>
          <w:b/>
          <w:bCs/>
          <w:lang/>
        </w:rPr>
        <w:t>报告期末按行业分类的股票投资组合</w:t>
      </w:r>
      <w:r>
        <w:rPr>
          <w:lang/>
        </w:rPr>
        <w:tab/>
      </w:r>
      <w:r>
        <w:rPr>
          <w:lang/>
        </w:rPr>
        <w:fldChar w:fldCharType="begin"/>
      </w:r>
      <w:r>
        <w:rPr>
          <w:lang/>
        </w:rPr>
        <w:instrText xml:space="preserve"> PAGEREF _Toc510100239 \h </w:instrText>
      </w:r>
      <w:r>
        <w:rPr>
          <w:lang/>
        </w:rPr>
        <w:fldChar w:fldCharType="separate"/>
      </w:r>
      <w:r>
        <w:rPr>
          <w:lang/>
        </w:rPr>
        <w:t>43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"_Toc510100240"</w:instrText>
      </w:r>
      <w:r>
        <w:rPr>
          <w:rStyle w:val="10"/>
          <w:lang/>
        </w:rPr>
        <w:instrText xml:space="preserve"> </w:instrText>
      </w:r>
      <w:r>
        <w:rPr>
          <w:rStyle w:val="10"/>
          <w:lang/>
        </w:rPr>
        <w:fldChar w:fldCharType="separate"/>
      </w:r>
      <w:r>
        <w:rPr>
          <w:rStyle w:val="10"/>
          <w:b/>
          <w:bCs/>
          <w:lang/>
        </w:rPr>
        <w:t xml:space="preserve">8.3 </w:t>
      </w:r>
      <w:r>
        <w:rPr>
          <w:rStyle w:val="10"/>
          <w:rFonts w:hint="eastAsia"/>
          <w:b/>
          <w:bCs/>
          <w:lang/>
        </w:rPr>
        <w:t>期末按公允价值占基金资产净值比例大小排序的所有股票投资明细</w:t>
      </w:r>
      <w:r>
        <w:rPr>
          <w:lang/>
        </w:rPr>
        <w:tab/>
      </w:r>
      <w:r>
        <w:rPr>
          <w:lang/>
        </w:rPr>
        <w:fldChar w:fldCharType="begin"/>
      </w:r>
      <w:r>
        <w:rPr>
          <w:lang/>
        </w:rPr>
        <w:instrText xml:space="preserve"> PAGEREF _Toc510100240 \h </w:instrText>
      </w:r>
      <w:r>
        <w:rPr>
          <w:lang/>
        </w:rPr>
        <w:fldChar w:fldCharType="separate"/>
      </w:r>
      <w:r>
        <w:rPr>
          <w:lang/>
        </w:rPr>
        <w:t>44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"_Toc510100241"</w:instrText>
      </w:r>
      <w:r>
        <w:rPr>
          <w:rStyle w:val="10"/>
          <w:lang/>
        </w:rPr>
        <w:instrText xml:space="preserve"> </w:instrText>
      </w:r>
      <w:r>
        <w:rPr>
          <w:rStyle w:val="10"/>
          <w:lang/>
        </w:rPr>
        <w:fldChar w:fldCharType="separate"/>
      </w:r>
      <w:r>
        <w:rPr>
          <w:rStyle w:val="10"/>
          <w:b/>
          <w:bCs/>
          <w:lang/>
        </w:rPr>
        <w:t xml:space="preserve">8.4 </w:t>
      </w:r>
      <w:r>
        <w:rPr>
          <w:rStyle w:val="10"/>
          <w:rFonts w:hint="eastAsia"/>
          <w:b/>
          <w:bCs/>
          <w:lang/>
        </w:rPr>
        <w:t>报告期内股票投资组合的重大变动</w:t>
      </w:r>
      <w:r>
        <w:rPr>
          <w:lang/>
        </w:rPr>
        <w:tab/>
      </w:r>
      <w:r>
        <w:rPr>
          <w:lang/>
        </w:rPr>
        <w:fldChar w:fldCharType="begin"/>
      </w:r>
      <w:r>
        <w:rPr>
          <w:lang/>
        </w:rPr>
        <w:instrText xml:space="preserve"> PAGEREF _Toc510100241 \h </w:instrText>
      </w:r>
      <w:r>
        <w:rPr>
          <w:lang/>
        </w:rPr>
        <w:fldChar w:fldCharType="separate"/>
      </w:r>
      <w:r>
        <w:rPr>
          <w:lang/>
        </w:rPr>
        <w:t>45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"_Toc510100242"</w:instrText>
      </w:r>
      <w:r>
        <w:rPr>
          <w:rStyle w:val="10"/>
          <w:lang/>
        </w:rPr>
        <w:instrText xml:space="preserve"> </w:instrText>
      </w:r>
      <w:r>
        <w:rPr>
          <w:rStyle w:val="10"/>
          <w:lang/>
        </w:rPr>
        <w:fldChar w:fldCharType="separate"/>
      </w:r>
      <w:r>
        <w:rPr>
          <w:rStyle w:val="10"/>
          <w:b/>
          <w:bCs/>
          <w:lang/>
        </w:rPr>
        <w:t xml:space="preserve">8.5 </w:t>
      </w:r>
      <w:r>
        <w:rPr>
          <w:rStyle w:val="10"/>
          <w:rFonts w:hint="eastAsia"/>
          <w:b/>
          <w:bCs/>
          <w:lang/>
        </w:rPr>
        <w:t>期末按债券品种分类的债券投资组合</w:t>
      </w:r>
      <w:r>
        <w:rPr>
          <w:lang/>
        </w:rPr>
        <w:tab/>
      </w:r>
      <w:r>
        <w:rPr>
          <w:lang/>
        </w:rPr>
        <w:fldChar w:fldCharType="begin"/>
      </w:r>
      <w:r>
        <w:rPr>
          <w:lang/>
        </w:rPr>
        <w:instrText xml:space="preserve"> PAGEREF _Toc510100242 \h </w:instrText>
      </w:r>
      <w:r>
        <w:rPr>
          <w:lang/>
        </w:rPr>
        <w:fldChar w:fldCharType="separate"/>
      </w:r>
      <w:r>
        <w:rPr>
          <w:lang/>
        </w:rPr>
        <w:t>46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"_Toc510100243"</w:instrText>
      </w:r>
      <w:r>
        <w:rPr>
          <w:rStyle w:val="10"/>
          <w:lang/>
        </w:rPr>
        <w:instrText xml:space="preserve"> </w:instrText>
      </w:r>
      <w:r>
        <w:rPr>
          <w:rStyle w:val="10"/>
          <w:lang/>
        </w:rPr>
        <w:fldChar w:fldCharType="separate"/>
      </w:r>
      <w:r>
        <w:rPr>
          <w:rStyle w:val="10"/>
          <w:b/>
          <w:bCs/>
          <w:lang/>
        </w:rPr>
        <w:t xml:space="preserve">8.6 </w:t>
      </w:r>
      <w:r>
        <w:rPr>
          <w:rStyle w:val="10"/>
          <w:rFonts w:hint="eastAsia"/>
          <w:b/>
          <w:bCs/>
          <w:lang/>
        </w:rPr>
        <w:t>期末按公允价值占基金资产净值比例大小排序的前五名债券投资明细</w:t>
      </w:r>
      <w:r>
        <w:rPr>
          <w:lang/>
        </w:rPr>
        <w:tab/>
      </w:r>
      <w:r>
        <w:rPr>
          <w:lang/>
        </w:rPr>
        <w:fldChar w:fldCharType="begin"/>
      </w:r>
      <w:r>
        <w:rPr>
          <w:lang/>
        </w:rPr>
        <w:instrText xml:space="preserve"> PAGEREF _Toc510100243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"_Toc510100244"</w:instrText>
      </w:r>
      <w:r>
        <w:rPr>
          <w:rStyle w:val="10"/>
          <w:lang/>
        </w:rPr>
        <w:instrText xml:space="preserve"> </w:instrText>
      </w:r>
      <w:r>
        <w:rPr>
          <w:rStyle w:val="10"/>
          <w:lang/>
        </w:rPr>
        <w:fldChar w:fldCharType="separate"/>
      </w:r>
      <w:r>
        <w:rPr>
          <w:rStyle w:val="10"/>
          <w:b/>
          <w:bCs/>
          <w:lang/>
        </w:rPr>
        <w:t xml:space="preserve">8.7 </w:t>
      </w:r>
      <w:r>
        <w:rPr>
          <w:rStyle w:val="10"/>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_Toc510100244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"_Toc510100245"</w:instrText>
      </w:r>
      <w:r>
        <w:rPr>
          <w:rStyle w:val="10"/>
          <w:lang/>
        </w:rPr>
        <w:instrText xml:space="preserve"> </w:instrText>
      </w:r>
      <w:r>
        <w:rPr>
          <w:rStyle w:val="10"/>
          <w:lang/>
        </w:rPr>
        <w:fldChar w:fldCharType="separate"/>
      </w:r>
      <w:r>
        <w:rPr>
          <w:rStyle w:val="10"/>
          <w:b/>
          <w:bCs/>
          <w:lang/>
        </w:rPr>
        <w:t xml:space="preserve">8.8 </w:t>
      </w:r>
      <w:r>
        <w:rPr>
          <w:rStyle w:val="10"/>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_Toc510100245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"_Toc510100246"</w:instrText>
      </w:r>
      <w:r>
        <w:rPr>
          <w:rStyle w:val="10"/>
          <w:lang/>
        </w:rPr>
        <w:instrText xml:space="preserve"> </w:instrText>
      </w:r>
      <w:r>
        <w:rPr>
          <w:rStyle w:val="10"/>
          <w:lang/>
        </w:rPr>
        <w:fldChar w:fldCharType="separate"/>
      </w:r>
      <w:r>
        <w:rPr>
          <w:rStyle w:val="10"/>
          <w:b/>
          <w:bCs/>
          <w:lang/>
        </w:rPr>
        <w:t xml:space="preserve">8.9 </w:t>
      </w:r>
      <w:r>
        <w:rPr>
          <w:rStyle w:val="10"/>
          <w:rFonts w:hint="eastAsia"/>
          <w:b/>
          <w:bCs/>
          <w:lang/>
        </w:rPr>
        <w:t>期末按公允价值占基金资产净值比例大小排序的前五名权证投资明细</w:t>
      </w:r>
      <w:r>
        <w:rPr>
          <w:lang/>
        </w:rPr>
        <w:tab/>
      </w:r>
      <w:r>
        <w:rPr>
          <w:lang/>
        </w:rPr>
        <w:fldChar w:fldCharType="begin"/>
      </w:r>
      <w:r>
        <w:rPr>
          <w:lang/>
        </w:rPr>
        <w:instrText xml:space="preserve"> PAGEREF _Toc510100246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"_Toc510100247"</w:instrText>
      </w:r>
      <w:r>
        <w:rPr>
          <w:rStyle w:val="10"/>
          <w:lang/>
        </w:rPr>
        <w:instrText xml:space="preserve"> </w:instrText>
      </w:r>
      <w:r>
        <w:rPr>
          <w:rStyle w:val="10"/>
          <w:lang/>
        </w:rPr>
        <w:fldChar w:fldCharType="separate"/>
      </w:r>
      <w:r>
        <w:rPr>
          <w:rStyle w:val="10"/>
          <w:b/>
          <w:bCs/>
          <w:lang/>
        </w:rPr>
        <w:t xml:space="preserve">8.10 </w:t>
      </w:r>
      <w:r>
        <w:rPr>
          <w:rStyle w:val="10"/>
          <w:rFonts w:hint="eastAsia"/>
          <w:b/>
          <w:bCs/>
          <w:lang/>
        </w:rPr>
        <w:t>报告期末本基金投资的股指期货交易情况说明</w:t>
      </w:r>
      <w:r>
        <w:rPr>
          <w:lang/>
        </w:rPr>
        <w:tab/>
      </w:r>
      <w:r>
        <w:rPr>
          <w:lang/>
        </w:rPr>
        <w:fldChar w:fldCharType="begin"/>
      </w:r>
      <w:r>
        <w:rPr>
          <w:lang/>
        </w:rPr>
        <w:instrText xml:space="preserve"> PAGEREF _Toc510100247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"_Toc510100248"</w:instrText>
      </w:r>
      <w:r>
        <w:rPr>
          <w:rStyle w:val="10"/>
          <w:lang/>
        </w:rPr>
        <w:instrText xml:space="preserve"> </w:instrText>
      </w:r>
      <w:r>
        <w:rPr>
          <w:rStyle w:val="10"/>
          <w:lang/>
        </w:rPr>
        <w:fldChar w:fldCharType="separate"/>
      </w:r>
      <w:r>
        <w:rPr>
          <w:rStyle w:val="10"/>
          <w:b/>
          <w:bCs/>
          <w:lang/>
        </w:rPr>
        <w:t xml:space="preserve">8.11 </w:t>
      </w:r>
      <w:r>
        <w:rPr>
          <w:rStyle w:val="10"/>
          <w:rFonts w:hint="eastAsia"/>
          <w:b/>
          <w:bCs/>
          <w:lang/>
        </w:rPr>
        <w:t>报告期末本基金投资的国债期货交易情况说明</w:t>
      </w:r>
      <w:r>
        <w:rPr>
          <w:lang/>
        </w:rPr>
        <w:tab/>
      </w:r>
      <w:r>
        <w:rPr>
          <w:lang/>
        </w:rPr>
        <w:fldChar w:fldCharType="begin"/>
      </w:r>
      <w:r>
        <w:rPr>
          <w:lang/>
        </w:rPr>
        <w:instrText xml:space="preserve"> PAGEREF _Toc510100248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"_Toc510100249"</w:instrText>
      </w:r>
      <w:r>
        <w:rPr>
          <w:rStyle w:val="10"/>
          <w:lang/>
        </w:rPr>
        <w:instrText xml:space="preserve"> </w:instrText>
      </w:r>
      <w:r>
        <w:rPr>
          <w:rStyle w:val="10"/>
          <w:lang/>
        </w:rPr>
        <w:fldChar w:fldCharType="separate"/>
      </w:r>
      <w:r>
        <w:rPr>
          <w:rStyle w:val="10"/>
          <w:b/>
          <w:bCs/>
          <w:lang/>
        </w:rPr>
        <w:t xml:space="preserve">8.12 </w:t>
      </w:r>
      <w:r>
        <w:rPr>
          <w:rStyle w:val="10"/>
          <w:rFonts w:hint="eastAsia"/>
          <w:b/>
          <w:bCs/>
          <w:lang/>
        </w:rPr>
        <w:t>投资组合报告附注</w:t>
      </w:r>
      <w:r>
        <w:rPr>
          <w:lang/>
        </w:rPr>
        <w:tab/>
      </w:r>
      <w:r>
        <w:rPr>
          <w:lang/>
        </w:rPr>
        <w:fldChar w:fldCharType="begin"/>
      </w:r>
      <w:r>
        <w:rPr>
          <w:lang/>
        </w:rPr>
        <w:instrText xml:space="preserve"> PAGEREF _Toc510100249 \h </w:instrText>
      </w:r>
      <w:r>
        <w:rPr>
          <w:lang/>
        </w:rPr>
        <w:fldChar w:fldCharType="separate"/>
      </w:r>
      <w:r>
        <w:rPr>
          <w:lang/>
        </w:rPr>
        <w:t>47</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"_Toc510100250"</w:instrText>
      </w:r>
      <w:r>
        <w:rPr>
          <w:rStyle w:val="10"/>
          <w:lang/>
        </w:rPr>
        <w:instrText xml:space="preserve"> </w:instrText>
      </w:r>
      <w:r>
        <w:rPr>
          <w:rStyle w:val="10"/>
          <w:lang/>
        </w:rPr>
        <w:fldChar w:fldCharType="separate"/>
      </w:r>
      <w:r>
        <w:rPr>
          <w:rStyle w:val="10"/>
          <w:b/>
          <w:lang/>
        </w:rPr>
        <w:t xml:space="preserve">§9  </w:t>
      </w:r>
      <w:r>
        <w:rPr>
          <w:rStyle w:val="10"/>
          <w:rFonts w:hint="eastAsia"/>
          <w:b/>
          <w:lang/>
        </w:rPr>
        <w:t>基金份额持有人信息</w:t>
      </w:r>
      <w:r>
        <w:rPr>
          <w:lang/>
        </w:rPr>
        <w:tab/>
      </w:r>
      <w:r>
        <w:rPr>
          <w:lang/>
        </w:rPr>
        <w:fldChar w:fldCharType="begin"/>
      </w:r>
      <w:r>
        <w:rPr>
          <w:lang/>
        </w:rPr>
        <w:instrText xml:space="preserve"> PAGEREF _Toc510100250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"_Toc510100251"</w:instrText>
      </w:r>
      <w:r>
        <w:rPr>
          <w:rStyle w:val="10"/>
          <w:lang/>
        </w:rPr>
        <w:instrText xml:space="preserve"> </w:instrText>
      </w:r>
      <w:r>
        <w:rPr>
          <w:rStyle w:val="10"/>
          <w:lang/>
        </w:rPr>
        <w:fldChar w:fldCharType="separate"/>
      </w:r>
      <w:r>
        <w:rPr>
          <w:rStyle w:val="10"/>
          <w:b/>
          <w:bCs/>
          <w:lang/>
        </w:rPr>
        <w:t xml:space="preserve">9.1 </w:t>
      </w:r>
      <w:r>
        <w:rPr>
          <w:rStyle w:val="10"/>
          <w:rFonts w:hint="eastAsia"/>
          <w:b/>
          <w:bCs/>
          <w:lang/>
        </w:rPr>
        <w:t>期末基金份额持有人户数及持有人结构</w:t>
      </w:r>
      <w:r>
        <w:rPr>
          <w:lang/>
        </w:rPr>
        <w:tab/>
      </w:r>
      <w:r>
        <w:rPr>
          <w:lang/>
        </w:rPr>
        <w:fldChar w:fldCharType="begin"/>
      </w:r>
      <w:r>
        <w:rPr>
          <w:lang/>
        </w:rPr>
        <w:instrText xml:space="preserve"> PAGEREF _Toc510100251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"_Toc510100252"</w:instrText>
      </w:r>
      <w:r>
        <w:rPr>
          <w:rStyle w:val="10"/>
          <w:lang/>
        </w:rPr>
        <w:instrText xml:space="preserve"> </w:instrText>
      </w:r>
      <w:r>
        <w:rPr>
          <w:rStyle w:val="10"/>
          <w:lang/>
        </w:rPr>
        <w:fldChar w:fldCharType="separate"/>
      </w:r>
      <w:r>
        <w:rPr>
          <w:rStyle w:val="10"/>
          <w:b/>
          <w:lang/>
        </w:rPr>
        <w:t>9.2</w:t>
      </w:r>
      <w:r>
        <w:rPr>
          <w:rStyle w:val="10"/>
          <w:rFonts w:hint="eastAsia"/>
          <w:b/>
          <w:lang/>
        </w:rPr>
        <w:t>期末基金管理人的从业人员持有本基金的情况</w:t>
      </w:r>
      <w:r>
        <w:rPr>
          <w:lang/>
        </w:rPr>
        <w:tab/>
      </w:r>
      <w:r>
        <w:rPr>
          <w:lang/>
        </w:rPr>
        <w:fldChar w:fldCharType="begin"/>
      </w:r>
      <w:r>
        <w:rPr>
          <w:lang/>
        </w:rPr>
        <w:instrText xml:space="preserve"> PAGEREF _Toc510100252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"_Toc510100253"</w:instrText>
      </w:r>
      <w:r>
        <w:rPr>
          <w:rStyle w:val="10"/>
          <w:lang/>
        </w:rPr>
        <w:instrText xml:space="preserve"> </w:instrText>
      </w:r>
      <w:r>
        <w:rPr>
          <w:rStyle w:val="10"/>
          <w:lang/>
        </w:rPr>
        <w:fldChar w:fldCharType="separate"/>
      </w:r>
      <w:r>
        <w:rPr>
          <w:rStyle w:val="10"/>
          <w:b/>
          <w:bCs/>
          <w:lang/>
        </w:rPr>
        <w:t>9.3</w:t>
      </w:r>
      <w:r>
        <w:rPr>
          <w:rStyle w:val="10"/>
          <w:rFonts w:hint="eastAsia"/>
          <w:b/>
          <w:bCs/>
          <w:lang/>
        </w:rPr>
        <w:t>期末基金管理人的从业人员持有本开放式基金份额总量区间情况</w:t>
      </w:r>
      <w:r>
        <w:rPr>
          <w:lang/>
        </w:rPr>
        <w:tab/>
      </w:r>
      <w:r>
        <w:rPr>
          <w:lang/>
        </w:rPr>
        <w:fldChar w:fldCharType="begin"/>
      </w:r>
      <w:r>
        <w:rPr>
          <w:lang/>
        </w:rPr>
        <w:instrText xml:space="preserve"> PAGEREF _Toc510100253 \h </w:instrText>
      </w:r>
      <w:r>
        <w:rPr>
          <w:lang/>
        </w:rPr>
        <w:fldChar w:fldCharType="separate"/>
      </w:r>
      <w:r>
        <w:rPr>
          <w:lang/>
        </w:rPr>
        <w:t>49</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"_Toc510100254"</w:instrText>
      </w:r>
      <w:r>
        <w:rPr>
          <w:rStyle w:val="10"/>
          <w:lang/>
        </w:rPr>
        <w:instrText xml:space="preserve"> </w:instrText>
      </w:r>
      <w:r>
        <w:rPr>
          <w:rStyle w:val="10"/>
          <w:lang/>
        </w:rPr>
        <w:fldChar w:fldCharType="separate"/>
      </w:r>
      <w:r>
        <w:rPr>
          <w:rStyle w:val="10"/>
          <w:b/>
          <w:lang/>
        </w:rPr>
        <w:t xml:space="preserve">§10  </w:t>
      </w:r>
      <w:r>
        <w:rPr>
          <w:rStyle w:val="10"/>
          <w:rFonts w:hint="eastAsia"/>
          <w:b/>
          <w:lang/>
        </w:rPr>
        <w:t>开放式基金份额变动</w:t>
      </w:r>
      <w:r>
        <w:rPr>
          <w:lang/>
        </w:rPr>
        <w:tab/>
      </w:r>
      <w:r>
        <w:rPr>
          <w:lang/>
        </w:rPr>
        <w:fldChar w:fldCharType="begin"/>
      </w:r>
      <w:r>
        <w:rPr>
          <w:lang/>
        </w:rPr>
        <w:instrText xml:space="preserve"> PAGEREF _Toc510100254 \h </w:instrText>
      </w:r>
      <w:r>
        <w:rPr>
          <w:lang/>
        </w:rPr>
        <w:fldChar w:fldCharType="separate"/>
      </w:r>
      <w:r>
        <w:rPr>
          <w:lang/>
        </w:rPr>
        <w:t>49</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"_Toc510100255"</w:instrText>
      </w:r>
      <w:r>
        <w:rPr>
          <w:rStyle w:val="10"/>
          <w:lang/>
        </w:rPr>
        <w:instrText xml:space="preserve"> </w:instrText>
      </w:r>
      <w:r>
        <w:rPr>
          <w:rStyle w:val="10"/>
          <w:lang/>
        </w:rPr>
        <w:fldChar w:fldCharType="separate"/>
      </w:r>
      <w:r>
        <w:rPr>
          <w:rStyle w:val="10"/>
          <w:b/>
          <w:lang/>
        </w:rPr>
        <w:t xml:space="preserve">§11  </w:t>
      </w:r>
      <w:r>
        <w:rPr>
          <w:rStyle w:val="10"/>
          <w:rFonts w:hint="eastAsia"/>
          <w:b/>
          <w:lang/>
        </w:rPr>
        <w:t>重大事件揭示</w:t>
      </w:r>
      <w:r>
        <w:rPr>
          <w:lang/>
        </w:rPr>
        <w:tab/>
      </w:r>
      <w:r>
        <w:rPr>
          <w:lang/>
        </w:rPr>
        <w:fldChar w:fldCharType="begin"/>
      </w:r>
      <w:r>
        <w:rPr>
          <w:lang/>
        </w:rPr>
        <w:instrText xml:space="preserve"> PAGEREF _Toc510100255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"_Toc510100256"</w:instrText>
      </w:r>
      <w:r>
        <w:rPr>
          <w:rStyle w:val="10"/>
          <w:lang/>
        </w:rPr>
        <w:instrText xml:space="preserve"> </w:instrText>
      </w:r>
      <w:r>
        <w:rPr>
          <w:rStyle w:val="10"/>
          <w:lang/>
        </w:rPr>
        <w:fldChar w:fldCharType="separate"/>
      </w:r>
      <w:r>
        <w:rPr>
          <w:rStyle w:val="10"/>
          <w:b/>
          <w:bCs/>
          <w:lang/>
        </w:rPr>
        <w:t xml:space="preserve">11.1 </w:t>
      </w:r>
      <w:r>
        <w:rPr>
          <w:rStyle w:val="10"/>
          <w:rFonts w:hint="eastAsia"/>
          <w:b/>
          <w:bCs/>
          <w:lang/>
        </w:rPr>
        <w:t>基金份额持有人大会决议</w:t>
      </w:r>
      <w:r>
        <w:rPr>
          <w:lang/>
        </w:rPr>
        <w:tab/>
      </w:r>
      <w:r>
        <w:rPr>
          <w:lang/>
        </w:rPr>
        <w:fldChar w:fldCharType="begin"/>
      </w:r>
      <w:r>
        <w:rPr>
          <w:lang/>
        </w:rPr>
        <w:instrText xml:space="preserve"> PAGEREF _Toc510100256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"_Toc510100257"</w:instrText>
      </w:r>
      <w:r>
        <w:rPr>
          <w:rStyle w:val="10"/>
          <w:lang/>
        </w:rPr>
        <w:instrText xml:space="preserve"> </w:instrText>
      </w:r>
      <w:r>
        <w:rPr>
          <w:rStyle w:val="10"/>
          <w:lang/>
        </w:rPr>
        <w:fldChar w:fldCharType="separate"/>
      </w:r>
      <w:r>
        <w:rPr>
          <w:rStyle w:val="10"/>
          <w:b/>
          <w:bCs/>
          <w:lang/>
        </w:rPr>
        <w:t xml:space="preserve">11.2 </w:t>
      </w:r>
      <w:r>
        <w:rPr>
          <w:rStyle w:val="10"/>
          <w:rFonts w:hint="eastAsia"/>
          <w:b/>
          <w:bCs/>
          <w:lang/>
        </w:rPr>
        <w:t>基金管理人、基金托管人的专门基金托管部门的重大人事变动</w:t>
      </w:r>
      <w:r>
        <w:rPr>
          <w:lang/>
        </w:rPr>
        <w:tab/>
      </w:r>
      <w:r>
        <w:rPr>
          <w:lang/>
        </w:rPr>
        <w:fldChar w:fldCharType="begin"/>
      </w:r>
      <w:r>
        <w:rPr>
          <w:lang/>
        </w:rPr>
        <w:instrText xml:space="preserve"> PAGEREF _Toc510100257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"_Toc510100258"</w:instrText>
      </w:r>
      <w:r>
        <w:rPr>
          <w:rStyle w:val="10"/>
          <w:lang/>
        </w:rPr>
        <w:instrText xml:space="preserve"> </w:instrText>
      </w:r>
      <w:r>
        <w:rPr>
          <w:rStyle w:val="10"/>
          <w:lang/>
        </w:rPr>
        <w:fldChar w:fldCharType="separate"/>
      </w:r>
      <w:r>
        <w:rPr>
          <w:rStyle w:val="10"/>
          <w:b/>
          <w:bCs/>
          <w:lang/>
        </w:rPr>
        <w:t xml:space="preserve">11.3 </w:t>
      </w:r>
      <w:r>
        <w:rPr>
          <w:rStyle w:val="10"/>
          <w:rFonts w:hint="eastAsia"/>
          <w:b/>
          <w:bCs/>
          <w:lang/>
        </w:rPr>
        <w:t>涉及基金管理人、基金财产、基金托管业务的诉讼</w:t>
      </w:r>
      <w:r>
        <w:rPr>
          <w:lang/>
        </w:rPr>
        <w:tab/>
      </w:r>
      <w:r>
        <w:rPr>
          <w:lang/>
        </w:rPr>
        <w:fldChar w:fldCharType="begin"/>
      </w:r>
      <w:r>
        <w:rPr>
          <w:lang/>
        </w:rPr>
        <w:instrText xml:space="preserve"> PAGEREF _Toc510100258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"_Toc510100259"</w:instrText>
      </w:r>
      <w:r>
        <w:rPr>
          <w:rStyle w:val="10"/>
          <w:lang/>
        </w:rPr>
        <w:instrText xml:space="preserve"> </w:instrText>
      </w:r>
      <w:r>
        <w:rPr>
          <w:rStyle w:val="10"/>
          <w:lang/>
        </w:rPr>
        <w:fldChar w:fldCharType="separate"/>
      </w:r>
      <w:r>
        <w:rPr>
          <w:rStyle w:val="10"/>
          <w:b/>
          <w:bCs/>
          <w:lang/>
        </w:rPr>
        <w:t xml:space="preserve">11.4 </w:t>
      </w:r>
      <w:r>
        <w:rPr>
          <w:rStyle w:val="10"/>
          <w:rFonts w:hint="eastAsia"/>
          <w:b/>
          <w:bCs/>
          <w:lang/>
        </w:rPr>
        <w:t>基金投资策略的改变</w:t>
      </w:r>
      <w:r>
        <w:rPr>
          <w:lang/>
        </w:rPr>
        <w:tab/>
      </w:r>
      <w:r>
        <w:rPr>
          <w:lang/>
        </w:rPr>
        <w:fldChar w:fldCharType="begin"/>
      </w:r>
      <w:r>
        <w:rPr>
          <w:lang/>
        </w:rPr>
        <w:instrText xml:space="preserve"> PAGEREF _Toc510100259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"_Toc510100260"</w:instrText>
      </w:r>
      <w:r>
        <w:rPr>
          <w:rStyle w:val="10"/>
          <w:lang/>
        </w:rPr>
        <w:instrText xml:space="preserve"> </w:instrText>
      </w:r>
      <w:r>
        <w:rPr>
          <w:rStyle w:val="10"/>
          <w:lang/>
        </w:rPr>
        <w:fldChar w:fldCharType="separate"/>
      </w:r>
      <w:r>
        <w:rPr>
          <w:rStyle w:val="10"/>
          <w:b/>
          <w:bCs/>
          <w:lang/>
        </w:rPr>
        <w:t xml:space="preserve">11.5 </w:t>
      </w:r>
      <w:r>
        <w:rPr>
          <w:rStyle w:val="10"/>
          <w:rFonts w:hint="eastAsia"/>
          <w:b/>
          <w:bCs/>
          <w:lang/>
        </w:rPr>
        <w:t>为基金进行审计的会计师事务所情况</w:t>
      </w:r>
      <w:r>
        <w:rPr>
          <w:lang/>
        </w:rPr>
        <w:tab/>
      </w:r>
      <w:r>
        <w:rPr>
          <w:lang/>
        </w:rPr>
        <w:fldChar w:fldCharType="begin"/>
      </w:r>
      <w:r>
        <w:rPr>
          <w:lang/>
        </w:rPr>
        <w:instrText xml:space="preserve"> PAGEREF _Toc510100260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"_Toc510100261"</w:instrText>
      </w:r>
      <w:r>
        <w:rPr>
          <w:rStyle w:val="10"/>
          <w:lang/>
        </w:rPr>
        <w:instrText xml:space="preserve"> </w:instrText>
      </w:r>
      <w:r>
        <w:rPr>
          <w:rStyle w:val="10"/>
          <w:lang/>
        </w:rPr>
        <w:fldChar w:fldCharType="separate"/>
      </w:r>
      <w:r>
        <w:rPr>
          <w:rStyle w:val="10"/>
          <w:b/>
          <w:bCs/>
          <w:lang/>
        </w:rPr>
        <w:t xml:space="preserve">11.6 </w:t>
      </w:r>
      <w:r>
        <w:rPr>
          <w:rStyle w:val="10"/>
          <w:rFonts w:hint="eastAsia"/>
          <w:b/>
          <w:bCs/>
          <w:lang/>
        </w:rPr>
        <w:t>管理人、托管人及其高级管理人员受稽查或处罚等情况</w:t>
      </w:r>
      <w:r>
        <w:rPr>
          <w:lang/>
        </w:rPr>
        <w:tab/>
      </w:r>
      <w:r>
        <w:rPr>
          <w:lang/>
        </w:rPr>
        <w:fldChar w:fldCharType="begin"/>
      </w:r>
      <w:r>
        <w:rPr>
          <w:lang/>
        </w:rPr>
        <w:instrText xml:space="preserve"> PAGEREF _Toc510100261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"_Toc510100262"</w:instrText>
      </w:r>
      <w:r>
        <w:rPr>
          <w:rStyle w:val="10"/>
          <w:lang/>
        </w:rPr>
        <w:instrText xml:space="preserve"> </w:instrText>
      </w:r>
      <w:r>
        <w:rPr>
          <w:rStyle w:val="10"/>
          <w:lang/>
        </w:rPr>
        <w:fldChar w:fldCharType="separate"/>
      </w:r>
      <w:r>
        <w:rPr>
          <w:rStyle w:val="10"/>
          <w:b/>
          <w:bCs/>
          <w:lang/>
        </w:rPr>
        <w:t xml:space="preserve">11.7 </w:t>
      </w:r>
      <w:r>
        <w:rPr>
          <w:rStyle w:val="10"/>
          <w:rFonts w:hint="eastAsia"/>
          <w:b/>
          <w:bCs/>
          <w:lang/>
        </w:rPr>
        <w:t>基金租用证券公司交易单元的有关情况</w:t>
      </w:r>
      <w:r>
        <w:rPr>
          <w:lang/>
        </w:rPr>
        <w:tab/>
      </w:r>
      <w:r>
        <w:rPr>
          <w:lang/>
        </w:rPr>
        <w:fldChar w:fldCharType="begin"/>
      </w:r>
      <w:r>
        <w:rPr>
          <w:lang/>
        </w:rPr>
        <w:instrText xml:space="preserve"> PAGEREF _Toc510100262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"_Toc510100263"</w:instrText>
      </w:r>
      <w:r>
        <w:rPr>
          <w:rStyle w:val="10"/>
          <w:lang/>
        </w:rPr>
        <w:instrText xml:space="preserve"> </w:instrText>
      </w:r>
      <w:r>
        <w:rPr>
          <w:rStyle w:val="10"/>
          <w:lang/>
        </w:rPr>
        <w:fldChar w:fldCharType="separate"/>
      </w:r>
      <w:r>
        <w:rPr>
          <w:rStyle w:val="10"/>
          <w:b/>
          <w:bCs/>
          <w:lang/>
        </w:rPr>
        <w:t xml:space="preserve">11.8 </w:t>
      </w:r>
      <w:r>
        <w:rPr>
          <w:rStyle w:val="10"/>
          <w:rFonts w:hint="eastAsia"/>
          <w:b/>
          <w:bCs/>
          <w:lang/>
        </w:rPr>
        <w:t>其他重大事件</w:t>
      </w:r>
      <w:r>
        <w:rPr>
          <w:lang/>
        </w:rPr>
        <w:tab/>
      </w:r>
      <w:r>
        <w:rPr>
          <w:lang/>
        </w:rPr>
        <w:fldChar w:fldCharType="begin"/>
      </w:r>
      <w:r>
        <w:rPr>
          <w:lang/>
        </w:rPr>
        <w:instrText xml:space="preserve"> PAGEREF _Toc510100263 \h </w:instrText>
      </w:r>
      <w:r>
        <w:rPr>
          <w:lang/>
        </w:rPr>
        <w:fldChar w:fldCharType="separate"/>
      </w:r>
      <w:r>
        <w:rPr>
          <w:lang/>
        </w:rPr>
        <w:t>53</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"_Toc510100264"</w:instrText>
      </w:r>
      <w:r>
        <w:rPr>
          <w:rStyle w:val="10"/>
          <w:lang/>
        </w:rPr>
        <w:instrText xml:space="preserve"> </w:instrText>
      </w:r>
      <w:r>
        <w:rPr>
          <w:rStyle w:val="10"/>
          <w:lang/>
        </w:rPr>
        <w:fldChar w:fldCharType="separate"/>
      </w:r>
      <w:r>
        <w:rPr>
          <w:rStyle w:val="10"/>
          <w:b/>
          <w:lang/>
        </w:rPr>
        <w:t xml:space="preserve">§12  </w:t>
      </w:r>
      <w:r>
        <w:rPr>
          <w:rStyle w:val="10"/>
          <w:rFonts w:hint="eastAsia"/>
          <w:b/>
          <w:lang/>
        </w:rPr>
        <w:t>影响投资者决策的其他重要信息</w:t>
      </w:r>
      <w:r>
        <w:rPr>
          <w:lang/>
        </w:rPr>
        <w:tab/>
      </w:r>
      <w:r>
        <w:rPr>
          <w:lang/>
        </w:rPr>
        <w:fldChar w:fldCharType="begin"/>
      </w:r>
      <w:r>
        <w:rPr>
          <w:lang/>
        </w:rPr>
        <w:instrText xml:space="preserve"> PAGEREF _Toc510100264 \h </w:instrText>
      </w:r>
      <w:r>
        <w:rPr>
          <w:lang/>
        </w:rPr>
        <w:fldChar w:fldCharType="separate"/>
      </w:r>
      <w:r>
        <w:rPr>
          <w:lang/>
        </w:rPr>
        <w:t>56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"_Toc510100265"</w:instrText>
      </w:r>
      <w:r>
        <w:rPr>
          <w:rStyle w:val="10"/>
          <w:lang/>
        </w:rPr>
        <w:instrText xml:space="preserve"> </w:instrText>
      </w:r>
      <w:r>
        <w:rPr>
          <w:rStyle w:val="10"/>
          <w:lang/>
        </w:rPr>
        <w:fldChar w:fldCharType="separate"/>
      </w:r>
      <w:r>
        <w:rPr>
          <w:rStyle w:val="10"/>
          <w:b/>
          <w:bCs/>
          <w:lang/>
        </w:rPr>
        <w:t xml:space="preserve">12.1 </w:t>
      </w:r>
      <w:r>
        <w:rPr>
          <w:rStyle w:val="10"/>
          <w:rFonts w:hint="eastAsia"/>
          <w:b/>
          <w:bCs/>
          <w:lang/>
        </w:rPr>
        <w:t>报告期内单一投资者持有基金份额比例达到或超过</w:t>
      </w:r>
      <w:r>
        <w:rPr>
          <w:rStyle w:val="10"/>
          <w:b/>
          <w:bCs/>
          <w:lang/>
        </w:rPr>
        <w:t>20%</w:t>
      </w:r>
      <w:r>
        <w:rPr>
          <w:rStyle w:val="10"/>
          <w:rFonts w:hint="eastAsia"/>
          <w:b/>
          <w:bCs/>
          <w:lang/>
        </w:rPr>
        <w:t>的情况</w:t>
      </w:r>
      <w:r>
        <w:rPr>
          <w:lang/>
        </w:rPr>
        <w:tab/>
      </w:r>
      <w:r>
        <w:rPr>
          <w:lang/>
        </w:rPr>
        <w:fldChar w:fldCharType="begin"/>
      </w:r>
      <w:r>
        <w:rPr>
          <w:lang/>
        </w:rPr>
        <w:instrText xml:space="preserve"> PAGEREF _Toc510100265 \h </w:instrText>
      </w:r>
      <w:r>
        <w:rPr>
          <w:lang/>
        </w:rPr>
        <w:fldChar w:fldCharType="separate"/>
      </w:r>
      <w:r>
        <w:rPr>
          <w:lang/>
        </w:rPr>
        <w:t>56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"_Toc510100266"</w:instrText>
      </w:r>
      <w:r>
        <w:rPr>
          <w:rStyle w:val="10"/>
          <w:lang/>
        </w:rPr>
        <w:instrText xml:space="preserve"> </w:instrText>
      </w:r>
      <w:r>
        <w:rPr>
          <w:rStyle w:val="10"/>
          <w:lang/>
        </w:rPr>
        <w:fldChar w:fldCharType="separate"/>
      </w:r>
      <w:r>
        <w:rPr>
          <w:rStyle w:val="10"/>
          <w:b/>
          <w:bCs/>
          <w:lang/>
        </w:rPr>
        <w:t xml:space="preserve">12.2 </w:t>
      </w:r>
      <w:r>
        <w:rPr>
          <w:rStyle w:val="10"/>
          <w:rFonts w:hint="eastAsia"/>
          <w:b/>
          <w:bCs/>
          <w:lang/>
        </w:rPr>
        <w:t>影响投资者决策的其他重要信息</w:t>
      </w:r>
      <w:r>
        <w:rPr>
          <w:lang/>
        </w:rPr>
        <w:tab/>
      </w:r>
      <w:r>
        <w:rPr>
          <w:lang/>
        </w:rPr>
        <w:fldChar w:fldCharType="begin"/>
      </w:r>
      <w:r>
        <w:rPr>
          <w:lang/>
        </w:rPr>
        <w:instrText xml:space="preserve"> PAGEREF _Toc510100266 \h </w:instrText>
      </w:r>
      <w:r>
        <w:rPr>
          <w:lang/>
        </w:rPr>
        <w:fldChar w:fldCharType="separate"/>
      </w:r>
      <w:r>
        <w:rPr>
          <w:lang/>
        </w:rPr>
        <w:t>56</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"_Toc510100267"</w:instrText>
      </w:r>
      <w:r>
        <w:rPr>
          <w:rStyle w:val="10"/>
          <w:lang/>
        </w:rPr>
        <w:instrText xml:space="preserve"> </w:instrText>
      </w:r>
      <w:r>
        <w:rPr>
          <w:rStyle w:val="10"/>
          <w:lang/>
        </w:rPr>
        <w:fldChar w:fldCharType="separate"/>
      </w:r>
      <w:r>
        <w:rPr>
          <w:rStyle w:val="10"/>
          <w:b/>
          <w:lang/>
        </w:rPr>
        <w:t xml:space="preserve">§13  </w:t>
      </w:r>
      <w:r>
        <w:rPr>
          <w:rStyle w:val="10"/>
          <w:rFonts w:hint="eastAsia"/>
          <w:b/>
          <w:lang/>
        </w:rPr>
        <w:t>备查文件目录</w:t>
      </w:r>
      <w:r>
        <w:rPr>
          <w:lang/>
        </w:rPr>
        <w:tab/>
      </w:r>
      <w:r>
        <w:rPr>
          <w:lang/>
        </w:rPr>
        <w:fldChar w:fldCharType="begin"/>
      </w:r>
      <w:r>
        <w:rPr>
          <w:lang/>
        </w:rPr>
        <w:instrText xml:space="preserve"> PAGEREF _Toc510100267 \h </w:instrText>
      </w:r>
      <w:r>
        <w:rPr>
          <w:lang/>
        </w:rPr>
        <w:fldChar w:fldCharType="separate"/>
      </w:r>
      <w:r>
        <w:rPr>
          <w:lang/>
        </w:rPr>
        <w:t>56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"_Toc510100268"</w:instrText>
      </w:r>
      <w:r>
        <w:rPr>
          <w:rStyle w:val="10"/>
          <w:lang/>
        </w:rPr>
        <w:instrText xml:space="preserve"> </w:instrText>
      </w:r>
      <w:r>
        <w:rPr>
          <w:rStyle w:val="10"/>
          <w:lang/>
        </w:rPr>
        <w:fldChar w:fldCharType="separate"/>
      </w:r>
      <w:r>
        <w:rPr>
          <w:rStyle w:val="10"/>
          <w:b/>
          <w:bCs/>
          <w:lang/>
        </w:rPr>
        <w:t xml:space="preserve">13.1 </w:t>
      </w:r>
      <w:r>
        <w:rPr>
          <w:rStyle w:val="10"/>
          <w:rFonts w:hint="eastAsia"/>
          <w:b/>
          <w:bCs/>
          <w:lang/>
        </w:rPr>
        <w:t>备查文件目录</w:t>
      </w:r>
      <w:r>
        <w:rPr>
          <w:rStyle w:val="10"/>
          <w:lang/>
        </w:rPr>
        <w:t>.</w:t>
      </w:r>
      <w:r>
        <w:rPr>
          <w:lang/>
        </w:rPr>
        <w:tab/>
      </w:r>
      <w:r>
        <w:rPr>
          <w:lang/>
        </w:rPr>
        <w:fldChar w:fldCharType="begin"/>
      </w:r>
      <w:r>
        <w:rPr>
          <w:lang/>
        </w:rPr>
        <w:instrText xml:space="preserve"> PAGEREF _Toc510100268 \h </w:instrText>
      </w:r>
      <w:r>
        <w:rPr>
          <w:lang/>
        </w:rPr>
        <w:fldChar w:fldCharType="separate"/>
      </w:r>
      <w:r>
        <w:rPr>
          <w:lang/>
        </w:rPr>
        <w:t>56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"_Toc510100269"</w:instrText>
      </w:r>
      <w:r>
        <w:rPr>
          <w:rStyle w:val="10"/>
          <w:lang/>
        </w:rPr>
        <w:instrText xml:space="preserve"> </w:instrText>
      </w:r>
      <w:r>
        <w:rPr>
          <w:rStyle w:val="10"/>
          <w:lang/>
        </w:rPr>
        <w:fldChar w:fldCharType="separate"/>
      </w:r>
      <w:r>
        <w:rPr>
          <w:rStyle w:val="10"/>
          <w:b/>
          <w:bCs/>
          <w:lang/>
        </w:rPr>
        <w:t xml:space="preserve">13.2 </w:t>
      </w:r>
      <w:r>
        <w:rPr>
          <w:rStyle w:val="10"/>
          <w:rFonts w:hint="eastAsia"/>
          <w:b/>
          <w:bCs/>
          <w:lang/>
        </w:rPr>
        <w:t>存放地点</w:t>
      </w:r>
      <w:r>
        <w:rPr>
          <w:lang/>
        </w:rPr>
        <w:tab/>
      </w:r>
      <w:r>
        <w:rPr>
          <w:lang/>
        </w:rPr>
        <w:fldChar w:fldCharType="begin"/>
      </w:r>
      <w:r>
        <w:rPr>
          <w:lang/>
        </w:rPr>
        <w:instrText xml:space="preserve"> PAGEREF _Toc510100269 \h </w:instrText>
      </w:r>
      <w:r>
        <w:rPr>
          <w:lang/>
        </w:rPr>
        <w:fldChar w:fldCharType="separate"/>
      </w:r>
      <w:r>
        <w:rPr>
          <w:lang/>
        </w:rPr>
        <w:t>56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"_Toc510100270"</w:instrText>
      </w:r>
      <w:r>
        <w:rPr>
          <w:rStyle w:val="10"/>
          <w:lang/>
        </w:rPr>
        <w:instrText xml:space="preserve"> </w:instrText>
      </w:r>
      <w:r>
        <w:rPr>
          <w:rStyle w:val="10"/>
          <w:lang/>
        </w:rPr>
        <w:fldChar w:fldCharType="separate"/>
      </w:r>
      <w:r>
        <w:rPr>
          <w:rStyle w:val="10"/>
          <w:b/>
          <w:bCs/>
          <w:lang/>
        </w:rPr>
        <w:t xml:space="preserve">13.3 </w:t>
      </w:r>
      <w:r>
        <w:rPr>
          <w:rStyle w:val="10"/>
          <w:rFonts w:hint="eastAsia"/>
          <w:b/>
          <w:bCs/>
          <w:lang/>
        </w:rPr>
        <w:t>查阅方式</w:t>
      </w:r>
      <w:r>
        <w:rPr>
          <w:lang/>
        </w:rPr>
        <w:tab/>
      </w:r>
      <w:r>
        <w:rPr>
          <w:lang/>
        </w:rPr>
        <w:fldChar w:fldCharType="begin"/>
      </w:r>
      <w:r>
        <w:rPr>
          <w:lang/>
        </w:rPr>
        <w:instrText xml:space="preserve"> PAGEREF _Toc510100270 \h </w:instrText>
      </w:r>
      <w:r>
        <w:rPr>
          <w:lang/>
        </w:rPr>
        <w:fldChar w:fldCharType="separate"/>
      </w:r>
      <w:r>
        <w:rPr>
          <w:lang/>
        </w:rPr>
        <w:t>56</w:t>
      </w:r>
      <w:r>
        <w:rPr>
          <w:lang/>
        </w:rPr>
        <w:fldChar w:fldCharType="end"/>
      </w:r>
      <w:r>
        <w:rPr>
          <w:rStyle w:val="10"/>
          <w:lang/>
        </w:rPr>
        <w:fldChar w:fldCharType="end"/>
      </w:r>
    </w:p>
    <w:p>
      <w:pPr>
        <w:widowControl/>
        <w:jc w:val="left"/>
        <w:rPr>
          <w:rFonts w:hint="eastAsia" w:ascii="宋体" w:hAnsi="宋体" w:cs="宋体"/>
          <w:kern w:val="0"/>
          <w:sz w:val="24"/>
          <w:szCs w:val="24"/>
        </w:rPr>
      </w:pPr>
      <w:r>
        <w:rPr>
          <w:rFonts w:ascii="宋体" w:hAnsi="宋体" w:cs="宋体"/>
          <w:kern w:val="0"/>
          <w:sz w:val="24"/>
          <w:szCs w:val="24"/>
        </w:rPr>
        <w:fldChar w:fldCharType="end"/>
      </w:r>
      <w:r>
        <w:rPr>
          <w:rFonts w:hint="eastAsia" w:ascii="宋体" w:hAnsi="宋体" w:cs="宋体"/>
          <w:kern w:val="0"/>
          <w:sz w:val="24"/>
          <w:szCs w:val="24"/>
        </w:rPr>
        <w:t xml:space="preserve"> </w:t>
      </w:r>
      <w:r>
        <w:rPr>
          <w:rFonts w:ascii="Times New Roman" w:hAnsi="Times New Roman"/>
          <w:sz w:val="24"/>
          <w:szCs w:val="24"/>
        </w:rPr>
        <w:br w:type="page"/>
      </w:r>
    </w:p>
    <w:p>
      <w:pPr>
        <w:pStyle w:val="12"/>
        <w:rPr>
          <w:rFonts w:hint="eastAsia"/>
        </w:rPr>
      </w:pPr>
      <w:bookmarkStart w:id="3" w:name="_Toc510100205"/>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3"/>
        <w:rPr>
          <w:rFonts w:hint="eastAsia"/>
        </w:rPr>
      </w:pPr>
      <w:bookmarkStart w:id="4" w:name="_Toc510100206"/>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3249"/>
        <w:gridCol w:w="5871"/>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创金合信优选回报灵活配置混合型证券投资基金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创金合信优选回报混合</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基金主代码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005076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基金运作方式</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2017年09月27日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基金管理人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基金托管人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报告期末基金份额总额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631,378,610.11份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基金合同存续期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r>
    </w:tbl>
    <w:p>
      <w:pPr>
        <w:pStyle w:val="13"/>
      </w:pPr>
      <w:bookmarkStart w:id="5" w:name="_Toc510100207"/>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  本基金在严格控制基金资产净值下行风险的基础上，追求基金资产净值的长期稳健增长。</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  在大类资产配置上，本基金将通过对宏观经济环境、财政政策、货币政策、产业政策的分析和预测，判断宏观经济所处的经济周期及运行趋势，结合对资金供求状况、股票债券市场的估值水平以及市场情绪的分析，评估各类别资产的风险收益特征，并加以分析比较，采用定性和定量相结合的方法，形成对不同类别资产表现的预测，确定基金资产在股票、债券及货币市场工具等资产类别间的配置比例。</w:t>
            </w:r>
            <w:r>
              <w:rPr>
                <w:rFonts w:hint="eastAsia"/>
              </w:rPr>
              <w:br w:type="textWrapping"/>
            </w:r>
            <w:r>
              <w:rPr>
                <w:rFonts w:hint="eastAsia"/>
              </w:rPr>
              <w:t>  本基金将密切关注市场整体风险的变化以及各类别资产的风险收益的相对变化趋势，在严格控制基金风险敞口的前提下，根据敞口大小和资产风险水平动态调整各大类资产之间的配置比例，力争提高基金收益。</w:t>
            </w:r>
            <w:r>
              <w:rPr>
                <w:rFonts w:hint="eastAsia"/>
              </w:rPr>
              <w:br w:type="textWrapping"/>
            </w:r>
            <w:r>
              <w:rPr>
                <w:rFonts w:hint="eastAsia"/>
              </w:rPr>
              <w:t>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  沪深300指数收益率*30%+中债综合指数收益率*70%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  本基金为混合型基金，其预期风险和预期收益水平高于债券型基金及货币市场基金，低于股票型基金。</w:t>
            </w:r>
          </w:p>
        </w:tc>
      </w:tr>
      <w:tr>
        <w:tblPrEx>
          <w:tblCellMar>
            <w:top w:w="0" w:type="dxa"/>
            <w:left w:w="108" w:type="dxa"/>
            <w:bottom w:w="0" w:type="dxa"/>
            <w:right w:w="108" w:type="dxa"/>
          </w:tblCellMar>
        </w:tblPrEx>
        <w:trPr>
          <w:wBefore w:w="0" w:type="auto"/>
        </w:trPr>
        <w:tc>
          <w:tcPr>
            <w:tcW w:w="0" w:type="auto"/>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c>
          <w:tcPr>
            <w:tcW w:w="0" w:type="auto"/>
            <w:tcBorders>
              <w:top w:val="single" w:color="000000" w:sz="2" w:space="0"/>
              <w:left w:val="single" w:color="000000" w:sz="2" w:space="0"/>
              <w:bottom w:val="single" w:color="000000" w:sz="2" w:space="0"/>
              <w:right w:val="single" w:color="000000" w:sz="2" w:space="0"/>
            </w:tcBorders>
            <w:noWrap w:val="0"/>
            <w:vAlign w:val="center"/>
          </w:tcPr>
          <w:p>
            <w:pPr>
              <w:widowControl/>
              <w:wordWrap w:val="0"/>
              <w:jc w:val="left"/>
              <w:rPr>
                <w:kern w:val="0"/>
                <w:sz w:val="20"/>
                <w:szCs w:val="20"/>
              </w:rPr>
            </w:pPr>
          </w:p>
        </w:tc>
      </w:tr>
    </w:tbl>
    <w:p>
      <w:pPr>
        <w:pStyle w:val="13"/>
      </w:pPr>
      <w:bookmarkStart w:id="6" w:name="_Toc510100208"/>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郭明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010-66105799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custody@icbc.com.cn</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95588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010-66105798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深圳市前海深港合作区前湾一路 1号A栋201 室</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100140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易会满</w:t>
            </w:r>
          </w:p>
        </w:tc>
      </w:tr>
    </w:tbl>
    <w:p>
      <w:pPr>
        <w:widowControl/>
        <w:jc w:val="left"/>
        <w:rPr>
          <w:rFonts w:hint="eastAsia" w:ascii="宋体" w:hAnsi="宋体" w:cs="宋体"/>
          <w:kern w:val="0"/>
          <w:sz w:val="24"/>
          <w:szCs w:val="24"/>
        </w:rPr>
      </w:pPr>
    </w:p>
    <w:p>
      <w:pPr>
        <w:pStyle w:val="13"/>
        <w:rPr>
          <w:rFonts w:hint="eastAsia"/>
        </w:rPr>
      </w:pPr>
      <w:bookmarkStart w:id="7" w:name="_Toc510100209"/>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中国证券报、证券时报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深圳市福田中心区福华一路115号投行大厦15层</w:t>
            </w:r>
          </w:p>
        </w:tc>
      </w:tr>
    </w:tbl>
    <w:p>
      <w:pPr>
        <w:pStyle w:val="13"/>
        <w:rPr>
          <w:rFonts w:hint="eastAsia"/>
        </w:rPr>
      </w:pPr>
      <w:bookmarkStart w:id="8" w:name="_Toc510100210"/>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深圳市福田中心区福华一路115号投行大厦15层</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12"/>
      </w:pPr>
      <w:bookmarkStart w:id="9" w:name="_Toc510100211"/>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3"/>
        <w:rPr>
          <w:rFonts w:hint="eastAsia"/>
        </w:rPr>
      </w:pPr>
      <w:bookmarkStart w:id="10" w:name="_Toc510100212"/>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5934"/>
      </w:tblGrid>
      <w:tr>
        <w:tblPrEx>
          <w:tblCellMar>
            <w:top w:w="0" w:type="dxa"/>
            <w:left w:w="108" w:type="dxa"/>
            <w:bottom w:w="0" w:type="dxa"/>
            <w:right w:w="108" w:type="dxa"/>
          </w:tblCellMar>
        </w:tblPrEx>
        <w:trPr>
          <w:wBefore w:w="0" w:type="auto"/>
        </w:trPr>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3.1.1 期间数据和指标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本期2017年09月27日（基金合同生效日）- 2017年12月31日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5,191,063.39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1,131,964.06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3.1.2 期末数据和指标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940,195.25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632,318,805.36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3.1.3 累计期末指标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0.15%</w:t>
            </w:r>
          </w:p>
        </w:tc>
      </w:tr>
    </w:tbl>
    <w:p>
      <w:pPr>
        <w:pStyle w:val="19"/>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4.本基金合同生效日为2017年9月27日，截至报告期末，本基金成立不满一年。合同生效当期的相关数据和指标按实际存续期计算。</w:t>
      </w:r>
    </w:p>
    <w:p>
      <w:pPr>
        <w:pStyle w:val="13"/>
        <w:rPr>
          <w:rFonts w:hint="eastAsia"/>
        </w:rPr>
      </w:pPr>
      <w:bookmarkStart w:id="11" w:name="_Toc510100213"/>
      <w:r>
        <w:rPr>
          <w:rFonts w:hint="eastAsia"/>
          <w:b/>
          <w:bCs/>
        </w:rPr>
        <w:t>3.2 基金净值表现</w:t>
      </w:r>
      <w:bookmarkEnd w:id="11"/>
    </w:p>
    <w:p>
      <w:pPr>
        <w:pStyle w:val="14"/>
        <w:rPr>
          <w:rFonts w:hint="eastAsia"/>
        </w:rPr>
      </w:pPr>
      <w:r>
        <w:rPr>
          <w:rFonts w:hint="eastAsia"/>
          <w:b/>
          <w:bCs/>
        </w:rPr>
        <w:t>3.2.1 基金份额净值增长率及其与同期业绩比较基准收益率的比较</w:t>
      </w:r>
    </w:p>
    <w:tbl>
      <w:tblPr>
        <w:tblStyle w:val="7"/>
        <w:tblW w:w="0" w:type="auto"/>
        <w:tblInd w:w="108" w:type="dxa"/>
        <w:tblLayout w:type="autofit"/>
        <w:tblCellMar>
          <w:top w:w="0" w:type="dxa"/>
          <w:left w:w="108" w:type="dxa"/>
          <w:bottom w:w="0" w:type="dxa"/>
          <w:right w:w="108" w:type="dxa"/>
        </w:tblCellMar>
      </w:tblPr>
      <w:tblGrid>
        <w:gridCol w:w="1464"/>
        <w:gridCol w:w="1289"/>
        <w:gridCol w:w="1289"/>
        <w:gridCol w:w="1289"/>
        <w:gridCol w:w="1289"/>
        <w:gridCol w:w="1289"/>
        <w:gridCol w:w="1289"/>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阶段</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份额净值增长率①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业绩比较基准收益率③</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业绩比较基准收益率标准差④</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①-③</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-0.17%</w:t>
            </w:r>
          </w:p>
        </w:tc>
      </w:tr>
    </w:tbl>
    <w:p>
      <w:pPr>
        <w:pStyle w:val="14"/>
        <w:rPr>
          <w:rFonts w:hint="eastAsia"/>
        </w:rPr>
      </w:pPr>
      <w:r>
        <w:rPr>
          <w:rFonts w:hint="eastAsia"/>
          <w:b/>
          <w:bCs/>
        </w:rPr>
        <w:t>3.2.2 自基金合同生效以来基金份额累计净值增长率变动及其与同期业绩比较基准收益率变动的比较</w:t>
      </w:r>
    </w:p>
    <w:p>
      <w:pPr>
        <w:pStyle w:val="16"/>
        <w:rPr>
          <w:rFonts w:hint="eastAsia"/>
        </w:rPr>
      </w:pPr>
      <w:r>
        <w:rPr>
          <w:rFonts w:hAnsi="Calibri"/>
          <w:color w:val="000000"/>
          <w:lang/>
        </w:rPr>
        <w:pict>
          <v:shape id="_x0000_i1025" o:spt="75" alt="D:\恒生系统安装\B13\Bin\MOD\TMP\CN_50990000_005076_FB010010_20180002_1.jpg" type="#_x0000_t75" style="height:286.2pt;width:441pt;" filled="f" stroked="f" coordsize="21600,21600">
            <v:path/>
            <v:fill on="f" focussize="0,0"/>
            <v:stroke on="f"/>
            <v:imagedata r:id="rId10" grayscale="f" bilevel="f" o:title="CN_50990000_005076_FB010010_20180002_1"/>
            <o:lock v:ext="edit" grouping="f" rotation="f" aspectratio="t"/>
            <w10:wrap type="none"/>
            <w10:anchorlock/>
          </v:shape>
        </w:pict>
      </w:r>
    </w:p>
    <w:p>
      <w:pPr>
        <w:pStyle w:val="14"/>
        <w:rPr>
          <w:rFonts w:hint="eastAsia"/>
        </w:rPr>
      </w:pPr>
      <w:r>
        <w:rPr>
          <w:rFonts w:hint="eastAsia"/>
          <w:b/>
          <w:bCs/>
        </w:rPr>
        <w:t>3.2.3 自基金合同生效以来基金每年净值增长率及其与同期业绩比较基准收益率的比较</w:t>
      </w:r>
    </w:p>
    <w:p>
      <w:pPr>
        <w:pStyle w:val="16"/>
        <w:rPr>
          <w:rFonts w:hint="eastAsia"/>
        </w:rPr>
      </w:pPr>
      <w:r>
        <w:rPr>
          <w:rFonts w:hAnsi="Calibri"/>
          <w:color w:val="000000"/>
          <w:lang/>
        </w:rPr>
        <w:pict>
          <v:shape id="_x0000_i1026" o:spt="75" alt="D:\恒生系统安装\B13\Bin\MOD\TMP\CN_50990000_005076_FB010010_20180002_2.jpg" type="#_x0000_t75" style="height:285.95pt;width:440.6pt;" filled="f" stroked="f" coordsize="21600,21600">
            <v:path/>
            <v:fill on="f" focussize="0,0"/>
            <v:stroke on="f"/>
            <v:imagedata r:id="rId11" grayscale="f" bilevel="f" o:title="CN_50990000_005076_FB010010_20180002_2"/>
            <o:lock v:ext="edit" grouping="f" rotation="f" aspectratio="t"/>
            <w10:wrap type="none"/>
            <w10:anchorlock/>
          </v:shape>
        </w:pict>
      </w:r>
    </w:p>
    <w:p>
      <w:pPr>
        <w:pStyle w:val="13"/>
        <w:rPr>
          <w:rFonts w:hint="eastAsia"/>
        </w:rPr>
      </w:pPr>
      <w:bookmarkStart w:id="12" w:name="_Toc510100214"/>
      <w:r>
        <w:rPr>
          <w:rFonts w:hint="eastAsia" w:hAnsi="Calibri"/>
          <w:b/>
          <w:color w:val="000000"/>
        </w:rPr>
        <w:t>3.3 过去三年基金的利润分配情况</w:t>
      </w:r>
      <w:bookmarkEnd w:id="12"/>
    </w:p>
    <w:tbl>
      <w:tblPr>
        <w:tblStyle w:val="7"/>
        <w:tblW w:w="9045" w:type="dxa"/>
        <w:tblInd w:w="108" w:type="dxa"/>
        <w:tblLayout w:type="autofit"/>
        <w:tblCellMar>
          <w:top w:w="0" w:type="dxa"/>
          <w:left w:w="108" w:type="dxa"/>
          <w:bottom w:w="0" w:type="dxa"/>
          <w:right w:w="108" w:type="dxa"/>
        </w:tblCellMar>
      </w:tblPr>
      <w:tblGrid>
        <w:gridCol w:w="9045"/>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本基金自基金合同生效日（2017年9月27日）至本报告期末未发生利润分配。</w:t>
      </w:r>
    </w:p>
    <w:p>
      <w:pPr>
        <w:pStyle w:val="12"/>
        <w:rPr>
          <w:rFonts w:hint="eastAsia"/>
        </w:rPr>
      </w:pPr>
      <w:bookmarkStart w:id="13" w:name="_Toc510100215"/>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3"/>
        <w:rPr>
          <w:rFonts w:hint="eastAsia"/>
        </w:rPr>
      </w:pPr>
      <w:bookmarkStart w:id="14" w:name="_Toc510100216"/>
      <w:r>
        <w:rPr>
          <w:rFonts w:hint="eastAsia"/>
          <w:b/>
          <w:bCs/>
        </w:rPr>
        <w:t>4.1 基金管理人及基金经理情况</w:t>
      </w:r>
      <w:bookmarkEnd w:id="14"/>
    </w:p>
    <w:p>
      <w:pPr>
        <w:pStyle w:val="14"/>
        <w:rPr>
          <w:rFonts w:hint="eastAsia"/>
        </w:rPr>
      </w:pPr>
      <w:r>
        <w:rPr>
          <w:rFonts w:hint="eastAsia"/>
          <w:b/>
          <w:bCs/>
        </w:rPr>
        <w:t>4.1.1 基金管理人及其管理基金的经验</w:t>
      </w:r>
    </w:p>
    <w:p>
      <w:pPr>
        <w:pStyle w:val="19"/>
        <w:rPr>
          <w:rFonts w:hint="eastAsia"/>
        </w:rPr>
      </w:pPr>
      <w:r>
        <w:rPr>
          <w:rFonts w:hint="eastAsia"/>
        </w:rPr>
        <w:t>  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r>
        <w:rPr>
          <w:rFonts w:hint="eastAsia"/>
        </w:rPr>
        <w:br w:type="textWrapping"/>
      </w:r>
      <w:r>
        <w:rPr>
          <w:rFonts w:hint="eastAsia"/>
        </w:rPr>
        <w:t>  公司始终坚持"客户利益至上"，致力于为客户实现长期稳定的投资回报，做客户投资理财的亲密伙伴。</w:t>
      </w:r>
      <w:r>
        <w:rPr>
          <w:rFonts w:hint="eastAsia"/>
        </w:rPr>
        <w:br w:type="textWrapping"/>
      </w:r>
      <w:r>
        <w:rPr>
          <w:rFonts w:hint="eastAsia"/>
        </w:rPr>
        <w:t>  报告期内，本公司共发行8只公募基金。截至2017年12月31日，本公司共管理29只公募基金，其中混合型产品11只、指数型产品4只、债券型产品8只、股票型产品4只、货币型产品1只、保本型产品1只；管理的公募基金规模约149.41亿元。</w:t>
      </w:r>
    </w:p>
    <w:p>
      <w:pPr>
        <w:pStyle w:val="14"/>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1103"/>
        <w:gridCol w:w="1196"/>
        <w:gridCol w:w="1196"/>
        <w:gridCol w:w="1196"/>
        <w:gridCol w:w="1104"/>
        <w:gridCol w:w="3403"/>
      </w:tblGrid>
      <w:tr>
        <w:tblPrEx>
          <w:tblCellMar>
            <w:top w:w="0" w:type="dxa"/>
            <w:left w:w="108" w:type="dxa"/>
            <w:bottom w:w="0" w:type="dxa"/>
            <w:right w:w="108" w:type="dxa"/>
          </w:tblCellMar>
        </w:tblPrEx>
        <w:trPr>
          <w:wBefore w:w="0" w:type="auto"/>
        </w:trPr>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6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职务</w:t>
            </w: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任本基金的基金经理（助理）期限</w:t>
            </w:r>
          </w:p>
        </w:tc>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证券从业年限</w:t>
            </w:r>
          </w:p>
        </w:tc>
        <w:tc>
          <w:tcPr>
            <w:tcW w:w="241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任职日期</w:t>
            </w: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陈玉辉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本基金经理、投资一部总监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2017-09-27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14年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陈玉辉先生，中国国籍，经济学硕士，2003年6月加入新疆证券有限责任公司，从事石化行业研究；2005年度获中央电视台、中国证券报联合评选的首届"全国十佳证券分析师"。2006年1月加入东方证券股份有限公司研究所，任化工行业研究员。2008年3月加入招商基金管理有限公司，历任研究部副总监、总监，并于2012年11月14日至2015年4月10日担任招商大盘蓝筹股票型证券投资基金的基金经理。2015年7月任创金合信基金管理有限公司投资一部总监、基金经理。</w:t>
            </w:r>
          </w:p>
        </w:tc>
      </w:tr>
    </w:tbl>
    <w:p>
      <w:pPr>
        <w:pStyle w:val="19"/>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pStyle w:val="13"/>
        <w:rPr>
          <w:rFonts w:hint="eastAsia"/>
        </w:rPr>
      </w:pPr>
      <w:bookmarkStart w:id="15" w:name="_Toc510100217"/>
      <w:r>
        <w:rPr>
          <w:rFonts w:hint="eastAsia"/>
          <w:b/>
          <w:bCs/>
        </w:rPr>
        <w:t>4.2 管理人对报告期内本基金运作遵规守信情况的说明</w:t>
      </w:r>
      <w:bookmarkEnd w:id="15"/>
    </w:p>
    <w:p>
      <w:pPr>
        <w:pStyle w:val="19"/>
        <w:rPr>
          <w:rFonts w:hint="eastAsia"/>
        </w:rPr>
      </w:pPr>
      <w:r>
        <w:rPr>
          <w:rFonts w:hint="eastAsia"/>
        </w:rPr>
        <w:t>  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3"/>
        <w:rPr>
          <w:rFonts w:hint="eastAsia"/>
        </w:rPr>
      </w:pPr>
      <w:bookmarkStart w:id="16" w:name="_Toc510100218"/>
      <w:r>
        <w:rPr>
          <w:rFonts w:hint="eastAsia"/>
          <w:b/>
          <w:bCs/>
        </w:rPr>
        <w:t>4.3 管理人对报告期内公平交易情况的专项说明</w:t>
      </w:r>
      <w:bookmarkEnd w:id="16"/>
    </w:p>
    <w:p>
      <w:pPr>
        <w:pStyle w:val="14"/>
        <w:rPr>
          <w:rFonts w:hint="eastAsia"/>
        </w:rPr>
      </w:pPr>
      <w:r>
        <w:rPr>
          <w:rFonts w:hint="eastAsia"/>
          <w:b/>
          <w:bCs/>
        </w:rPr>
        <w:t>4.3.1 公平交易制度和控制方法</w:t>
      </w:r>
    </w:p>
    <w:p>
      <w:pPr>
        <w:pStyle w:val="19"/>
        <w:rPr>
          <w:rFonts w:hint="eastAsia"/>
        </w:rPr>
      </w:pPr>
      <w:r>
        <w:rPr>
          <w:rFonts w:hint="eastAsia"/>
        </w:rPr>
        <w:t>  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r>
        <w:rPr>
          <w:rFonts w:hint="eastAsia"/>
        </w:rPr>
        <w:br w:type="textWrapping"/>
      </w:r>
      <w:r>
        <w:rPr>
          <w:rFonts w:hint="eastAsia"/>
        </w:rPr>
        <w:t>  1、授权、研究分析与投资决策的内部控制</w:t>
      </w:r>
      <w:r>
        <w:rPr>
          <w:rFonts w:hint="eastAsia"/>
        </w:rPr>
        <w:br w:type="textWrapping"/>
      </w:r>
      <w:r>
        <w:rPr>
          <w:rFonts w:hint="eastAsia"/>
        </w:rPr>
        <w:t>  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r>
        <w:rPr>
          <w:rFonts w:hint="eastAsia"/>
        </w:rPr>
        <w:br w:type="textWrapping"/>
      </w:r>
      <w:r>
        <w:rPr>
          <w:rFonts w:hint="eastAsia"/>
        </w:rPr>
        <w:t>  2、交易执行的内部控制</w:t>
      </w:r>
      <w:r>
        <w:rPr>
          <w:rFonts w:hint="eastAsia"/>
        </w:rPr>
        <w:br w:type="textWrapping"/>
      </w:r>
      <w:r>
        <w:rPr>
          <w:rFonts w:hint="eastAsia"/>
        </w:rPr>
        <w:t>  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r>
        <w:rPr>
          <w:rFonts w:hint="eastAsia"/>
        </w:rPr>
        <w:br w:type="textWrapping"/>
      </w:r>
      <w:r>
        <w:rPr>
          <w:rFonts w:hint="eastAsia"/>
        </w:rPr>
        <w:t>  3、交易指令分配的控制</w:t>
      </w:r>
      <w:r>
        <w:rPr>
          <w:rFonts w:hint="eastAsia"/>
        </w:rPr>
        <w:br w:type="textWrapping"/>
      </w:r>
      <w:r>
        <w:rPr>
          <w:rFonts w:hint="eastAsia"/>
        </w:rPr>
        <w:t>  所有投资对象的投资指令必须经由交易室总监或其授权人审核后分配至交易员执行。</w:t>
      </w:r>
      <w:r>
        <w:rPr>
          <w:rFonts w:hint="eastAsia"/>
        </w:rPr>
        <w:br w:type="textWrapping"/>
      </w:r>
      <w:r>
        <w:rPr>
          <w:rFonts w:hint="eastAsia"/>
        </w:rPr>
        <w:t>  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r>
        <w:rPr>
          <w:rFonts w:hint="eastAsia"/>
        </w:rPr>
        <w:br w:type="textWrapping"/>
      </w:r>
      <w:r>
        <w:rPr>
          <w:rFonts w:hint="eastAsia"/>
        </w:rPr>
        <w:t>  4、公平交易监控</w:t>
      </w:r>
      <w:r>
        <w:rPr>
          <w:rFonts w:hint="eastAsia"/>
        </w:rPr>
        <w:br w:type="textWrapping"/>
      </w:r>
      <w:r>
        <w:rPr>
          <w:rFonts w:hint="eastAsia"/>
        </w:rPr>
        <w:t>  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4"/>
        <w:rPr>
          <w:rFonts w:hint="eastAsia"/>
        </w:rPr>
      </w:pPr>
      <w:r>
        <w:rPr>
          <w:rFonts w:hint="eastAsia"/>
          <w:b/>
          <w:bCs/>
        </w:rPr>
        <w:t>4.3.2 公平交易制度的执行情况</w:t>
      </w:r>
    </w:p>
    <w:p>
      <w:pPr>
        <w:pStyle w:val="19"/>
        <w:rPr>
          <w:rFonts w:hint="eastAsia"/>
        </w:rPr>
      </w:pPr>
      <w:r>
        <w:rPr>
          <w:rFonts w:hint="eastAsia"/>
        </w:rPr>
        <w:t>  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4"/>
        <w:rPr>
          <w:rFonts w:hint="eastAsia"/>
        </w:rPr>
      </w:pPr>
      <w:r>
        <w:rPr>
          <w:rFonts w:hint="eastAsia"/>
          <w:b/>
          <w:bCs/>
        </w:rPr>
        <w:t>4.3.3 异常交易行为的专项说明</w:t>
      </w:r>
    </w:p>
    <w:p>
      <w:pPr>
        <w:pStyle w:val="19"/>
        <w:rPr>
          <w:rFonts w:hint="eastAsia"/>
        </w:rPr>
      </w:pPr>
      <w:r>
        <w:rPr>
          <w:rFonts w:hint="eastAsia"/>
        </w:rPr>
        <w:t>  本报告期内，未发现本基金有可能导致不公平交易和利益输送的异常交易。</w:t>
      </w:r>
    </w:p>
    <w:p>
      <w:pPr>
        <w:widowControl/>
        <w:jc w:val="left"/>
        <w:rPr>
          <w:rFonts w:hint="eastAsia" w:ascii="宋体" w:hAnsi="宋体" w:cs="宋体"/>
          <w:kern w:val="0"/>
          <w:sz w:val="24"/>
          <w:szCs w:val="24"/>
        </w:rPr>
      </w:pPr>
    </w:p>
    <w:p>
      <w:pPr>
        <w:pStyle w:val="13"/>
        <w:rPr>
          <w:rFonts w:hint="eastAsia"/>
        </w:rPr>
      </w:pPr>
      <w:bookmarkStart w:id="17" w:name="_Toc510100219"/>
      <w:r>
        <w:rPr>
          <w:rFonts w:hint="eastAsia"/>
          <w:b/>
          <w:bCs/>
        </w:rPr>
        <w:t>4.4 管理人对报告期内基金的投资策略和业绩表现的说明</w:t>
      </w:r>
      <w:bookmarkEnd w:id="17"/>
    </w:p>
    <w:p>
      <w:pPr>
        <w:widowControl/>
        <w:jc w:val="left"/>
        <w:rPr>
          <w:rFonts w:hint="eastAsia" w:ascii="宋体" w:hAnsi="宋体" w:cs="宋体"/>
          <w:kern w:val="0"/>
          <w:sz w:val="24"/>
          <w:szCs w:val="24"/>
        </w:rPr>
      </w:pPr>
    </w:p>
    <w:p>
      <w:pPr>
        <w:pStyle w:val="14"/>
        <w:rPr>
          <w:rFonts w:hint="eastAsia"/>
        </w:rPr>
      </w:pPr>
      <w:r>
        <w:rPr>
          <w:rFonts w:hint="eastAsia"/>
          <w:b/>
          <w:bCs/>
        </w:rPr>
        <w:t>4.4.1 报告期内基金投资策略和运作分析</w:t>
      </w:r>
    </w:p>
    <w:p>
      <w:pPr>
        <w:pStyle w:val="19"/>
        <w:rPr>
          <w:rFonts w:hint="eastAsia"/>
        </w:rPr>
      </w:pPr>
      <w:r>
        <w:rPr>
          <w:rFonts w:hint="eastAsia"/>
        </w:rPr>
        <w:t>  基金组合一直采取"低估值，低市值，低涨幅"的三低策略。在2016年初市场下跌后出现大量股价跌破或接近每股净资产的个股开始，个股选择倾向于低PB、偏周期风格。低PB策略在2016年到17年一季度时段内超额收益显著，但2017年二季度以后市场转向低PE风格，组合中占比一半左右的低PB策略的中小市值国企、周期个股也跟随全市场绝大部分小市值风格出现较大幅度调整，另外一半大中市值蓝筹风格个股的上涨收益部分被中小市值风格下跌所对冲，导致组合整体收益自年初高点回撤幅度较大，且全年绝对收益率较低。</w:t>
      </w:r>
    </w:p>
    <w:p>
      <w:pPr>
        <w:widowControl/>
        <w:jc w:val="left"/>
        <w:rPr>
          <w:rFonts w:hint="eastAsia" w:ascii="宋体" w:hAnsi="宋体" w:cs="宋体"/>
          <w:kern w:val="0"/>
          <w:sz w:val="24"/>
          <w:szCs w:val="24"/>
        </w:rPr>
      </w:pPr>
    </w:p>
    <w:p>
      <w:pPr>
        <w:pStyle w:val="14"/>
        <w:rPr>
          <w:rFonts w:hint="eastAsia"/>
        </w:rPr>
      </w:pPr>
      <w:r>
        <w:rPr>
          <w:rFonts w:hint="eastAsia"/>
          <w:b/>
          <w:bCs/>
        </w:rPr>
        <w:t>4.4.2 报告期内基金的业绩表现</w:t>
      </w:r>
    </w:p>
    <w:p>
      <w:pPr>
        <w:pStyle w:val="19"/>
        <w:rPr>
          <w:rFonts w:hint="eastAsia"/>
        </w:rPr>
      </w:pPr>
      <w:r>
        <w:rPr>
          <w:rFonts w:hint="eastAsia"/>
        </w:rPr>
        <w:t>  截至报告期末创金合信优选回报混合基金份额净值为1.0015元;本报告期内，基金份额净值增长率为0.15%，同期业绩比较基准收益率为0.86%。</w:t>
      </w:r>
    </w:p>
    <w:p>
      <w:pPr>
        <w:widowControl/>
        <w:jc w:val="left"/>
        <w:rPr>
          <w:rFonts w:hint="eastAsia" w:ascii="宋体" w:hAnsi="宋体" w:cs="宋体"/>
          <w:kern w:val="0"/>
          <w:sz w:val="24"/>
          <w:szCs w:val="24"/>
        </w:rPr>
      </w:pPr>
    </w:p>
    <w:p>
      <w:pPr>
        <w:pStyle w:val="13"/>
        <w:rPr>
          <w:rFonts w:hint="eastAsia"/>
        </w:rPr>
      </w:pPr>
      <w:bookmarkStart w:id="18" w:name="_Toc510100220"/>
      <w:r>
        <w:rPr>
          <w:rFonts w:hint="eastAsia"/>
          <w:b/>
          <w:bCs/>
        </w:rPr>
        <w:t>4.5 管理人对宏观经济、证券市场及行业走势的简要展望</w:t>
      </w:r>
      <w:bookmarkEnd w:id="18"/>
    </w:p>
    <w:p>
      <w:pPr>
        <w:pStyle w:val="19"/>
        <w:rPr>
          <w:rFonts w:hint="eastAsia"/>
        </w:rPr>
      </w:pPr>
      <w:r>
        <w:rPr>
          <w:rFonts w:hint="eastAsia"/>
        </w:rPr>
        <w:t>  2017年市场风格明显分为两个阶段，一季度延续2016年的主题、板块一九轮动，板块和个股机会分散但个股相对活跃；4月初雄安主题后，市场风格转变为金融、消费、电子等极少数板块中相对低市盈率的白马蓝筹核心股票单边上涨、绝大部分个股连续下跌的极端分化行情。在大盘指标股、中盘白马股和中小市值三分法分析框架下，2017年年大盘指标股和中盘白马股超额收益显著，累计涨幅中估值拉升占据了较大因素，一定程度上透支了未来价值空间；占市场数量绝大部分的中小市值个股跌幅中位数连续两年达到20%左右，一定程度上消化了2008或2012年后累计上涨形成的估值泡沫，但整体仍未显示估值优势。经历长期信用扩张期后，信用杠杆派生的资产泡沫迟早要消化，宏观经济未来较长时期将处于去杠杆过程中。总资产回报率趋势性下降，导致社会资产负债表自发性的信用收缩，需要货币政策适度对冲。经济L形是由人口、资本等生产要素投入增速趋势性下降决定，但财政政策空间可以阶段性对冲维稳。</w:t>
      </w:r>
      <w:r>
        <w:rPr>
          <w:rFonts w:hint="eastAsia"/>
        </w:rPr>
        <w:br w:type="textWrapping"/>
      </w:r>
      <w:r>
        <w:rPr>
          <w:rFonts w:hint="eastAsia"/>
        </w:rPr>
        <w:t>  未来投资中仍然坚持底线思维，将风险和回撤控制放在重要位置，预防市场趋势陷阱、估值陷阱和流动性陷阱。未来投资仍然保持中性仓位，以控制系统性风险和预留逢低买入的仓位机会，组合策略上采取大/小市值、高/低贝塔结合的哑铃型策略，个股方面坚持"三低"选股和交易策略，采取逢低买入向下风险小，低估值、低涨幅个股的类看涨期权策略。主题方面紧跟国家政策，相对看好国企改革推进的机会。</w:t>
      </w:r>
    </w:p>
    <w:p>
      <w:pPr>
        <w:widowControl/>
        <w:jc w:val="left"/>
        <w:rPr>
          <w:rFonts w:hint="eastAsia" w:ascii="宋体" w:hAnsi="宋体" w:cs="宋体"/>
          <w:kern w:val="0"/>
          <w:sz w:val="24"/>
          <w:szCs w:val="24"/>
        </w:rPr>
      </w:pPr>
    </w:p>
    <w:p>
      <w:pPr>
        <w:pStyle w:val="13"/>
        <w:rPr>
          <w:rFonts w:hint="eastAsia"/>
        </w:rPr>
      </w:pPr>
      <w:bookmarkStart w:id="19" w:name="_Toc510100221"/>
      <w:r>
        <w:rPr>
          <w:rFonts w:hint="eastAsia"/>
          <w:b/>
          <w:bCs/>
        </w:rPr>
        <w:t>4.6 管理人内部有关本基金的监察稽核工作情况</w:t>
      </w:r>
      <w:bookmarkEnd w:id="19"/>
    </w:p>
    <w:p>
      <w:pPr>
        <w:pStyle w:val="19"/>
        <w:rPr>
          <w:rFonts w:hint="eastAsia"/>
        </w:rPr>
      </w:pPr>
      <w:r>
        <w:rPr>
          <w:rFonts w:hint="eastAsia"/>
        </w:rPr>
        <w:t>  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r>
        <w:rPr>
          <w:rFonts w:hint="eastAsia"/>
        </w:rPr>
        <w:br w:type="textWrapping"/>
      </w:r>
      <w:r>
        <w:rPr>
          <w:rFonts w:hint="eastAsia"/>
        </w:rPr>
        <w:t>  本报告期内，本基金管理人的主要内部监察稽核工作如下：</w:t>
      </w:r>
      <w:r>
        <w:rPr>
          <w:rFonts w:hint="eastAsia"/>
        </w:rPr>
        <w:br w:type="textWrapping"/>
      </w:r>
      <w:r>
        <w:rPr>
          <w:rFonts w:hint="eastAsia"/>
        </w:rPr>
        <w:t>  （1）开展全面自查工作，排查各项业务活动中存在的问题或潜在的风险隐患，制定整改计划，并督促按计划完成整改；</w:t>
      </w:r>
      <w:r>
        <w:rPr>
          <w:rFonts w:hint="eastAsia"/>
        </w:rPr>
        <w:br w:type="textWrapping"/>
      </w:r>
      <w:r>
        <w:rPr>
          <w:rFonts w:hint="eastAsia"/>
        </w:rPr>
        <w:t>  （2）开展公司专项稽核工作，了解合规风险现状、发现薄弱环节，并持续督导改进；</w:t>
      </w:r>
      <w:r>
        <w:rPr>
          <w:rFonts w:hint="eastAsia"/>
        </w:rPr>
        <w:br w:type="textWrapping"/>
      </w:r>
      <w:r>
        <w:rPr>
          <w:rFonts w:hint="eastAsia"/>
        </w:rPr>
        <w:t>  （3）强化合规法务工作。严格审核公司业务、产品及其合同等法律文件，解读最新的法律法规，发布合规提示或警示，举办合规培训；</w:t>
      </w:r>
      <w:r>
        <w:rPr>
          <w:rFonts w:hint="eastAsia"/>
        </w:rPr>
        <w:br w:type="textWrapping"/>
      </w:r>
      <w:r>
        <w:rPr>
          <w:rFonts w:hint="eastAsia"/>
        </w:rPr>
        <w:t>  （4）建立健全全面风险管理体系。全面梳理各业务部门的职责与权限，理顺工作流程；同时加强权限管理，健全事前、事中和事后的风险管理体系；</w:t>
      </w:r>
      <w:r>
        <w:rPr>
          <w:rFonts w:hint="eastAsia"/>
        </w:rPr>
        <w:br w:type="textWrapping"/>
      </w:r>
      <w:r>
        <w:rPr>
          <w:rFonts w:hint="eastAsia"/>
        </w:rPr>
        <w:t>  （5）完善信息披露工作。修订完善《信息披露制度》等制度，建立统一规范信息披露流程，明确各部门信息披露的职责分工，及时履行信息披露工作；</w:t>
      </w:r>
      <w:r>
        <w:rPr>
          <w:rFonts w:hint="eastAsia"/>
        </w:rPr>
        <w:br w:type="textWrapping"/>
      </w:r>
      <w:r>
        <w:rPr>
          <w:rFonts w:hint="eastAsia"/>
        </w:rPr>
        <w:t>  （6）加强关联交易管理。修订《关联交易管理制度》，履行关联交易决策审批程序；</w:t>
      </w:r>
      <w:r>
        <w:rPr>
          <w:rFonts w:hint="eastAsia"/>
        </w:rPr>
        <w:br w:type="textWrapping"/>
      </w:r>
      <w:r>
        <w:rPr>
          <w:rFonts w:hint="eastAsia"/>
        </w:rPr>
        <w:t>  （7）建立内幕交易防控机制。公司建立了《内幕交易防控管理办法》，定期开展关于防止内幕交易的合规培训，严防内幕信息传递和内幕交易发生；</w:t>
      </w:r>
      <w:r>
        <w:rPr>
          <w:rFonts w:hint="eastAsia"/>
        </w:rPr>
        <w:br w:type="textWrapping"/>
      </w:r>
      <w:r>
        <w:rPr>
          <w:rFonts w:hint="eastAsia"/>
        </w:rPr>
        <w:t>  （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r>
        <w:rPr>
          <w:rFonts w:hint="eastAsia"/>
        </w:rPr>
        <w:br w:type="textWrapping"/>
      </w:r>
      <w:r>
        <w:rPr>
          <w:rFonts w:hint="eastAsia"/>
        </w:rPr>
        <w:t>  （9）建立员工投资行为管理机制，规范员工的证券投资行为。</w:t>
      </w:r>
      <w:r>
        <w:rPr>
          <w:rFonts w:hint="eastAsia"/>
        </w:rPr>
        <w:br w:type="textWrapping"/>
      </w:r>
      <w:r>
        <w:rPr>
          <w:rFonts w:hint="eastAsia"/>
        </w:rPr>
        <w:t>  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3"/>
        <w:rPr>
          <w:rFonts w:hint="eastAsia"/>
        </w:rPr>
      </w:pPr>
      <w:bookmarkStart w:id="20" w:name="_Toc510100222"/>
      <w:r>
        <w:rPr>
          <w:rFonts w:hint="eastAsia"/>
          <w:b/>
          <w:bCs/>
        </w:rPr>
        <w:t>4.7 管理人对报告期内基金估值程序等事项的说明</w:t>
      </w:r>
      <w:bookmarkEnd w:id="20"/>
    </w:p>
    <w:p>
      <w:pPr>
        <w:pStyle w:val="19"/>
        <w:rPr>
          <w:rFonts w:hint="eastAsia"/>
        </w:rPr>
      </w:pPr>
      <w:r>
        <w:rPr>
          <w:rFonts w:hint="eastAsia"/>
        </w:rPr>
        <w:t>  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r>
        <w:rPr>
          <w:rFonts w:hint="eastAsia"/>
        </w:rPr>
        <w:br w:type="textWrapping"/>
      </w:r>
      <w:r>
        <w:rPr>
          <w:rFonts w:hint="eastAsia"/>
        </w:rPr>
        <w:t>  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3"/>
        <w:rPr>
          <w:rFonts w:hint="eastAsia"/>
        </w:rPr>
      </w:pPr>
      <w:bookmarkStart w:id="21" w:name="_Toc510100223"/>
      <w:r>
        <w:rPr>
          <w:rFonts w:hint="eastAsia"/>
          <w:b/>
          <w:bCs/>
        </w:rPr>
        <w:t>4.8 管理人对报告期内基金利润分配情况的说明</w:t>
      </w:r>
      <w:bookmarkEnd w:id="21"/>
    </w:p>
    <w:p>
      <w:pPr>
        <w:pStyle w:val="19"/>
        <w:rPr>
          <w:rFonts w:hint="eastAsia"/>
        </w:rPr>
      </w:pPr>
      <w:r>
        <w:rPr>
          <w:rFonts w:hint="eastAsia"/>
        </w:rPr>
        <w:t>  在符合有关基金分红条件的前提下，本基金每年收益分配次数最多为12次，若基金在每季度最后一个交易日日终，基金份额净值高于1.100元（含）且每份基金份额可供分配利润金额高于0.05元（含），则以该交易日为基金收益分配基准日，由基金管理人确定权益登记日，对权益登记日日终登记在册的基金份额持有人进行收益分配。</w:t>
      </w:r>
      <w:r>
        <w:rPr>
          <w:rFonts w:hint="eastAsia"/>
        </w:rPr>
        <w:br w:type="textWrapping"/>
      </w:r>
      <w:r>
        <w:rPr>
          <w:rFonts w:hint="eastAsia"/>
        </w:rPr>
        <w:t>  本报告期内，本基金未进行利润分配，符合合同约定。</w:t>
      </w:r>
    </w:p>
    <w:p>
      <w:pPr>
        <w:widowControl/>
        <w:jc w:val="left"/>
        <w:rPr>
          <w:rFonts w:hint="eastAsia" w:ascii="宋体" w:hAnsi="宋体" w:cs="宋体"/>
          <w:kern w:val="0"/>
          <w:sz w:val="24"/>
          <w:szCs w:val="24"/>
        </w:rPr>
      </w:pPr>
    </w:p>
    <w:p>
      <w:pPr>
        <w:pStyle w:val="13"/>
        <w:rPr>
          <w:rFonts w:hint="eastAsia"/>
        </w:rPr>
      </w:pPr>
      <w:bookmarkStart w:id="22" w:name="_Toc510100224"/>
      <w:r>
        <w:rPr>
          <w:rFonts w:hint="eastAsia"/>
          <w:b/>
          <w:bCs/>
        </w:rPr>
        <w:t>4.9 报告期内管理人对本基金持有人数或基金资产净值预警情形的说明</w:t>
      </w:r>
      <w:bookmarkEnd w:id="22"/>
    </w:p>
    <w:p>
      <w:pPr>
        <w:pStyle w:val="19"/>
        <w:rPr>
          <w:rFonts w:hint="eastAsia"/>
        </w:rPr>
      </w:pPr>
      <w:r>
        <w:rPr>
          <w:rFonts w:hint="eastAsia"/>
        </w:rPr>
        <w:t>  本基金本报告期未出现连续二十个工作日基金份额持有人数量不满二百人或者基金资产净值低于五千万元的情形。</w:t>
      </w:r>
    </w:p>
    <w:p>
      <w:pPr>
        <w:widowControl/>
        <w:jc w:val="left"/>
        <w:rPr>
          <w:rFonts w:hint="eastAsia" w:ascii="宋体" w:hAnsi="宋体" w:cs="宋体"/>
          <w:kern w:val="0"/>
          <w:sz w:val="24"/>
          <w:szCs w:val="24"/>
        </w:rPr>
      </w:pPr>
    </w:p>
    <w:p>
      <w:pPr>
        <w:pStyle w:val="12"/>
        <w:rPr>
          <w:rFonts w:hint="eastAsia"/>
        </w:rPr>
      </w:pPr>
      <w:bookmarkStart w:id="23" w:name="_Toc510100225"/>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3"/>
        <w:rPr>
          <w:rFonts w:hint="eastAsia"/>
        </w:rPr>
      </w:pPr>
      <w:bookmarkStart w:id="24" w:name="_Toc510100226"/>
      <w:r>
        <w:rPr>
          <w:rFonts w:hint="eastAsia"/>
          <w:b/>
          <w:bCs/>
        </w:rPr>
        <w:t>5.1 报告期内本基金托管人遵规守信情况声明</w:t>
      </w:r>
      <w:bookmarkEnd w:id="24"/>
    </w:p>
    <w:p>
      <w:pPr>
        <w:pStyle w:val="19"/>
        <w:rPr>
          <w:rFonts w:hint="eastAsia"/>
        </w:rPr>
      </w:pPr>
      <w:r>
        <w:rPr>
          <w:rFonts w:hint="eastAsia"/>
        </w:rPr>
        <w:t>  本报告期内，本基金托管人在对创金合信优选回报灵活配置混合型证券投资基金的托管过程中，严格遵守《证券投资基金法》及其他法律法规和基金合同的有关规定，不存在任何损害基金份额持有人利益的行为，完全尽职尽责地履行了基金托管人应尽的义务。</w:t>
      </w:r>
    </w:p>
    <w:p>
      <w:pPr>
        <w:widowControl/>
        <w:jc w:val="left"/>
        <w:rPr>
          <w:rFonts w:hint="eastAsia" w:ascii="宋体" w:hAnsi="宋体" w:cs="宋体"/>
          <w:kern w:val="0"/>
          <w:sz w:val="24"/>
          <w:szCs w:val="24"/>
        </w:rPr>
      </w:pPr>
    </w:p>
    <w:p>
      <w:pPr>
        <w:pStyle w:val="13"/>
        <w:rPr>
          <w:rFonts w:hint="eastAsia"/>
        </w:rPr>
      </w:pPr>
      <w:bookmarkStart w:id="25" w:name="_Toc510100227"/>
      <w:r>
        <w:rPr>
          <w:rFonts w:hint="eastAsia"/>
          <w:b/>
          <w:bCs/>
        </w:rPr>
        <w:t>5.2 托管人对报告期内本基金投资运作遵规守信、净值计算、利润分配等情况的说明</w:t>
      </w:r>
      <w:bookmarkEnd w:id="25"/>
    </w:p>
    <w:p>
      <w:pPr>
        <w:pStyle w:val="19"/>
        <w:rPr>
          <w:rFonts w:hint="eastAsia"/>
        </w:rPr>
      </w:pPr>
      <w:r>
        <w:rPr>
          <w:rFonts w:hint="eastAsia"/>
        </w:rPr>
        <w:t>  本报告期内，创金合信优选回报灵活配置混合型证券投资基金的管理人--创金合信基金管理有限公司在创金合信优选回报灵活配置混合型证券投资基金的投资运作、基金资产净值计算、基金份额申购赎回价格计算、基金费用开支等问题上，不存在任何损害基金份额持有人利益的行为，在各重要方面的运作严格按照基金合同的规定进行。</w:t>
      </w:r>
    </w:p>
    <w:p>
      <w:pPr>
        <w:widowControl/>
        <w:jc w:val="left"/>
        <w:rPr>
          <w:rFonts w:hint="eastAsia" w:ascii="宋体" w:hAnsi="宋体" w:cs="宋体"/>
          <w:kern w:val="0"/>
          <w:sz w:val="24"/>
          <w:szCs w:val="24"/>
        </w:rPr>
      </w:pPr>
    </w:p>
    <w:p>
      <w:pPr>
        <w:pStyle w:val="13"/>
        <w:rPr>
          <w:rFonts w:hint="eastAsia"/>
        </w:rPr>
      </w:pPr>
      <w:bookmarkStart w:id="26" w:name="_Toc510100228"/>
      <w:r>
        <w:rPr>
          <w:rFonts w:hint="eastAsia"/>
          <w:b/>
          <w:bCs/>
        </w:rPr>
        <w:t>5.3 托管人对本年度报告中财务信息等内容的真实、准确和完整发表意见</w:t>
      </w:r>
      <w:bookmarkEnd w:id="26"/>
    </w:p>
    <w:p>
      <w:pPr>
        <w:pStyle w:val="19"/>
        <w:rPr>
          <w:rFonts w:hint="eastAsia"/>
        </w:rPr>
      </w:pPr>
      <w:r>
        <w:rPr>
          <w:rFonts w:hint="eastAsia"/>
        </w:rPr>
        <w:t>  本托管人依法对创金合信基金管理有限公司编制和披露的创金合信优选回报灵活配置混合型证券投资基金2017年年度报告中财务指标、净值表现、利润分配情况、财务会计报告、投资组合报告等内容进行了核查，以上内容真实、准确和完整。</w:t>
      </w:r>
    </w:p>
    <w:p>
      <w:pPr>
        <w:pStyle w:val="12"/>
        <w:rPr>
          <w:rFonts w:hint="eastAsia"/>
        </w:rPr>
      </w:pPr>
      <w:bookmarkStart w:id="27" w:name="_Toc510100229"/>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3"/>
        <w:rPr>
          <w:rFonts w:hint="eastAsia"/>
        </w:rPr>
      </w:pPr>
      <w:bookmarkStart w:id="28" w:name="_Toc510100230"/>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普华永道中天审字(2018)第21837号</w:t>
            </w:r>
          </w:p>
        </w:tc>
      </w:tr>
    </w:tbl>
    <w:p>
      <w:pPr>
        <w:widowControl/>
        <w:jc w:val="left"/>
        <w:rPr>
          <w:rFonts w:hint="eastAsia" w:ascii="宋体" w:hAnsi="宋体" w:cs="宋体"/>
          <w:kern w:val="0"/>
          <w:sz w:val="24"/>
          <w:szCs w:val="24"/>
        </w:rPr>
      </w:pPr>
    </w:p>
    <w:p>
      <w:pPr>
        <w:pStyle w:val="13"/>
        <w:rPr>
          <w:rFonts w:hint="eastAsia"/>
        </w:rPr>
      </w:pPr>
      <w:bookmarkStart w:id="29" w:name="_Toc510100231"/>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创金合信优选回报灵活配置混合型证券投资基金全体基金份额持有人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(一) 我们审计的内容 我们审计了创金合信优选回报灵活配置混合型证券投资基金(以下简称"创金合信优选回报混合基金")的财务报表，包括2017年12月31日的资产负债表，2017年9月27日(基金合同生效日)至2017年12月31日止期间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优选回报混合基金2017年12月31日的财务状况以及2017年9月27日(基金合同生效日)至2017年12月31日止期间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按照中国注册会计师职业道德守则，我们独立于创金合信优选回报混合基金，并履行了职业道德方面的其他责任。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优选回报混合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优选回报混合基金的持续经营能力，披露与持续经营相关的事项(如适用)，并运用持续经营假设，除非基金管理人管理层计划清算创金合信优选回报混合基金、终止运营或别无其他现实的选择。 基金管理人治理层负责监督创金合信优选回报混合基金的财务报告过程。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优选回报混合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优选回报混合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2018-03-27</w:t>
            </w:r>
          </w:p>
        </w:tc>
      </w:tr>
    </w:tbl>
    <w:p>
      <w:pPr>
        <w:pStyle w:val="12"/>
        <w:rPr>
          <w:rFonts w:hint="eastAsia"/>
        </w:rPr>
      </w:pPr>
      <w:bookmarkStart w:id="30" w:name="_Toc510100232"/>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3"/>
        <w:rPr>
          <w:rFonts w:hint="eastAsia"/>
        </w:rPr>
      </w:pPr>
      <w:bookmarkStart w:id="31" w:name="_Toc510100233"/>
      <w:r>
        <w:rPr>
          <w:rFonts w:hint="eastAsia"/>
          <w:b/>
          <w:bCs/>
        </w:rPr>
        <w:t>7.1 资产负债表</w:t>
      </w:r>
      <w:bookmarkEnd w:id="31"/>
    </w:p>
    <w:p>
      <w:pPr>
        <w:pStyle w:val="16"/>
        <w:rPr>
          <w:rFonts w:hint="eastAsia"/>
        </w:rPr>
      </w:pPr>
      <w:r>
        <w:rPr>
          <w:rFonts w:hint="eastAsia"/>
        </w:rPr>
        <w:t>会计主体：创金合信优选回报灵活配置混合型证券投资基金</w:t>
      </w:r>
    </w:p>
    <w:p>
      <w:pPr>
        <w:pStyle w:val="16"/>
        <w:rPr>
          <w:rFonts w:hint="eastAsia"/>
        </w:rPr>
      </w:pPr>
      <w:r>
        <w:rPr>
          <w:rFonts w:hint="eastAsia"/>
        </w:rPr>
        <w:t>报告截止日：2017年12月31日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4052"/>
        <w:gridCol w:w="1520"/>
        <w:gridCol w:w="3548"/>
      </w:tblGrid>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 </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 </w:t>
            </w:r>
          </w:p>
          <w:p>
            <w:pPr>
              <w:pStyle w:val="17"/>
              <w:wordWrap w:val="0"/>
              <w:rPr>
                <w:rFonts w:hint="eastAsia"/>
              </w:rPr>
            </w:pPr>
            <w:r>
              <w:rPr>
                <w:rFonts w:hint="eastAsia" w:hAnsi="Calibri"/>
                <w:color w:val="000000"/>
              </w:rPr>
              <w:t>2017年12月31日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资 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银行存款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61,590,100.75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结算备付金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54,294,336.79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存出保证金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24,715.24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117,591,348.03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117,591,348.03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债券投资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贵金属投资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衍生金融资产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买入返售金融资产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410,000,000.00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-153,271.05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应收股利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505.24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递延所得税资产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643,347,735.00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负债和所有者权益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 </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负 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短期借款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衍生金融负债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卖出回购金融资产款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9,230,599.44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应付赎回款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623,118.00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823,810.36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137,301.75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77,536.54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应交税费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递延所得税负债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136,563.55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11,028,929.64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实收基金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631,378,610.11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未分配利润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940,195.25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所有者权益合计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632,318,805.36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负债和所有者权益总计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643,347,735.00</w:t>
            </w:r>
          </w:p>
        </w:tc>
      </w:tr>
    </w:tbl>
    <w:p>
      <w:pPr>
        <w:pStyle w:val="19"/>
        <w:rPr>
          <w:rFonts w:hint="eastAsia"/>
        </w:rPr>
      </w:pPr>
      <w:r>
        <w:rPr>
          <w:rFonts w:hint="eastAsia"/>
        </w:rPr>
        <w:t>注：1.报告截止日2017年12月31日，基金份额净值1.0015元，基金份额总额631,378,610.11份。</w:t>
      </w:r>
      <w:r>
        <w:rPr>
          <w:rFonts w:hint="eastAsia"/>
        </w:rPr>
        <w:br w:type="textWrapping"/>
      </w:r>
      <w:r>
        <w:rPr>
          <w:rFonts w:hint="eastAsia"/>
        </w:rPr>
        <w:t>2.本财务报表的实际编制期间为2017年9月27日(基金合同生效日)至2017年12月31日。截至报告期末本基金合同生效未满1年，本报告期的财务报表及报表附注均无同期对比数据。</w:t>
      </w:r>
    </w:p>
    <w:p>
      <w:pPr>
        <w:pStyle w:val="13"/>
        <w:rPr>
          <w:rFonts w:hint="eastAsia"/>
        </w:rPr>
      </w:pPr>
      <w:bookmarkStart w:id="32" w:name="_Toc510100234"/>
      <w:r>
        <w:rPr>
          <w:rFonts w:hint="eastAsia"/>
          <w:b/>
          <w:bCs/>
        </w:rPr>
        <w:t>7.2 利润表</w:t>
      </w:r>
      <w:bookmarkEnd w:id="32"/>
    </w:p>
    <w:p>
      <w:pPr>
        <w:widowControl/>
        <w:jc w:val="left"/>
        <w:rPr>
          <w:rFonts w:hint="eastAsia" w:ascii="宋体" w:hAnsi="宋体" w:cs="宋体"/>
          <w:kern w:val="0"/>
          <w:sz w:val="24"/>
          <w:szCs w:val="24"/>
        </w:rPr>
      </w:pPr>
    </w:p>
    <w:p>
      <w:pPr>
        <w:pStyle w:val="16"/>
        <w:rPr>
          <w:rFonts w:hint="eastAsia"/>
        </w:rPr>
      </w:pPr>
      <w:r>
        <w:rPr>
          <w:rFonts w:hint="eastAsia"/>
        </w:rPr>
        <w:t>会计主体：创金合信优选回报灵活配置混合型证券投资基金</w:t>
      </w:r>
    </w:p>
    <w:p>
      <w:pPr>
        <w:pStyle w:val="16"/>
        <w:rPr>
          <w:rFonts w:hint="eastAsia"/>
        </w:rPr>
      </w:pPr>
      <w:r>
        <w:rPr>
          <w:rFonts w:hint="eastAsia"/>
        </w:rPr>
        <w:t>本报告期：2017年09月27日（基金合同生效日）至2017年12月31日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4558"/>
        <w:gridCol w:w="1520"/>
        <w:gridCol w:w="3042"/>
      </w:tblGrid>
      <w:tr>
        <w:tblPrEx>
          <w:tblCellMar>
            <w:top w:w="0" w:type="dxa"/>
            <w:left w:w="108" w:type="dxa"/>
            <w:bottom w:w="0" w:type="dxa"/>
            <w:right w:w="108" w:type="dxa"/>
          </w:tblCellMar>
        </w:tblPrEx>
        <w:trPr>
          <w:wBefore w:w="0" w:type="auto"/>
          <w:trHeight w:val="374" w:hRule="atLeast"/>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项 目</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本期2017年09月27日（基金合同生效日）至2017年12月31日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4,674,560.16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7,178,492.77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310,208.39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6,868,284.38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2.投资收益（损失以“-”填列）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834,745.23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834,745.23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3.公允价值变动收益（损失以“-”号填列）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-4,059,099.33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4.汇兑收益（损失以“－”号填列）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5.其他收入（损失以“-”号填列）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720,421.49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3,542,596.10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2,835,324.31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472,554.06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4．交易费用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99,277.73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5．利息支出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6．其他费用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135,440.00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三、利润总额（亏损总额以“-”号填列）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1,131,964.06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四、净利润（净亏损以“-”号填列）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1,131,964.06</w:t>
            </w:r>
          </w:p>
        </w:tc>
      </w:tr>
    </w:tbl>
    <w:p>
      <w:pPr>
        <w:pStyle w:val="19"/>
        <w:rPr>
          <w:rFonts w:hint="eastAsia"/>
        </w:rPr>
      </w:pPr>
      <w:r>
        <w:rPr>
          <w:rFonts w:hint="eastAsia"/>
        </w:rPr>
        <w:t>注：本财务报表的实际编制期间为2017年9月27日(基金合同生效日)至2017年12月31日。截至报告期末本基金合同生效未满1年，本报告期的财务报表及报表附注均无同期对比数据。</w:t>
      </w:r>
    </w:p>
    <w:p>
      <w:pPr>
        <w:pStyle w:val="13"/>
        <w:rPr>
          <w:rFonts w:hint="eastAsia"/>
        </w:rPr>
      </w:pPr>
      <w:bookmarkStart w:id="33" w:name="_Toc510100235"/>
      <w:r>
        <w:rPr>
          <w:rFonts w:hint="eastAsia"/>
          <w:b/>
          <w:bCs/>
        </w:rPr>
        <w:t>7.3 所有者权益（基金净值）变动表</w:t>
      </w:r>
      <w:bookmarkEnd w:id="33"/>
    </w:p>
    <w:p>
      <w:pPr>
        <w:pStyle w:val="16"/>
        <w:rPr>
          <w:rFonts w:hint="eastAsia"/>
        </w:rPr>
      </w:pPr>
      <w:r>
        <w:rPr>
          <w:rFonts w:hint="eastAsia"/>
        </w:rPr>
        <w:t>会计主体：创金合信优选回报灵活配置混合型证券投资基金</w:t>
      </w:r>
    </w:p>
    <w:p>
      <w:pPr>
        <w:pStyle w:val="16"/>
        <w:rPr>
          <w:rFonts w:hint="eastAsia"/>
        </w:rPr>
      </w:pPr>
      <w:r>
        <w:rPr>
          <w:rFonts w:hint="eastAsia"/>
        </w:rPr>
        <w:t>本报告期：2017年09月27日（基金合同生效日）至2017年12月31日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3249"/>
        <w:gridCol w:w="1806"/>
        <w:gridCol w:w="1806"/>
        <w:gridCol w:w="2167"/>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 </w:t>
            </w:r>
          </w:p>
          <w:p>
            <w:pPr>
              <w:pStyle w:val="17"/>
              <w:wordWrap w:val="0"/>
              <w:rPr>
                <w:rFonts w:hint="eastAsia"/>
              </w:rPr>
            </w:pPr>
            <w:r>
              <w:rPr>
                <w:rFonts w:hint="eastAsia"/>
              </w:rPr>
              <w:t>2017年09月27日（基金合同生效日）至2017年12月31日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822,948,446.55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822,948,446.55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1,131,964.06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1,131,964.06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-191,569,836.44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-191,768.81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-191,761,605.25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1,981,569.92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2,684.53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1,984,254.45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-193,551,406.36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-194,453.34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-193,745,859.70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631,378,610.11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940,195.25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632,318,805.36</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19"/>
      </w:pPr>
      <w:r>
        <w:rPr>
          <w:rFonts w:hint="eastAsia"/>
        </w:rPr>
        <w:t>注：本财务报表的实际编制期间为2017年9月27日(基金合同生效日)至2017年12月31日止期间。截至报告期末本基金合同生效未满1年，本报告期的财务报表及报表附注均无同期对比数据。</w:t>
      </w:r>
    </w:p>
    <w:p>
      <w:pPr>
        <w:pStyle w:val="16"/>
        <w:rPr>
          <w:rFonts w:hint="eastAsia"/>
        </w:rPr>
      </w:pPr>
      <w:r>
        <w:rPr>
          <w:rFonts w:hint="eastAsia"/>
        </w:rPr>
        <w:t>报表附注为财务报表的组成部分。</w:t>
      </w:r>
    </w:p>
    <w:p>
      <w:pPr>
        <w:pStyle w:val="16"/>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rPr>
          <w:wBefore w:w="0" w:type="auto"/>
        </w:trPr>
        <w:tc>
          <w:tcPr>
            <w:tcW w:w="3249" w:type="dxa"/>
            <w:tcBorders>
              <w:top w:val="nil"/>
              <w:left w:val="nil"/>
              <w:bottom w:val="nil"/>
              <w:right w:val="nil"/>
            </w:tcBorders>
            <w:noWrap w:val="0"/>
            <w:vAlign w:val="top"/>
          </w:tcPr>
          <w:p>
            <w:pPr>
              <w:pStyle w:val="16"/>
              <w:wordWrap w:val="0"/>
              <w:rPr>
                <w:rFonts w:hint="eastAsia"/>
              </w:rPr>
            </w:pPr>
            <w:r>
              <w:rPr>
                <w:rFonts w:hint="eastAsia" w:hAnsi="Calibri"/>
                <w:color w:val="000000"/>
              </w:rPr>
              <w:t>苏彦祝</w:t>
            </w:r>
          </w:p>
          <w:p>
            <w:pPr>
              <w:pStyle w:val="16"/>
              <w:wordWrap w:val="0"/>
              <w:rPr>
                <w:rFonts w:hint="eastAsia"/>
              </w:rPr>
            </w:pPr>
            <w:r>
              <w:rPr>
                <w:rFonts w:hint="eastAsia"/>
              </w:rPr>
              <w:t>—————————</w:t>
            </w:r>
          </w:p>
          <w:p>
            <w:pPr>
              <w:pStyle w:val="16"/>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6"/>
              <w:wordWrap w:val="0"/>
              <w:rPr>
                <w:rFonts w:hint="eastAsia"/>
              </w:rPr>
            </w:pPr>
            <w:r>
              <w:rPr>
                <w:rFonts w:hint="eastAsia"/>
              </w:rPr>
              <w:t>黄越岷</w:t>
            </w:r>
          </w:p>
          <w:p>
            <w:pPr>
              <w:pStyle w:val="16"/>
              <w:wordWrap w:val="0"/>
              <w:rPr>
                <w:rFonts w:hint="eastAsia"/>
              </w:rPr>
            </w:pPr>
            <w:r>
              <w:rPr>
                <w:rFonts w:hint="eastAsia"/>
              </w:rPr>
              <w:t>—————————</w:t>
            </w:r>
          </w:p>
          <w:p>
            <w:pPr>
              <w:pStyle w:val="16"/>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6"/>
              <w:wordWrap w:val="0"/>
              <w:rPr>
                <w:rFonts w:hint="eastAsia"/>
              </w:rPr>
            </w:pPr>
            <w:r>
              <w:rPr>
                <w:rFonts w:hint="eastAsia"/>
              </w:rPr>
              <w:t>安兆国</w:t>
            </w:r>
          </w:p>
          <w:p>
            <w:pPr>
              <w:pStyle w:val="16"/>
              <w:wordWrap w:val="0"/>
              <w:rPr>
                <w:rFonts w:hint="eastAsia"/>
              </w:rPr>
            </w:pPr>
            <w:r>
              <w:rPr>
                <w:rFonts w:hint="eastAsia"/>
              </w:rPr>
              <w:t>—————————</w:t>
            </w:r>
          </w:p>
          <w:p>
            <w:pPr>
              <w:pStyle w:val="16"/>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3"/>
        <w:rPr>
          <w:rFonts w:hint="eastAsia"/>
        </w:rPr>
      </w:pPr>
      <w:bookmarkStart w:id="34" w:name="_Toc510100236"/>
      <w:r>
        <w:rPr>
          <w:rFonts w:hint="eastAsia"/>
          <w:b/>
          <w:bCs/>
        </w:rPr>
        <w:t>7.4 报表附注</w:t>
      </w:r>
      <w:bookmarkEnd w:id="34"/>
    </w:p>
    <w:p>
      <w:pPr>
        <w:pStyle w:val="14"/>
        <w:rPr>
          <w:rFonts w:hint="eastAsia"/>
        </w:rPr>
      </w:pPr>
      <w:r>
        <w:rPr>
          <w:rFonts w:hint="eastAsia"/>
          <w:b/>
          <w:bCs/>
        </w:rPr>
        <w:t>7.4.1 基金基本情况</w:t>
      </w:r>
    </w:p>
    <w:p>
      <w:pPr>
        <w:pStyle w:val="19"/>
        <w:rPr>
          <w:rFonts w:hint="eastAsia"/>
        </w:rPr>
      </w:pPr>
      <w:r>
        <w:rPr>
          <w:rFonts w:hint="eastAsia"/>
        </w:rPr>
        <w:t>  创金合信优选回报灵活配置混合型证券投资基金(以下简称"本基金")经中国证券监督管理委员会(以下简称"中国证监会") 证监许可[2015]1742号《关于准予创金合信港股通香港内地股50指数证券投资基金注册的批复》和关于将基金变更注册为本基金的证监许可[2017]1258号《关于准予创金合信港股通香港内地股50指数证券投资基金变更注册的批复》核准，由创金合信基金管理有限公司依照《中华人民共和国证券投资基金法》和《创金合信优选回报灵活配置混合型证券投资基金基金合同》负责公开募集。本基金为契约型开放式，存续期限不定，首次设立募集不包括认购资金利息共募集人民币822,731,554.84元，业经普华永道中天会计师事务所(特殊普通合伙)普华永道中天验字(2017)第324号验资报告予以验证。经向中国证监会备案，《创金合信优选回报灵活配置混合型证券投资基金基金合同》于2017年9月27日正式生效，基金合同生效日的基金份额总额为822,948,446.55份基金份额，其中认购资金利息折合216,891.71份基金份额。本基金的基金管理人为创金合信基金管理有限公司，基金托管人为中国工商银行股份有限公司(以下简称"中国工商银行")。</w:t>
      </w:r>
      <w:r>
        <w:rPr>
          <w:rFonts w:hint="eastAsia"/>
        </w:rPr>
        <w:br w:type="textWrapping"/>
      </w:r>
      <w:r>
        <w:rPr>
          <w:rFonts w:hint="eastAsia"/>
        </w:rPr>
        <w:t>  根据《中华人民共和国证券投资基金法》和《创金合信优选回报灵活配置混合型证券投资基金基金合同》的有关规定，本基金的投资范围包括国内依法发行上市的股票(包括创业板、中小板以及其他中国证监会允许基金投资的股票)、债券(包括国债、央行票据、地方政府债、金融债、企业债、公司债、次级债、中期票据、短期融资券、超短期融资券、可转换债券、可交换债券等)、资产支持证券、债券回购、货币市场工具(包括同业存单等)、金融衍生品(包括权证、股指期货、股票期权、国债期货等)及法律法规或中国证监会允许基金投资的其他金融工具(但须符合中国证监会相关规定)。本基金的业绩比较基准为：沪深300指数收益率×30%+中债综合指数收益率×70%。</w:t>
      </w:r>
    </w:p>
    <w:p>
      <w:pPr>
        <w:widowControl/>
        <w:jc w:val="left"/>
        <w:rPr>
          <w:rFonts w:hint="eastAsia" w:ascii="宋体" w:hAnsi="宋体" w:cs="宋体"/>
          <w:kern w:val="0"/>
          <w:sz w:val="24"/>
          <w:szCs w:val="24"/>
        </w:rPr>
      </w:pPr>
    </w:p>
    <w:p>
      <w:pPr>
        <w:pStyle w:val="14"/>
        <w:rPr>
          <w:rFonts w:hint="eastAsia"/>
        </w:rPr>
      </w:pPr>
      <w:r>
        <w:rPr>
          <w:rFonts w:hint="eastAsia"/>
          <w:b/>
          <w:bCs/>
        </w:rPr>
        <w:t>7.4.2 会计报表的编制基础</w:t>
      </w:r>
    </w:p>
    <w:p>
      <w:pPr>
        <w:pStyle w:val="19"/>
        <w:rPr>
          <w:rFonts w:hint="eastAsia"/>
        </w:rPr>
      </w:pPr>
      <w:r>
        <w:rPr>
          <w:rFonts w:hint="eastAsia"/>
        </w:rPr>
        <w:t>  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优选回报灵活配置混合型证券投资基金基金合同》和在财务报表附注7.4.4所列示的中国证监会、中国基金业协会发布的有关规定及允许的基金行业实务操作编制。</w:t>
      </w:r>
    </w:p>
    <w:p>
      <w:pPr>
        <w:widowControl/>
        <w:jc w:val="left"/>
        <w:rPr>
          <w:rFonts w:hint="eastAsia" w:ascii="宋体" w:hAnsi="宋体" w:cs="宋体"/>
          <w:kern w:val="0"/>
          <w:sz w:val="24"/>
          <w:szCs w:val="24"/>
        </w:rPr>
      </w:pPr>
    </w:p>
    <w:p>
      <w:pPr>
        <w:pStyle w:val="14"/>
        <w:rPr>
          <w:rFonts w:hint="eastAsia"/>
        </w:rPr>
      </w:pPr>
      <w:r>
        <w:rPr>
          <w:rFonts w:hint="eastAsia"/>
          <w:b/>
          <w:bCs/>
        </w:rPr>
        <w:t>7.4.3 遵循企业会计准则及其他有关规定的声明</w:t>
      </w:r>
    </w:p>
    <w:p>
      <w:pPr>
        <w:pStyle w:val="19"/>
        <w:rPr>
          <w:rFonts w:hint="eastAsia"/>
        </w:rPr>
      </w:pPr>
      <w:r>
        <w:rPr>
          <w:rFonts w:hint="eastAsia"/>
        </w:rPr>
        <w:t>  本财务报表符合企业会计准则的要求，真实、完整地反映了本基金本报告期末的财务状况以及本报告期间的经营成果和基金净值变动情况等有关信息。</w:t>
      </w:r>
    </w:p>
    <w:p>
      <w:pPr>
        <w:widowControl/>
        <w:jc w:val="left"/>
        <w:rPr>
          <w:rFonts w:hint="eastAsia" w:ascii="宋体" w:hAnsi="宋体" w:cs="宋体"/>
          <w:kern w:val="0"/>
          <w:sz w:val="24"/>
          <w:szCs w:val="24"/>
        </w:rPr>
      </w:pPr>
    </w:p>
    <w:p>
      <w:pPr>
        <w:pStyle w:val="14"/>
        <w:rPr>
          <w:rFonts w:hint="eastAsia"/>
        </w:rPr>
      </w:pPr>
      <w:r>
        <w:rPr>
          <w:rFonts w:hint="eastAsia"/>
          <w:b/>
          <w:bCs/>
        </w:rPr>
        <w:t>7.4.4 重要会计政策和会计估计</w:t>
      </w:r>
    </w:p>
    <w:p>
      <w:pPr>
        <w:widowControl/>
        <w:jc w:val="left"/>
        <w:rPr>
          <w:rFonts w:hint="eastAsia" w:ascii="宋体" w:hAnsi="宋体" w:cs="宋体"/>
          <w:kern w:val="0"/>
          <w:sz w:val="24"/>
          <w:szCs w:val="24"/>
        </w:rPr>
      </w:pPr>
    </w:p>
    <w:p>
      <w:pPr>
        <w:pStyle w:val="14"/>
        <w:rPr>
          <w:rFonts w:hint="eastAsia"/>
        </w:rPr>
      </w:pPr>
      <w:r>
        <w:rPr>
          <w:rFonts w:hint="eastAsia"/>
          <w:b/>
          <w:bCs/>
        </w:rPr>
        <w:t>7.4.4.1 会计年度</w:t>
      </w:r>
    </w:p>
    <w:p>
      <w:pPr>
        <w:pStyle w:val="19"/>
        <w:rPr>
          <w:rFonts w:hint="eastAsia"/>
        </w:rPr>
      </w:pPr>
      <w:r>
        <w:rPr>
          <w:rFonts w:hint="eastAsia"/>
        </w:rPr>
        <w:t>  本基金会计年度为公历1月1日起至12月31日止。本期财务报表的实际编制期间为2017年9月27日（基金合同生效日）至2017年12月31日。</w:t>
      </w:r>
    </w:p>
    <w:p>
      <w:pPr>
        <w:widowControl/>
        <w:jc w:val="left"/>
        <w:rPr>
          <w:rFonts w:hint="eastAsia" w:ascii="宋体" w:hAnsi="宋体" w:cs="宋体"/>
          <w:kern w:val="0"/>
          <w:sz w:val="24"/>
          <w:szCs w:val="24"/>
        </w:rPr>
      </w:pPr>
    </w:p>
    <w:p>
      <w:pPr>
        <w:pStyle w:val="14"/>
        <w:rPr>
          <w:rFonts w:hint="eastAsia"/>
        </w:rPr>
      </w:pPr>
      <w:r>
        <w:rPr>
          <w:rFonts w:hint="eastAsia"/>
          <w:b/>
          <w:bCs/>
        </w:rPr>
        <w:t>7.4.4.2 记账本位币</w:t>
      </w:r>
    </w:p>
    <w:p>
      <w:pPr>
        <w:pStyle w:val="19"/>
        <w:rPr>
          <w:rFonts w:hint="eastAsia"/>
        </w:rPr>
      </w:pPr>
      <w:r>
        <w:rPr>
          <w:rFonts w:hint="eastAsia"/>
        </w:rPr>
        <w:t>  本基金的记账本位币为人民币。</w:t>
      </w:r>
    </w:p>
    <w:p>
      <w:pPr>
        <w:widowControl/>
        <w:jc w:val="left"/>
        <w:rPr>
          <w:rFonts w:hint="eastAsia" w:ascii="宋体" w:hAnsi="宋体" w:cs="宋体"/>
          <w:kern w:val="0"/>
          <w:sz w:val="24"/>
          <w:szCs w:val="24"/>
        </w:rPr>
      </w:pPr>
    </w:p>
    <w:p>
      <w:pPr>
        <w:pStyle w:val="14"/>
        <w:rPr>
          <w:rFonts w:hint="eastAsia"/>
        </w:rPr>
      </w:pPr>
      <w:r>
        <w:rPr>
          <w:rFonts w:hint="eastAsia"/>
          <w:b/>
          <w:bCs/>
        </w:rPr>
        <w:t>7.4.4.3 金融资产和金融负债的分类</w:t>
      </w:r>
    </w:p>
    <w:p>
      <w:pPr>
        <w:pStyle w:val="19"/>
        <w:rPr>
          <w:rFonts w:hint="eastAsia"/>
        </w:rPr>
      </w:pPr>
      <w:r>
        <w:rPr>
          <w:rFonts w:hint="eastAsia"/>
        </w:rPr>
        <w:t>  (1)金融资产的分类</w:t>
      </w:r>
      <w:r>
        <w:rPr>
          <w:rFonts w:hint="eastAsia"/>
        </w:rPr>
        <w:br w:type="textWrapping"/>
      </w:r>
      <w:r>
        <w:rPr>
          <w:rFonts w:hint="eastAsia"/>
        </w:rPr>
        <w:t>  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r>
        <w:rPr>
          <w:rFonts w:hint="eastAsia"/>
        </w:rPr>
        <w:br w:type="textWrapping"/>
      </w:r>
      <w:r>
        <w:rPr>
          <w:rFonts w:hint="eastAsia"/>
        </w:rPr>
        <w:t>  本基金目前以交易目的持有的股票投资、债券投资和衍生工具(主要为权证投资)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r>
        <w:rPr>
          <w:rFonts w:hint="eastAsia"/>
        </w:rPr>
        <w:br w:type="textWrapping"/>
      </w:r>
      <w:r>
        <w:rPr>
          <w:rFonts w:hint="eastAsia"/>
        </w:rPr>
        <w:t>  本基金持有的其他金融资产分类为应收款项，包括银行存款、买入返售金融资产和其他各类应收款项等。应收款项是指在活跃市场中没有报价、回收金额固定或可确定的非衍生金融资产。</w:t>
      </w:r>
      <w:r>
        <w:rPr>
          <w:rFonts w:hint="eastAsia"/>
        </w:rPr>
        <w:br w:type="textWrapping"/>
      </w:r>
      <w:r>
        <w:rPr>
          <w:rFonts w:hint="eastAsia"/>
        </w:rPr>
        <w:t>  (2)金融负债的分类</w:t>
      </w:r>
      <w:r>
        <w:rPr>
          <w:rFonts w:hint="eastAsia"/>
        </w:rPr>
        <w:br w:type="textWrapping"/>
      </w:r>
      <w:r>
        <w:rPr>
          <w:rFonts w:hint="eastAsia"/>
        </w:rPr>
        <w:t>  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14"/>
        <w:rPr>
          <w:rFonts w:hint="eastAsia"/>
        </w:rPr>
      </w:pPr>
      <w:r>
        <w:rPr>
          <w:rFonts w:hint="eastAsia"/>
          <w:b/>
          <w:bCs/>
        </w:rPr>
        <w:t>7.4.4.4 金融资产和金融负债的初始确认、后续计量和终止确认</w:t>
      </w:r>
    </w:p>
    <w:p>
      <w:pPr>
        <w:pStyle w:val="19"/>
        <w:rPr>
          <w:rFonts w:hint="eastAsia"/>
        </w:rPr>
      </w:pPr>
      <w:r>
        <w:rPr>
          <w:rFonts w:hint="eastAsia"/>
        </w:rPr>
        <w:t>  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r>
        <w:rPr>
          <w:rFonts w:hint="eastAsia"/>
        </w:rPr>
        <w:br w:type="textWrapping"/>
      </w:r>
      <w:r>
        <w:rPr>
          <w:rFonts w:hint="eastAsia"/>
        </w:rPr>
        <w:t>  对于以公允价值计量且其变动计入当期损益的金融资产，按照公允价值进行后续计量；对于应收款项和其他金融负债采用实际利率法，以摊余成本进行后续计量。</w:t>
      </w:r>
      <w:r>
        <w:rPr>
          <w:rFonts w:hint="eastAsia"/>
        </w:rPr>
        <w:br w:type="textWrapping"/>
      </w:r>
      <w:r>
        <w:rPr>
          <w:rFonts w:hint="eastAsia"/>
        </w:rPr>
        <w:t>  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r>
        <w:rPr>
          <w:rFonts w:hint="eastAsia"/>
        </w:rPr>
        <w:br w:type="textWrapping"/>
      </w:r>
      <w:r>
        <w:rPr>
          <w:rFonts w:hint="eastAsia"/>
        </w:rPr>
        <w:t>  金融资产终止确认时，其账面价值与收到的对价的差额，计入当期损益。</w:t>
      </w:r>
      <w:r>
        <w:rPr>
          <w:rFonts w:hint="eastAsia"/>
        </w:rPr>
        <w:br w:type="textWrapping"/>
      </w:r>
      <w:r>
        <w:rPr>
          <w:rFonts w:hint="eastAsia"/>
        </w:rPr>
        <w:t>  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4"/>
        <w:rPr>
          <w:rFonts w:hint="eastAsia"/>
        </w:rPr>
      </w:pPr>
      <w:r>
        <w:rPr>
          <w:rFonts w:hint="eastAsia"/>
          <w:b/>
          <w:bCs/>
        </w:rPr>
        <w:t>7.4.4.5 金融资产和金融负债的估值原则</w:t>
      </w:r>
    </w:p>
    <w:p>
      <w:pPr>
        <w:pStyle w:val="19"/>
        <w:rPr>
          <w:rFonts w:hint="eastAsia"/>
        </w:rPr>
      </w:pPr>
      <w:r>
        <w:rPr>
          <w:rFonts w:hint="eastAsia"/>
        </w:rPr>
        <w:t>  本基金持有的股票投资、债券投资和衍生工具(主要为权证投资)按如下原则确定公允价值并进行估值：</w:t>
      </w:r>
      <w:r>
        <w:rPr>
          <w:rFonts w:hint="eastAsia"/>
        </w:rPr>
        <w:br w:type="textWrapping"/>
      </w:r>
      <w:r>
        <w:rPr>
          <w:rFonts w:hint="eastAsia"/>
        </w:rPr>
        <w:t>  (1)存在活跃市场的金融工具按其估值日的市场交易价格确定公允价值；估值日无交易，但最近交易日后经济环境未发生重大变化且证券发行机构未发生影响证券价格的重大事件的，按最近交易日的市场交易价格确定公允价值。</w:t>
      </w:r>
      <w:r>
        <w:rPr>
          <w:rFonts w:hint="eastAsia"/>
        </w:rPr>
        <w:br w:type="textWrapping"/>
      </w:r>
      <w:r>
        <w:rPr>
          <w:rFonts w:hint="eastAsia"/>
        </w:rPr>
        <w:t>  (2)存在活跃市场的金融工具，如估值日无交易且最近交易日后经济环境发生了重大变化，参考类似投资品种的现行市价及重大变化等因素，调整最近交易市价以确定公允价值。</w:t>
      </w:r>
      <w:r>
        <w:rPr>
          <w:rFonts w:hint="eastAsia"/>
        </w:rPr>
        <w:br w:type="textWrapping"/>
      </w:r>
      <w:r>
        <w:rPr>
          <w:rFonts w:hint="eastAsia"/>
        </w:rPr>
        <w:t>  (3)当金融工具不存在活跃市场，采用市场参与者普遍认同且被以往市场实际交易价格验证具有可靠性的估值技术确定公允价值。估值技术包括参考熟悉情况并自愿交易的各方最近进行的市场交易中使用的价格、参照实质上相同的其他金融工具的当前公允价值、现金流量折现法和期权定价模型等。采用估值技术时，尽可能最大程度使用市场参数，减少使用与本基金特定相关的参数。</w:t>
      </w:r>
    </w:p>
    <w:p>
      <w:pPr>
        <w:widowControl/>
        <w:jc w:val="left"/>
        <w:rPr>
          <w:rFonts w:hint="eastAsia" w:ascii="宋体" w:hAnsi="宋体" w:cs="宋体"/>
          <w:kern w:val="0"/>
          <w:sz w:val="24"/>
          <w:szCs w:val="24"/>
        </w:rPr>
      </w:pPr>
    </w:p>
    <w:p>
      <w:pPr>
        <w:pStyle w:val="14"/>
        <w:rPr>
          <w:rFonts w:hint="eastAsia"/>
        </w:rPr>
      </w:pPr>
      <w:r>
        <w:rPr>
          <w:rFonts w:hint="eastAsia"/>
          <w:b/>
          <w:bCs/>
        </w:rPr>
        <w:t>7.4.4.6 金融资产和金融负债的抵销</w:t>
      </w:r>
    </w:p>
    <w:p>
      <w:pPr>
        <w:pStyle w:val="19"/>
        <w:rPr>
          <w:rFonts w:hint="eastAsia"/>
        </w:rPr>
      </w:pPr>
      <w:r>
        <w:rPr>
          <w:rFonts w:hint="eastAsia"/>
        </w:rPr>
        <w:t>  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4"/>
        <w:rPr>
          <w:rFonts w:hint="eastAsia"/>
        </w:rPr>
      </w:pPr>
      <w:r>
        <w:rPr>
          <w:rFonts w:hint="eastAsia"/>
          <w:b/>
          <w:bCs/>
        </w:rPr>
        <w:t>7.4.4.7 实收基金</w:t>
      </w:r>
    </w:p>
    <w:p>
      <w:pPr>
        <w:pStyle w:val="19"/>
        <w:rPr>
          <w:rFonts w:hint="eastAsia"/>
        </w:rPr>
      </w:pPr>
      <w:r>
        <w:rPr>
          <w:rFonts w:hint="eastAsia"/>
        </w:rPr>
        <w:t>  实收基金为对外发行基金份额所募集的总金额在扣除损益平准金分摊部分后的余额。由于申购和赎回引起的实收基金变动分别于基金申购确认日及基金赎回确认日认列。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4"/>
        <w:rPr>
          <w:rFonts w:hint="eastAsia"/>
        </w:rPr>
      </w:pPr>
      <w:r>
        <w:rPr>
          <w:rFonts w:hint="eastAsia"/>
          <w:b/>
          <w:bCs/>
        </w:rPr>
        <w:t>7.4.4.8 损益平准金</w:t>
      </w:r>
    </w:p>
    <w:p>
      <w:pPr>
        <w:pStyle w:val="19"/>
        <w:rPr>
          <w:rFonts w:hint="eastAsia"/>
        </w:rPr>
      </w:pPr>
      <w:r>
        <w:rPr>
          <w:rFonts w:hint="eastAsia"/>
        </w:rPr>
        <w:t>  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确认，并于期末全额转入未分配利润/(累计亏损)。</w:t>
      </w:r>
    </w:p>
    <w:p>
      <w:pPr>
        <w:widowControl/>
        <w:jc w:val="left"/>
        <w:rPr>
          <w:rFonts w:hint="eastAsia" w:ascii="宋体" w:hAnsi="宋体" w:cs="宋体"/>
          <w:kern w:val="0"/>
          <w:sz w:val="24"/>
          <w:szCs w:val="24"/>
        </w:rPr>
      </w:pPr>
    </w:p>
    <w:p>
      <w:pPr>
        <w:pStyle w:val="14"/>
        <w:rPr>
          <w:rFonts w:hint="eastAsia"/>
        </w:rPr>
      </w:pPr>
      <w:r>
        <w:rPr>
          <w:rFonts w:hint="eastAsia"/>
          <w:b/>
          <w:bCs/>
        </w:rPr>
        <w:t>7.4.4.9 收入/（损失）的确认和计量</w:t>
      </w:r>
    </w:p>
    <w:p>
      <w:pPr>
        <w:pStyle w:val="19"/>
        <w:rPr>
          <w:rFonts w:hint="eastAsia"/>
        </w:rPr>
      </w:pPr>
      <w:r>
        <w:rPr>
          <w:rFonts w:hint="eastAsia"/>
        </w:rPr>
        <w:t>  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r>
        <w:rPr>
          <w:rFonts w:hint="eastAsia"/>
        </w:rPr>
        <w:br w:type="textWrapping"/>
      </w:r>
      <w:r>
        <w:rPr>
          <w:rFonts w:hint="eastAsia"/>
        </w:rPr>
        <w:t>  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r>
        <w:rPr>
          <w:rFonts w:hint="eastAsia"/>
        </w:rPr>
        <w:br w:type="textWrapping"/>
      </w:r>
      <w:r>
        <w:rPr>
          <w:rFonts w:hint="eastAsia"/>
        </w:rPr>
        <w:t>  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4"/>
        <w:rPr>
          <w:rFonts w:hint="eastAsia"/>
        </w:rPr>
      </w:pPr>
      <w:r>
        <w:rPr>
          <w:rFonts w:hint="eastAsia"/>
          <w:b/>
          <w:bCs/>
        </w:rPr>
        <w:t>7.4.4.10 费用的确认和计量</w:t>
      </w:r>
    </w:p>
    <w:p>
      <w:pPr>
        <w:pStyle w:val="19"/>
        <w:rPr>
          <w:rFonts w:hint="eastAsia"/>
        </w:rPr>
      </w:pPr>
      <w:r>
        <w:rPr>
          <w:rFonts w:hint="eastAsia"/>
        </w:rPr>
        <w:t>  本基金的管理人报酬、托管费和销售服务费在费用涵盖期间按基金合同约定的费率和计算方法逐日确认。</w:t>
      </w:r>
      <w:r>
        <w:rPr>
          <w:rFonts w:hint="eastAsia"/>
        </w:rPr>
        <w:br w:type="textWrapping"/>
      </w:r>
      <w:r>
        <w:rPr>
          <w:rFonts w:hint="eastAsia"/>
        </w:rPr>
        <w:t>  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4"/>
        <w:rPr>
          <w:rFonts w:hint="eastAsia"/>
        </w:rPr>
      </w:pPr>
      <w:r>
        <w:rPr>
          <w:rFonts w:hint="eastAsia"/>
          <w:b/>
          <w:bCs/>
        </w:rPr>
        <w:t>7.4.4.11 基金的收益分配政策</w:t>
      </w:r>
    </w:p>
    <w:p>
      <w:pPr>
        <w:pStyle w:val="19"/>
        <w:rPr>
          <w:rFonts w:hint="eastAsia"/>
        </w:rPr>
      </w:pPr>
      <w:r>
        <w:rPr>
          <w:rFonts w:hint="eastAsia"/>
        </w:rPr>
        <w:t>  本基金的收益分配政策为：1、在符合有关基金分红条件的前提下，本基金每年收益分配次数最多为12次，若基金在每季度最后一个交易日日终，基金份额净值高于1.100元（含）且每份基金份额可供分配利润金额高于0.05元（含），则以该交易日为基金收益分配基准日，由基金管理人确定权益登记日，对权益登记日日终登记在册的基金份额持有人进行收益分配。具体分配标准为： </w:t>
      </w:r>
      <w:r>
        <w:rPr>
          <w:rFonts w:hint="eastAsia"/>
        </w:rPr>
        <w:br w:type="textWrapping"/>
      </w:r>
      <w:r>
        <w:rPr>
          <w:rFonts w:hint="eastAsia"/>
        </w:rPr>
        <w:t>  （1）若基金收益分配基准日每份基金份额可供分配利润高于0.1元，则每份基金份额每次基金收益分配金额不低于0.05元（含）； </w:t>
      </w:r>
      <w:r>
        <w:rPr>
          <w:rFonts w:hint="eastAsia"/>
        </w:rPr>
        <w:br w:type="textWrapping"/>
      </w:r>
      <w:r>
        <w:rPr>
          <w:rFonts w:hint="eastAsia"/>
        </w:rPr>
        <w:t>  （2）若基金收益分配基准日每份基金份额可供分配利润低于0.1元（含）且高于0.05元，则每份基金份额每次基金收益分配金额不低于基金收益分配基准日每份基金份额可供分配利润的10%；</w:t>
      </w:r>
      <w:r>
        <w:rPr>
          <w:rFonts w:hint="eastAsia"/>
        </w:rPr>
        <w:br w:type="textWrapping"/>
      </w:r>
      <w:r>
        <w:rPr>
          <w:rFonts w:hint="eastAsia"/>
        </w:rPr>
        <w:t>  （3）若《基金合同》生效不满3个月可不进行收益分配；</w:t>
      </w:r>
      <w:r>
        <w:rPr>
          <w:rFonts w:hint="eastAsia"/>
        </w:rPr>
        <w:br w:type="textWrapping"/>
      </w:r>
      <w:r>
        <w:rPr>
          <w:rFonts w:hint="eastAsia"/>
        </w:rPr>
        <w:t>  2、本基金收益分配方式分两种：现金分红与红利再投资，投资者可选择现金红利或将现金红利自动转为基金份额进行再投资；若投资者不选择，本基金默认的收益分配方式是现金分红；</w:t>
      </w:r>
      <w:r>
        <w:rPr>
          <w:rFonts w:hint="eastAsia"/>
        </w:rPr>
        <w:br w:type="textWrapping"/>
      </w:r>
      <w:r>
        <w:rPr>
          <w:rFonts w:hint="eastAsia"/>
        </w:rPr>
        <w:t>  3、基金收益分配后基金份额净值不能低于面值，即基金收益分配基准日的基金份额净值减去每单位基金份额收益分配金额后不能低于面值；</w:t>
      </w:r>
      <w:r>
        <w:rPr>
          <w:rFonts w:hint="eastAsia"/>
        </w:rPr>
        <w:br w:type="textWrapping"/>
      </w:r>
      <w:r>
        <w:rPr>
          <w:rFonts w:hint="eastAsia"/>
        </w:rPr>
        <w:t>  4、每一基金份额享有同等分配权；</w:t>
      </w:r>
      <w:r>
        <w:rPr>
          <w:rFonts w:hint="eastAsia"/>
        </w:rPr>
        <w:br w:type="textWrapping"/>
      </w:r>
      <w:r>
        <w:rPr>
          <w:rFonts w:hint="eastAsia"/>
        </w:rPr>
        <w:t>  5、在对基金份额持有人利益无实质不利影响的前提下，基金管理人与基金托管人协商一致后，可调整基金收益的分配原则和支付方式，不需召开基金份额持有人大会审议；</w:t>
      </w:r>
      <w:r>
        <w:rPr>
          <w:rFonts w:hint="eastAsia"/>
        </w:rPr>
        <w:br w:type="textWrapping"/>
      </w:r>
      <w:r>
        <w:rPr>
          <w:rFonts w:hint="eastAsia"/>
        </w:rPr>
        <w:t>  6、法律法规或监管机关另有规定的，从其规定。</w:t>
      </w:r>
    </w:p>
    <w:p>
      <w:pPr>
        <w:widowControl/>
        <w:jc w:val="left"/>
        <w:rPr>
          <w:rFonts w:hint="eastAsia" w:ascii="宋体" w:hAnsi="宋体" w:cs="宋体"/>
          <w:kern w:val="0"/>
          <w:sz w:val="24"/>
          <w:szCs w:val="24"/>
        </w:rPr>
      </w:pPr>
    </w:p>
    <w:p>
      <w:pPr>
        <w:pStyle w:val="14"/>
        <w:rPr>
          <w:rFonts w:hint="eastAsia"/>
        </w:rPr>
      </w:pPr>
      <w:r>
        <w:rPr>
          <w:rFonts w:hint="eastAsia"/>
          <w:b/>
          <w:bCs/>
        </w:rPr>
        <w:t>7.4.4.12 分部报告</w:t>
      </w:r>
    </w:p>
    <w:p>
      <w:pPr>
        <w:pStyle w:val="19"/>
        <w:rPr>
          <w:rFonts w:hint="eastAsia"/>
        </w:rPr>
      </w:pPr>
      <w:r>
        <w:rPr>
          <w:rFonts w:hint="eastAsia"/>
        </w:rPr>
        <w:t>  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r>
        <w:rPr>
          <w:rFonts w:hint="eastAsia"/>
        </w:rPr>
        <w:br w:type="textWrapping"/>
      </w:r>
      <w:r>
        <w:rPr>
          <w:rFonts w:hint="eastAsia"/>
        </w:rPr>
        <w:t>  本基金目前以一个单一的经营分部运作，不需要披露分部信息。</w:t>
      </w:r>
    </w:p>
    <w:p>
      <w:pPr>
        <w:widowControl/>
        <w:jc w:val="left"/>
        <w:rPr>
          <w:rFonts w:hint="eastAsia" w:ascii="宋体" w:hAnsi="宋体" w:cs="宋体"/>
          <w:kern w:val="0"/>
          <w:sz w:val="24"/>
          <w:szCs w:val="24"/>
        </w:rPr>
      </w:pPr>
    </w:p>
    <w:p>
      <w:pPr>
        <w:pStyle w:val="14"/>
        <w:rPr>
          <w:rFonts w:hint="eastAsia"/>
        </w:rPr>
      </w:pPr>
      <w:r>
        <w:rPr>
          <w:rFonts w:hint="eastAsia"/>
          <w:b/>
          <w:bCs/>
        </w:rPr>
        <w:t>7.4.4.13 其他重要的会计政策和会计估计</w:t>
      </w:r>
    </w:p>
    <w:p>
      <w:pPr>
        <w:pStyle w:val="19"/>
        <w:rPr>
          <w:rFonts w:hint="eastAsia"/>
        </w:rPr>
      </w:pPr>
      <w:r>
        <w:rPr>
          <w:rFonts w:hint="eastAsia"/>
        </w:rPr>
        <w:t>  根据本基金的估值原则和中国证监会允许的基金行业估值实务操作，本基金确定以下类别股票投资的公允价值时采用的估值方法及其关键假设如下：</w:t>
      </w:r>
      <w:r>
        <w:rPr>
          <w:rFonts w:hint="eastAsia"/>
        </w:rPr>
        <w:br w:type="textWrapping"/>
      </w:r>
      <w:r>
        <w:rPr>
          <w:rFonts w:hint="eastAsia"/>
        </w:rPr>
        <w:t>  对于证券交易所上市的股票，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p>
    <w:p>
      <w:pPr>
        <w:widowControl/>
        <w:jc w:val="left"/>
        <w:rPr>
          <w:rFonts w:hint="eastAsia" w:ascii="宋体" w:hAnsi="宋体" w:cs="宋体"/>
          <w:kern w:val="0"/>
          <w:sz w:val="24"/>
          <w:szCs w:val="24"/>
        </w:rPr>
      </w:pPr>
    </w:p>
    <w:p>
      <w:pPr>
        <w:pStyle w:val="14"/>
        <w:rPr>
          <w:rFonts w:hint="eastAsia"/>
        </w:rPr>
      </w:pPr>
      <w:r>
        <w:rPr>
          <w:rFonts w:hint="eastAsia"/>
          <w:b/>
          <w:bCs/>
        </w:rPr>
        <w:t>7.4.5 会计政策和会计估计变更以及差错更正的说明</w:t>
      </w:r>
    </w:p>
    <w:p>
      <w:pPr>
        <w:pStyle w:val="14"/>
        <w:rPr>
          <w:rFonts w:hint="eastAsia"/>
        </w:rPr>
      </w:pPr>
      <w:r>
        <w:rPr>
          <w:rFonts w:hint="eastAsia"/>
          <w:b/>
          <w:bCs/>
        </w:rPr>
        <w:t>7.4.5.1 会计政策变更的说明</w:t>
      </w:r>
    </w:p>
    <w:p>
      <w:pPr>
        <w:pStyle w:val="19"/>
        <w:rPr>
          <w:rFonts w:hint="eastAsia"/>
        </w:rPr>
      </w:pPr>
      <w:r>
        <w:rPr>
          <w:rFonts w:hint="eastAsia"/>
        </w:rPr>
        <w:t>  本基金本报告期未发生会计政策变更。</w:t>
      </w:r>
    </w:p>
    <w:p>
      <w:pPr>
        <w:widowControl/>
        <w:jc w:val="left"/>
        <w:rPr>
          <w:rFonts w:hint="eastAsia" w:ascii="宋体" w:hAnsi="宋体" w:cs="宋体"/>
          <w:kern w:val="0"/>
          <w:sz w:val="24"/>
          <w:szCs w:val="24"/>
        </w:rPr>
      </w:pPr>
    </w:p>
    <w:p>
      <w:pPr>
        <w:pStyle w:val="14"/>
        <w:rPr>
          <w:rFonts w:hint="eastAsia"/>
        </w:rPr>
      </w:pPr>
      <w:r>
        <w:rPr>
          <w:rFonts w:hint="eastAsia"/>
          <w:b/>
          <w:bCs/>
        </w:rPr>
        <w:t>7.4.5.2 会计估计变更的说明</w:t>
      </w:r>
    </w:p>
    <w:p>
      <w:pPr>
        <w:pStyle w:val="19"/>
        <w:rPr>
          <w:rFonts w:hint="eastAsia"/>
        </w:rPr>
      </w:pPr>
      <w:r>
        <w:rPr>
          <w:rFonts w:hint="eastAsia"/>
        </w:rPr>
        <w:t>  本基金本报告期未发生会计估计变更。</w:t>
      </w:r>
    </w:p>
    <w:p>
      <w:pPr>
        <w:widowControl/>
        <w:jc w:val="left"/>
        <w:rPr>
          <w:rFonts w:hint="eastAsia" w:ascii="宋体" w:hAnsi="宋体" w:cs="宋体"/>
          <w:kern w:val="0"/>
          <w:sz w:val="24"/>
          <w:szCs w:val="24"/>
        </w:rPr>
      </w:pPr>
    </w:p>
    <w:p>
      <w:pPr>
        <w:pStyle w:val="14"/>
        <w:rPr>
          <w:rFonts w:hint="eastAsia"/>
        </w:rPr>
      </w:pPr>
      <w:r>
        <w:rPr>
          <w:rFonts w:hint="eastAsia"/>
          <w:b/>
          <w:bCs/>
        </w:rPr>
        <w:t>7.4.5.3 差错更正的说明</w:t>
      </w:r>
    </w:p>
    <w:p>
      <w:pPr>
        <w:pStyle w:val="19"/>
        <w:rPr>
          <w:rFonts w:hint="eastAsia"/>
        </w:rPr>
      </w:pPr>
      <w:r>
        <w:rPr>
          <w:rFonts w:hint="eastAsia"/>
        </w:rPr>
        <w:t>  本基金在本报告期间无须说明的会计差错更正。</w:t>
      </w:r>
    </w:p>
    <w:p>
      <w:pPr>
        <w:widowControl/>
        <w:jc w:val="left"/>
        <w:rPr>
          <w:rFonts w:hint="eastAsia" w:ascii="宋体" w:hAnsi="宋体" w:cs="宋体"/>
          <w:kern w:val="0"/>
          <w:sz w:val="24"/>
          <w:szCs w:val="24"/>
        </w:rPr>
      </w:pPr>
    </w:p>
    <w:p>
      <w:pPr>
        <w:pStyle w:val="14"/>
        <w:rPr>
          <w:rFonts w:hint="eastAsia"/>
        </w:rPr>
      </w:pPr>
      <w:r>
        <w:rPr>
          <w:rFonts w:hint="eastAsia"/>
          <w:b/>
          <w:bCs/>
        </w:rPr>
        <w:t>7.4.6 税项</w:t>
      </w:r>
    </w:p>
    <w:p>
      <w:pPr>
        <w:pStyle w:val="19"/>
        <w:rPr>
          <w:rFonts w:hint="eastAsia"/>
        </w:rPr>
      </w:pPr>
      <w:r>
        <w:rPr>
          <w:rFonts w:hint="eastAsia"/>
        </w:rPr>
        <w:t>  根据财政部、国家税务总局财税[2004]78号《财政部、国家税务总局关于证券投资基金税收政策的通知》、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及其他相关财税法规和实务操作，主要税项列示如下：</w:t>
      </w:r>
      <w:r>
        <w:rPr>
          <w:rFonts w:hint="eastAsia"/>
        </w:rPr>
        <w:br w:type="textWrapping"/>
      </w:r>
      <w:r>
        <w:rPr>
          <w:rFonts w:hint="eastAsia"/>
        </w:rPr>
        <w:t>  (1)于2016年5月1日前，以发行基金方式募集资金不属于营业税征收范围，不征收营业税。对证券投资基金管理人运用基金买卖股票、债券的差价收入免征营业税。自2016年5月1日起，金融业由缴纳营业税改为缴纳增值税。对证券投资基金管理人运用基金买卖股票、债券的转让收入免征增值税，对国债、地方政府债以及金融同业往来利息收入亦免征增值税。</w:t>
      </w:r>
      <w:r>
        <w:rPr>
          <w:rFonts w:hint="eastAsia"/>
        </w:rPr>
        <w:br w:type="textWrapping"/>
      </w:r>
      <w:r>
        <w:rPr>
          <w:rFonts w:hint="eastAsia"/>
        </w:rPr>
        <w:t>  (2)对基金从证券市场中取得的收入，包括买卖股票、债券的差价收入，股票的股息、红利收入，债券的利息收入及其他收入，暂不征收企业所得税。</w:t>
      </w:r>
      <w:r>
        <w:rPr>
          <w:rFonts w:hint="eastAsia"/>
        </w:rPr>
        <w:br w:type="textWrapping"/>
      </w:r>
      <w:r>
        <w:rPr>
          <w:rFonts w:hint="eastAsia"/>
        </w:rPr>
        <w:t>  (3)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r>
        <w:rPr>
          <w:rFonts w:hint="eastAsia"/>
        </w:rPr>
        <w:br w:type="textWrapping"/>
      </w:r>
      <w:r>
        <w:rPr>
          <w:rFonts w:hint="eastAsia"/>
        </w:rPr>
        <w:t>  (4)基金卖出股票按0.1%的税率缴纳股票交易印花税，买入股票不征收股票交易印花税。</w:t>
      </w:r>
    </w:p>
    <w:p>
      <w:pPr>
        <w:widowControl/>
        <w:jc w:val="left"/>
        <w:rPr>
          <w:rFonts w:hint="eastAsia" w:ascii="宋体" w:hAnsi="宋体" w:cs="宋体"/>
          <w:kern w:val="0"/>
          <w:sz w:val="24"/>
          <w:szCs w:val="24"/>
        </w:rPr>
      </w:pPr>
    </w:p>
    <w:p>
      <w:pPr>
        <w:pStyle w:val="14"/>
        <w:rPr>
          <w:rFonts w:hint="eastAsia"/>
        </w:rPr>
      </w:pPr>
      <w:r>
        <w:rPr>
          <w:rFonts w:hint="eastAsia"/>
          <w:b/>
          <w:bCs/>
        </w:rPr>
        <w:t>7.4.7 重要财务报表项目的说明</w:t>
      </w:r>
    </w:p>
    <w:p>
      <w:pPr>
        <w:pStyle w:val="14"/>
        <w:rPr>
          <w:rFonts w:hint="eastAsia"/>
        </w:rPr>
      </w:pPr>
      <w:r>
        <w:rPr>
          <w:rFonts w:hint="eastAsia"/>
          <w:b/>
          <w:bCs/>
        </w:rPr>
        <w:t>7.4.7.1 银行存款</w:t>
      </w:r>
    </w:p>
    <w:p>
      <w:pPr>
        <w:widowControl/>
        <w:jc w:val="left"/>
        <w:rPr>
          <w:rFonts w:hint="eastAsia" w:ascii="宋体" w:hAnsi="宋体" w:cs="宋体"/>
          <w:kern w:val="0"/>
          <w:sz w:val="24"/>
          <w:szCs w:val="24"/>
        </w:rPr>
      </w:pP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项目</w:t>
            </w:r>
          </w:p>
        </w:tc>
        <w:tc>
          <w:tcPr>
            <w:tcW w:w="3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w:t>
            </w:r>
          </w:p>
          <w:p>
            <w:pPr>
              <w:pStyle w:val="17"/>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61,590,100.75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61,590,100.75</w:t>
            </w:r>
          </w:p>
        </w:tc>
      </w:tr>
    </w:tbl>
    <w:p>
      <w:pPr>
        <w:widowControl/>
        <w:jc w:val="left"/>
        <w:rPr>
          <w:rFonts w:hint="eastAsia" w:ascii="宋体" w:hAnsi="宋体" w:cs="宋体"/>
          <w:kern w:val="0"/>
          <w:sz w:val="24"/>
          <w:szCs w:val="24"/>
        </w:rPr>
      </w:pPr>
    </w:p>
    <w:p>
      <w:pPr>
        <w:pStyle w:val="14"/>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121,650,447.36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117,591,348.03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-4,059,099.33</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121,650,447.36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117,591,348.03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-4,059,099.33</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7.4.7.3 衍生金融资产/负债</w:t>
      </w:r>
    </w:p>
    <w:p>
      <w:pPr>
        <w:pStyle w:val="19"/>
        <w:rPr>
          <w:rFonts w:hint="eastAsia"/>
        </w:rPr>
      </w:pPr>
      <w:r>
        <w:rPr>
          <w:rFonts w:hint="eastAsia"/>
        </w:rPr>
        <w:t>本基金于本报告期末未持有衍生金融资产/负债。</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7.4.7.4 买入返售金融资产</w:t>
      </w:r>
    </w:p>
    <w:p>
      <w:pPr>
        <w:pStyle w:val="14"/>
        <w:rPr>
          <w:rFonts w:hint="eastAsia"/>
        </w:rPr>
      </w:pPr>
      <w:r>
        <w:rPr>
          <w:rFonts w:hint="eastAsia"/>
          <w:b/>
          <w:bCs/>
        </w:rPr>
        <w:t>7.4.7.4.1 各项买入返售金融资产期末余额</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875"/>
        <w:gridCol w:w="3185"/>
        <w:gridCol w:w="3985"/>
      </w:tblGrid>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7.4.7.4.2 期末买断式逆回购交易中取得的债券</w:t>
      </w:r>
    </w:p>
    <w:p>
      <w:pPr>
        <w:pStyle w:val="19"/>
        <w:rPr>
          <w:rFonts w:hint="eastAsia"/>
        </w:rPr>
      </w:pPr>
      <w:r>
        <w:rPr>
          <w:rFonts w:hint="eastAsia"/>
        </w:rPr>
        <w:t>本基金本报告期末未持有买断式逆回购交易中取得的债券。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7.4.7.5 应收利息</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12,191.24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26,875.64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-192,350.14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-153,271.05</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p>
    <w:p>
      <w:pPr>
        <w:pStyle w:val="14"/>
        <w:rPr>
          <w:rFonts w:hint="eastAsia"/>
        </w:rPr>
      </w:pPr>
      <w:r>
        <w:rPr>
          <w:rFonts w:hint="eastAsia"/>
          <w:b/>
          <w:bCs/>
        </w:rPr>
        <w:t>7.4.7.6 其他资产</w:t>
      </w:r>
    </w:p>
    <w:p>
      <w:pPr>
        <w:pStyle w:val="19"/>
        <w:rPr>
          <w:rFonts w:hint="eastAsia"/>
        </w:rPr>
      </w:pPr>
      <w:r>
        <w:rPr>
          <w:rFonts w:hint="eastAsia"/>
        </w:rPr>
        <w:t>本基金本报告期末未持有其他资产。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7.4.7.7 应付交易费用</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579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77,536.54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77,536.54</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7.4.7.8 其他负债</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1,563.55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136,563.55</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7.4.7.9 实收基金</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项目</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本期2017年09月27日</w:t>
            </w:r>
            <w:r>
              <w:rPr>
                <w:rStyle w:val="27"/>
                <w:rFonts w:hint="eastAsia"/>
              </w:rPr>
              <w:t>（基金合同生效日）</w:t>
            </w:r>
            <w:r>
              <w:rPr>
                <w:rFonts w:hint="eastAsia"/>
              </w:rPr>
              <w:t>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822,948,446.55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822,948,446.55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1,981,569.92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1,981,569.92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-193,551,406.36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-193,551,406.36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631,378,610.11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631,378,610.11</w:t>
            </w:r>
          </w:p>
        </w:tc>
      </w:tr>
    </w:tbl>
    <w:p>
      <w:pPr>
        <w:pStyle w:val="19"/>
        <w:rPr>
          <w:rFonts w:hint="eastAsia"/>
        </w:rPr>
      </w:pPr>
      <w:r>
        <w:rPr>
          <w:rFonts w:hint="eastAsia"/>
        </w:rPr>
        <w:t>注：1. 申购含转换入份额；赎回含转换出份额。</w:t>
      </w:r>
      <w:r>
        <w:rPr>
          <w:rFonts w:hint="eastAsia"/>
        </w:rPr>
        <w:br w:type="textWrapping"/>
      </w:r>
      <w:r>
        <w:rPr>
          <w:rFonts w:hint="eastAsia"/>
        </w:rPr>
        <w:t>2. 本基金自2017年8月25日至2017年9月21日止期间公开发售，共募集有效净认购资金人民币822,731,554.84元。根据《创金合信优选回报灵活配置混合型证券投资基金基金合同》的规定，本基金设立募集期内认购资金产生的利息收入人民币216,891.71元在本基金成立后，折算为216,891.71份基金份额，划入基金份额持有人账户。</w:t>
      </w:r>
    </w:p>
    <w:p>
      <w:pPr>
        <w:widowControl/>
        <w:jc w:val="left"/>
        <w:rPr>
          <w:rFonts w:hint="eastAsia" w:ascii="宋体" w:hAnsi="宋体" w:cs="宋体"/>
          <w:kern w:val="0"/>
          <w:sz w:val="24"/>
          <w:szCs w:val="24"/>
        </w:rPr>
      </w:pPr>
    </w:p>
    <w:p>
      <w:pPr>
        <w:pStyle w:val="14"/>
        <w:rPr>
          <w:rFonts w:hint="eastAsia"/>
        </w:rPr>
      </w:pPr>
      <w:r>
        <w:rPr>
          <w:rFonts w:hint="eastAsia"/>
          <w:b/>
          <w:bCs/>
        </w:rPr>
        <w:t>7.4.7.10 未分配利润</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项目</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5,191,063.39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-4,059,099.33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1,131,964.06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-633,341.11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441,572.30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-191,768.81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7,443.21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-4,758.68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2,684.53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-640,784.32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446,330.98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-194,453.34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4,557,722.28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-3,617,527.03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940,195.25</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本期2017年09月27日（基金合同生效日）至2017年12月31日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177,328.70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132,838.09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41.60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310,208.39</w:t>
            </w:r>
          </w:p>
        </w:tc>
      </w:tr>
    </w:tbl>
    <w:p>
      <w:pPr>
        <w:widowControl/>
        <w:jc w:val="left"/>
        <w:rPr>
          <w:rFonts w:hint="eastAsia" w:ascii="宋体" w:hAnsi="宋体" w:cs="宋体"/>
          <w:kern w:val="0"/>
          <w:sz w:val="24"/>
          <w:szCs w:val="24"/>
        </w:rPr>
      </w:pPr>
    </w:p>
    <w:p>
      <w:pPr>
        <w:pStyle w:val="14"/>
        <w:rPr>
          <w:rFonts w:hint="eastAsia"/>
        </w:rPr>
      </w:pPr>
      <w:r>
        <w:rPr>
          <w:rFonts w:hint="eastAsia"/>
          <w:b/>
          <w:bCs/>
        </w:rPr>
        <w:t>7.4.7.12 股票投资收益</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2017年09月27日（基金合同生效日）至2017年12月31日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8,039,846.27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7,205,101.04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834,745.23</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7.4.7.13 债券投资收益</w:t>
      </w:r>
    </w:p>
    <w:p>
      <w:pPr>
        <w:pStyle w:val="14"/>
        <w:rPr>
          <w:rFonts w:hint="eastAsia"/>
        </w:rPr>
      </w:pPr>
      <w:r>
        <w:rPr>
          <w:rFonts w:hint="eastAsia"/>
          <w:b/>
          <w:bCs/>
        </w:rPr>
        <w:t>7.4.7.13.1 债券投资收益项目构成</w:t>
      </w:r>
    </w:p>
    <w:p>
      <w:pPr>
        <w:pStyle w:val="19"/>
        <w:rPr>
          <w:rFonts w:hint="eastAsia"/>
        </w:rPr>
      </w:pPr>
      <w:r>
        <w:rPr>
          <w:rFonts w:hint="eastAsia"/>
        </w:rPr>
        <w:t>本基金本报告期内无债券投资收益。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7.4.7.14 衍生工具收益</w:t>
      </w:r>
    </w:p>
    <w:p>
      <w:pPr>
        <w:pStyle w:val="14"/>
        <w:rPr>
          <w:rFonts w:hint="eastAsia"/>
        </w:rPr>
      </w:pPr>
      <w:r>
        <w:rPr>
          <w:rFonts w:hint="eastAsia"/>
          <w:b/>
          <w:bCs/>
        </w:rPr>
        <w:t>7.4.7.14.1 衍生工具收益——买卖权证差价收入</w:t>
      </w:r>
    </w:p>
    <w:p>
      <w:pPr>
        <w:pStyle w:val="19"/>
        <w:rPr>
          <w:rFonts w:hint="eastAsia"/>
        </w:rPr>
      </w:pPr>
      <w:r>
        <w:rPr>
          <w:rFonts w:hint="eastAsia"/>
        </w:rPr>
        <w:t>本基金于本报告期无衍生工具收益。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7.4.7.15 公允价值变动收益</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2017年09月27日（基金合同生效日）至2017年12月31日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-4,059,099.33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-4,059,099.33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-4,059,099.33</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7.4.7.16 其他收入</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2017年09月27日（基金合同生效日）至2017年12月31日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719,694.10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基金转换费收入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727.39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720,421.49</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7.4.7.17 交易费用</w:t>
      </w:r>
    </w:p>
    <w:p>
      <w:pPr>
        <w:pStyle w:val="18"/>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2017年09月27日（基金合同生效日）至2017年12月31日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99,277.73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99,277.73</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7.4.7.18 其他费用</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2017年09月27日（基金合同生效日）至2017年12月31日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135,440.00</w:t>
            </w:r>
          </w:p>
        </w:tc>
      </w:tr>
    </w:tbl>
    <w:p>
      <w:pPr>
        <w:widowControl/>
        <w:jc w:val="left"/>
        <w:rPr>
          <w:rFonts w:hint="eastAsia" w:ascii="宋体" w:hAnsi="宋体" w:cs="宋体"/>
          <w:kern w:val="0"/>
          <w:sz w:val="24"/>
          <w:szCs w:val="24"/>
        </w:rPr>
      </w:pPr>
    </w:p>
    <w:p>
      <w:pPr>
        <w:pStyle w:val="14"/>
        <w:rPr>
          <w:rFonts w:hint="eastAsia"/>
        </w:rPr>
      </w:pPr>
      <w:r>
        <w:rPr>
          <w:rFonts w:hint="eastAsia"/>
          <w:b/>
          <w:bCs/>
        </w:rPr>
        <w:t>7.4.8 或有事项、资产负债表日后事项的说明</w:t>
      </w:r>
    </w:p>
    <w:p>
      <w:pPr>
        <w:pStyle w:val="14"/>
        <w:rPr>
          <w:rFonts w:hint="eastAsia"/>
        </w:rPr>
      </w:pPr>
      <w:r>
        <w:rPr>
          <w:rFonts w:hint="eastAsia"/>
          <w:b/>
          <w:bCs/>
        </w:rPr>
        <w:t>7.4.8.1 或有事项</w:t>
      </w:r>
    </w:p>
    <w:p>
      <w:pPr>
        <w:pStyle w:val="19"/>
        <w:rPr>
          <w:rFonts w:hint="eastAsia"/>
        </w:rPr>
      </w:pPr>
      <w:r>
        <w:rPr>
          <w:rFonts w:hint="eastAsia"/>
        </w:rPr>
        <w:t>  截至资产负债表日，本基金无须作披露的或有事项。</w:t>
      </w:r>
    </w:p>
    <w:p>
      <w:pPr>
        <w:widowControl/>
        <w:jc w:val="left"/>
        <w:rPr>
          <w:rFonts w:hint="eastAsia" w:ascii="宋体" w:hAnsi="宋体" w:cs="宋体"/>
          <w:kern w:val="0"/>
          <w:sz w:val="24"/>
          <w:szCs w:val="24"/>
        </w:rPr>
      </w:pPr>
    </w:p>
    <w:p>
      <w:pPr>
        <w:pStyle w:val="14"/>
        <w:rPr>
          <w:rFonts w:hint="eastAsia"/>
        </w:rPr>
      </w:pPr>
      <w:r>
        <w:rPr>
          <w:rFonts w:hint="eastAsia"/>
          <w:b/>
          <w:bCs/>
        </w:rPr>
        <w:t>7.4.8.2 资产负债表日后事项</w:t>
      </w:r>
    </w:p>
    <w:p>
      <w:pPr>
        <w:pStyle w:val="19"/>
        <w:rPr>
          <w:rFonts w:hint="eastAsia"/>
        </w:rPr>
      </w:pPr>
      <w:r>
        <w:rPr>
          <w:rFonts w:hint="eastAsia"/>
        </w:rPr>
        <w:t>  截至本财务报表批准报出日，本基金无须作披露的资产负债表日后事项。</w:t>
      </w:r>
    </w:p>
    <w:p>
      <w:pPr>
        <w:widowControl/>
        <w:jc w:val="left"/>
        <w:rPr>
          <w:rFonts w:hint="eastAsia" w:ascii="宋体" w:hAnsi="宋体" w:cs="宋体"/>
          <w:kern w:val="0"/>
          <w:sz w:val="24"/>
          <w:szCs w:val="24"/>
        </w:rPr>
      </w:pPr>
    </w:p>
    <w:p>
      <w:pPr>
        <w:pStyle w:val="14"/>
        <w:rPr>
          <w:rFonts w:hint="eastAsia"/>
        </w:rPr>
      </w:pPr>
      <w:r>
        <w:rPr>
          <w:rFonts w:hint="eastAsia"/>
          <w:b/>
          <w:bCs/>
        </w:rPr>
        <w:t>7.4.9 关联方关系</w:t>
      </w:r>
    </w:p>
    <w:p>
      <w:pPr>
        <w:pStyle w:val="19"/>
        <w:rPr>
          <w:rFonts w:hint="eastAsia"/>
        </w:rPr>
      </w:pPr>
      <w:r>
        <w:rPr>
          <w:rFonts w:hint="eastAsia"/>
        </w:rPr>
        <w:t>  本报告期不存在重大关联方发生变化的情况。</w:t>
      </w:r>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4821"/>
        <w:gridCol w:w="4377"/>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中国工商银行股份有限公司(“工商银行”)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基金托管人、基金代销机构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基金管理人的股东</w:t>
            </w:r>
          </w:p>
        </w:tc>
      </w:tr>
    </w:tbl>
    <w:p>
      <w:pPr>
        <w:widowControl/>
        <w:jc w:val="left"/>
        <w:rPr>
          <w:rFonts w:hint="eastAsia" w:ascii="宋体" w:hAnsi="宋体" w:cs="宋体"/>
          <w:kern w:val="0"/>
          <w:sz w:val="24"/>
          <w:szCs w:val="24"/>
        </w:rPr>
      </w:pPr>
    </w:p>
    <w:p>
      <w:pPr>
        <w:pStyle w:val="14"/>
        <w:rPr>
          <w:rFonts w:hint="eastAsia"/>
        </w:rPr>
      </w:pPr>
      <w:r>
        <w:rPr>
          <w:rFonts w:hint="eastAsia"/>
          <w:b/>
          <w:bCs/>
        </w:rPr>
        <w:t>7.4.10 本报告期及上年度可比期间的关联方交易</w:t>
      </w:r>
    </w:p>
    <w:p>
      <w:pPr>
        <w:pStyle w:val="14"/>
        <w:rPr>
          <w:rFonts w:hint="eastAsia"/>
        </w:rPr>
      </w:pPr>
      <w:r>
        <w:rPr>
          <w:rFonts w:hint="eastAsia"/>
          <w:b/>
          <w:bCs/>
        </w:rPr>
        <w:t>7.4.10.1 通过关联方交易单元进行的交易</w:t>
      </w:r>
    </w:p>
    <w:p>
      <w:pPr>
        <w:pStyle w:val="14"/>
        <w:rPr>
          <w:rFonts w:hint="eastAsia"/>
        </w:rPr>
      </w:pPr>
      <w:r>
        <w:rPr>
          <w:rFonts w:hint="eastAsia"/>
          <w:b/>
          <w:bCs/>
        </w:rPr>
        <w:t>7.4.10.1.1 股票交易</w:t>
      </w:r>
    </w:p>
    <w:p>
      <w:pPr>
        <w:pStyle w:val="18"/>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2168"/>
        <w:gridCol w:w="3766"/>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r>
              <w:rPr>
                <w:rStyle w:val="27"/>
                <w:rFonts w:hint="eastAsia"/>
              </w:rPr>
              <w:t>（基金合同生效日）</w:t>
            </w:r>
            <w:r>
              <w:rPr>
                <w:rFonts w:hint="eastAsia"/>
              </w:rPr>
              <w:br w:type="textWrapping"/>
            </w:r>
            <w:r>
              <w:rPr>
                <w:rFonts w:hint="eastAsia"/>
              </w:rPr>
              <w:t>2017年09月27日至2017年12月31日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61,587,432.18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45.00%</w:t>
            </w:r>
          </w:p>
        </w:tc>
      </w:tr>
    </w:tbl>
    <w:p>
      <w:pPr>
        <w:widowControl/>
        <w:jc w:val="left"/>
        <w:rPr>
          <w:rFonts w:hint="eastAsia" w:ascii="宋体" w:hAnsi="宋体" w:cs="宋体"/>
          <w:kern w:val="0"/>
          <w:sz w:val="24"/>
          <w:szCs w:val="24"/>
        </w:rPr>
      </w:pPr>
    </w:p>
    <w:p>
      <w:pPr>
        <w:pStyle w:val="14"/>
        <w:rPr>
          <w:rFonts w:hint="eastAsia"/>
        </w:rPr>
      </w:pPr>
      <w:r>
        <w:rPr>
          <w:rFonts w:hint="eastAsia"/>
          <w:b/>
          <w:bCs/>
        </w:rPr>
        <w:t>7.4.10.1.2 权证交易</w:t>
      </w:r>
    </w:p>
    <w:p>
      <w:pPr>
        <w:pStyle w:val="19"/>
        <w:rPr>
          <w:rFonts w:hint="eastAsia"/>
        </w:rPr>
      </w:pPr>
      <w:r>
        <w:rPr>
          <w:rFonts w:hint="eastAsia"/>
        </w:rPr>
        <w:t>本基金本报告期内无通过关联方交易单元进行的权证交易。</w:t>
      </w:r>
    </w:p>
    <w:p>
      <w:pPr>
        <w:widowControl/>
        <w:jc w:val="left"/>
        <w:rPr>
          <w:rFonts w:hint="eastAsia" w:ascii="宋体" w:hAnsi="宋体" w:cs="宋体"/>
          <w:kern w:val="0"/>
          <w:sz w:val="24"/>
          <w:szCs w:val="24"/>
        </w:rPr>
      </w:pPr>
    </w:p>
    <w:p>
      <w:pPr>
        <w:pStyle w:val="14"/>
        <w:rPr>
          <w:rFonts w:hint="eastAsia"/>
        </w:rPr>
      </w:pPr>
      <w:r>
        <w:rPr>
          <w:rFonts w:hint="eastAsia"/>
          <w:b/>
          <w:bCs/>
        </w:rPr>
        <w:t>7.4.10.1.3 应支付关联方的佣金</w:t>
      </w:r>
    </w:p>
    <w:p>
      <w:pPr>
        <w:pStyle w:val="18"/>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0"/>
        <w:gridCol w:w="936"/>
        <w:gridCol w:w="1666"/>
        <w:gridCol w:w="1401"/>
        <w:gridCol w:w="1932"/>
      </w:tblGrid>
      <w:tr>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r>
              <w:rPr>
                <w:rStyle w:val="27"/>
                <w:rFonts w:hint="eastAsia"/>
              </w:rPr>
              <w:t>（基金合同生效日）</w:t>
            </w:r>
            <w:r>
              <w:rPr>
                <w:rFonts w:hint="eastAsia"/>
              </w:rPr>
              <w:br w:type="textWrapping"/>
            </w:r>
            <w:r>
              <w:rPr>
                <w:rFonts w:hint="eastAsia"/>
              </w:rPr>
              <w:t>2017年09月27日至2017年12月31日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44,878.48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43,316.50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55.87%</w:t>
            </w:r>
          </w:p>
        </w:tc>
      </w:tr>
      <w:tr>
        <w:tblPrEx>
          <w:tblCellMar>
            <w:top w:w="0" w:type="dxa"/>
            <w:left w:w="108" w:type="dxa"/>
            <w:bottom w:w="0" w:type="dxa"/>
            <w:right w:w="108" w:type="dxa"/>
          </w:tblCellMar>
        </w:tblPrEx>
        <w:trPr>
          <w:wBefore w:w="0" w:type="auto"/>
        </w:trPr>
        <w:tc>
          <w:tcPr>
            <w:tcW w:w="0" w:type="auto"/>
            <w:gridSpan w:val="5"/>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widowControl/>
        <w:jc w:val="left"/>
        <w:rPr>
          <w:rFonts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r>
        <w:rPr>
          <w:rFonts w:hint="eastAsia"/>
          <w:b/>
          <w:bCs/>
        </w:rPr>
        <w:t>7.4.10.1.4 债券回购交易</w:t>
      </w:r>
    </w:p>
    <w:p>
      <w:pPr>
        <w:pStyle w:val="18"/>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2300"/>
        <w:gridCol w:w="3634"/>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r>
              <w:rPr>
                <w:rFonts w:hint="eastAsia"/>
              </w:rPr>
              <w:br w:type="textWrapping"/>
            </w:r>
            <w:r>
              <w:rPr>
                <w:rFonts w:hint="eastAsia"/>
              </w:rPr>
              <w:t>2017年09月27日</w:t>
            </w:r>
            <w:r>
              <w:rPr>
                <w:rStyle w:val="27"/>
                <w:rFonts w:hint="eastAsia"/>
              </w:rPr>
              <w:t>（基金合同生效日）</w:t>
            </w:r>
            <w:r>
              <w:rPr>
                <w:rFonts w:hint="eastAsia"/>
              </w:rPr>
              <w:t>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13,624,000,000.00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47.05%</w:t>
            </w:r>
          </w:p>
        </w:tc>
      </w:tr>
    </w:tbl>
    <w:p>
      <w:pPr>
        <w:widowControl/>
        <w:jc w:val="left"/>
        <w:rPr>
          <w:rFonts w:hint="eastAsia" w:ascii="宋体" w:hAnsi="宋体" w:cs="宋体"/>
          <w:kern w:val="0"/>
          <w:sz w:val="24"/>
          <w:szCs w:val="24"/>
        </w:rPr>
      </w:pPr>
    </w:p>
    <w:p>
      <w:pPr>
        <w:pStyle w:val="14"/>
        <w:rPr>
          <w:rFonts w:hint="eastAsia"/>
        </w:rPr>
      </w:pPr>
      <w:r>
        <w:rPr>
          <w:rFonts w:hint="eastAsia"/>
          <w:b/>
          <w:bCs/>
        </w:rPr>
        <w:t>7.4.10.2 关联方报酬</w:t>
      </w:r>
    </w:p>
    <w:p>
      <w:pPr>
        <w:pStyle w:val="14"/>
        <w:rPr>
          <w:rFonts w:hint="eastAsia"/>
        </w:rPr>
      </w:pPr>
      <w:r>
        <w:rPr>
          <w:rFonts w:hint="eastAsia"/>
          <w:b/>
          <w:bCs/>
        </w:rPr>
        <w:t>7.4.10.2.1 基金管理费</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2017年09月27日（基金合同生效日）至2017年12月31日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2,835,324.31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1,502,637.27</w:t>
            </w:r>
          </w:p>
        </w:tc>
      </w:tr>
    </w:tbl>
    <w:p>
      <w:pPr>
        <w:pStyle w:val="19"/>
        <w:rPr>
          <w:rFonts w:hint="eastAsia"/>
        </w:rPr>
      </w:pPr>
      <w:r>
        <w:rPr>
          <w:rFonts w:hint="eastAsia"/>
        </w:rPr>
        <w:t>注:本基金的管理费按前一日基金资产净值的1.50%年费率计提。管理费的计算方法如下：</w:t>
      </w:r>
      <w:r>
        <w:rPr>
          <w:rFonts w:hint="eastAsia"/>
        </w:rPr>
        <w:br w:type="textWrapping"/>
      </w:r>
      <w:r>
        <w:rPr>
          <w:rFonts w:hint="eastAsia"/>
        </w:rPr>
        <w:t>H＝E×1.50%÷当年天数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由基金管理人向基金托管人发送基金管理费划款指令，基金托管人复核后于次月前3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4"/>
        <w:rPr>
          <w:rFonts w:hint="eastAsia"/>
        </w:rPr>
      </w:pPr>
      <w:r>
        <w:rPr>
          <w:rFonts w:hint="eastAsia"/>
          <w:b/>
          <w:bCs/>
        </w:rPr>
        <w:t>7.4.10.2.2 基金托管费</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545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2017年09月27日（基金合同生效日）至2017年12月31日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472,554.06</w:t>
            </w:r>
          </w:p>
        </w:tc>
      </w:tr>
    </w:tbl>
    <w:p>
      <w:pPr>
        <w:pStyle w:val="19"/>
        <w:rPr>
          <w:rFonts w:hint="eastAsia"/>
        </w:rPr>
      </w:pPr>
      <w:r>
        <w:rPr>
          <w:rFonts w:hint="eastAsia"/>
        </w:rPr>
        <w:t>注:本基金的托管费按前一日基金资产净值的0.25%的年费率计提。托管费的计算方法如下：</w:t>
      </w:r>
      <w:r>
        <w:rPr>
          <w:rFonts w:hint="eastAsia"/>
        </w:rPr>
        <w:br w:type="textWrapping"/>
      </w:r>
      <w:r>
        <w:rPr>
          <w:rFonts w:hint="eastAsia"/>
        </w:rPr>
        <w:t>H＝E×0.25%÷当年天数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由基金管理人向基金托管人发送基金托管费划款指令，基金托管人复核后于次月前3个工作日内从基金财产中一次性支取。若遇法定节假日、公休日等，支付日期顺延。</w:t>
      </w:r>
    </w:p>
    <w:p>
      <w:pPr>
        <w:widowControl/>
        <w:jc w:val="left"/>
        <w:rPr>
          <w:rFonts w:hint="eastAsia" w:ascii="宋体" w:hAnsi="宋体" w:cs="宋体"/>
          <w:kern w:val="0"/>
          <w:sz w:val="24"/>
          <w:szCs w:val="24"/>
        </w:rPr>
      </w:pPr>
    </w:p>
    <w:p>
      <w:pPr>
        <w:pStyle w:val="14"/>
        <w:rPr>
          <w:rFonts w:hint="eastAsia"/>
        </w:rPr>
      </w:pPr>
      <w:r>
        <w:rPr>
          <w:rFonts w:hint="eastAsia"/>
          <w:b/>
          <w:bCs/>
        </w:rPr>
        <w:t>7.4.10.3 与关联方进行银行间同业市场的债券(含回购)交易</w:t>
      </w:r>
    </w:p>
    <w:p>
      <w:pPr>
        <w:pStyle w:val="19"/>
        <w:rPr>
          <w:rFonts w:hint="eastAsia"/>
        </w:rPr>
      </w:pPr>
      <w:r>
        <w:rPr>
          <w:rFonts w:hint="eastAsia"/>
        </w:rPr>
        <w:t>本基金本报告期及上年度可比期间均未与关联方进行银行间同业市场的债券（含回购）交易。</w:t>
      </w:r>
    </w:p>
    <w:p>
      <w:pPr>
        <w:widowControl/>
        <w:jc w:val="left"/>
        <w:rPr>
          <w:rFonts w:hint="eastAsia" w:ascii="宋体" w:hAnsi="宋体" w:cs="宋体"/>
          <w:kern w:val="0"/>
          <w:sz w:val="24"/>
          <w:szCs w:val="24"/>
        </w:rPr>
      </w:pPr>
    </w:p>
    <w:p>
      <w:pPr>
        <w:pStyle w:val="14"/>
        <w:rPr>
          <w:rFonts w:hint="eastAsia"/>
        </w:rPr>
      </w:pPr>
      <w:r>
        <w:rPr>
          <w:rFonts w:hint="eastAsia"/>
          <w:b/>
          <w:bCs/>
        </w:rPr>
        <w:t>7.4.10.4 各关联方投资本基金的情况</w:t>
      </w:r>
    </w:p>
    <w:p>
      <w:pPr>
        <w:pStyle w:val="14"/>
        <w:rPr>
          <w:rFonts w:hint="eastAsia"/>
        </w:rPr>
      </w:pPr>
      <w:r>
        <w:rPr>
          <w:rFonts w:hint="eastAsia"/>
          <w:b/>
          <w:bCs/>
        </w:rPr>
        <w:t>7.4.10.4.1 报告期内基金管理人运用固有资金投资本基金的情况</w:t>
      </w:r>
    </w:p>
    <w:p>
      <w:pPr>
        <w:pStyle w:val="19"/>
        <w:rPr>
          <w:rFonts w:hint="eastAsia"/>
        </w:rPr>
      </w:pPr>
      <w:r>
        <w:rPr>
          <w:rFonts w:hint="eastAsia"/>
        </w:rPr>
        <w:t>本报告期内无基金管理人运用固有资金投资本基金的情况。</w:t>
      </w:r>
    </w:p>
    <w:p>
      <w:pPr>
        <w:widowControl/>
        <w:jc w:val="left"/>
        <w:rPr>
          <w:rFonts w:hint="eastAsia" w:ascii="宋体" w:hAnsi="宋体" w:cs="宋体"/>
          <w:kern w:val="0"/>
          <w:sz w:val="24"/>
          <w:szCs w:val="24"/>
        </w:rPr>
      </w:pPr>
    </w:p>
    <w:p>
      <w:pPr>
        <w:pStyle w:val="14"/>
        <w:rPr>
          <w:rFonts w:hint="eastAsia"/>
        </w:rPr>
      </w:pPr>
      <w:r>
        <w:rPr>
          <w:rFonts w:hint="eastAsia"/>
          <w:b/>
          <w:bCs/>
        </w:rPr>
        <w:t>7.4.10.4.2 报告期末除基金管理人之外的其他关联方投资本基金的情况</w:t>
      </w:r>
    </w:p>
    <w:p>
      <w:pPr>
        <w:pStyle w:val="19"/>
        <w:rPr>
          <w:rFonts w:hint="eastAsia"/>
        </w:rPr>
      </w:pPr>
      <w:r>
        <w:rPr>
          <w:rFonts w:hint="eastAsia"/>
        </w:rPr>
        <w:t>本报告期末无除基金管理人之外的其他关联方投资本基金的情况。</w:t>
      </w:r>
    </w:p>
    <w:p>
      <w:pPr>
        <w:widowControl/>
        <w:jc w:val="left"/>
        <w:rPr>
          <w:rFonts w:hint="eastAsia" w:ascii="宋体" w:hAnsi="宋体" w:cs="宋体"/>
          <w:kern w:val="0"/>
          <w:sz w:val="24"/>
          <w:szCs w:val="24"/>
        </w:rPr>
      </w:pPr>
    </w:p>
    <w:p>
      <w:pPr>
        <w:pStyle w:val="14"/>
        <w:rPr>
          <w:rFonts w:hint="eastAsia"/>
        </w:rPr>
      </w:pPr>
      <w:r>
        <w:rPr>
          <w:rFonts w:hint="eastAsia"/>
          <w:b/>
          <w:bCs/>
        </w:rPr>
        <w:t>7.4.10.5 由关联方保管的银行存款余额及当期产生的利息收入</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11"/>
        <w:gridCol w:w="3069"/>
        <w:gridCol w:w="2865"/>
      </w:tblGrid>
      <w:tr>
        <w:tblPrEx>
          <w:tblCellMar>
            <w:top w:w="0" w:type="dxa"/>
            <w:left w:w="108" w:type="dxa"/>
            <w:bottom w:w="0" w:type="dxa"/>
            <w:right w:w="108" w:type="dxa"/>
          </w:tblCellMar>
        </w:tblPrEx>
        <w:trPr>
          <w:wBefore w:w="0" w:type="auto"/>
        </w:trPr>
        <w:tc>
          <w:tcPr>
            <w:tcW w:w="18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关联方名称</w:t>
            </w:r>
          </w:p>
        </w:tc>
        <w:tc>
          <w:tcPr>
            <w:tcW w:w="360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2017年09月27日（基金合同生效日）至2017年12月31日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中国工商银行股份有限公司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61,590,100.75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177,328.70</w:t>
            </w:r>
          </w:p>
        </w:tc>
      </w:tr>
    </w:tbl>
    <w:p>
      <w:pPr>
        <w:pStyle w:val="19"/>
        <w:rPr>
          <w:rFonts w:hint="eastAsia"/>
        </w:rPr>
      </w:pPr>
      <w:r>
        <w:rPr>
          <w:rFonts w:hint="eastAsia"/>
        </w:rPr>
        <w:t>注：本基金的银行存款由基金托管人中国工商银行保管，按金融机构同业存款利率计息。</w:t>
      </w:r>
    </w:p>
    <w:p>
      <w:pPr>
        <w:pStyle w:val="14"/>
        <w:rPr>
          <w:rFonts w:hint="eastAsia"/>
        </w:rPr>
      </w:pPr>
      <w:r>
        <w:rPr>
          <w:rFonts w:hint="eastAsia"/>
          <w:b/>
          <w:bCs/>
        </w:rPr>
        <w:t>7.4.10.6 本基金在承销期内参与关联方承销证券的情况</w:t>
      </w:r>
    </w:p>
    <w:p>
      <w:pPr>
        <w:pStyle w:val="19"/>
        <w:rPr>
          <w:rFonts w:hint="eastAsia"/>
        </w:rPr>
      </w:pPr>
      <w:r>
        <w:rPr>
          <w:rFonts w:hint="eastAsia"/>
        </w:rPr>
        <w:t>本基金本报告期及上年度可比期间均未在承销期内参与关联方承销证券。</w:t>
      </w:r>
    </w:p>
    <w:p>
      <w:pPr>
        <w:pStyle w:val="14"/>
        <w:rPr>
          <w:rFonts w:hint="eastAsia"/>
        </w:rPr>
      </w:pPr>
      <w:r>
        <w:rPr>
          <w:rFonts w:hint="eastAsia"/>
          <w:b/>
          <w:bCs/>
        </w:rPr>
        <w:t>7.4.10.7 其他关联交易事项的说明</w:t>
      </w:r>
    </w:p>
    <w:p>
      <w:pPr>
        <w:pStyle w:val="19"/>
        <w:rPr>
          <w:rFonts w:hint="eastAsia"/>
        </w:rPr>
      </w:pPr>
      <w:r>
        <w:rPr>
          <w:rFonts w:hint="eastAsia"/>
        </w:rPr>
        <w:t>  本基金本报告期及上年度可比期间无需作说明的其他关联交易事项。</w:t>
      </w:r>
    </w:p>
    <w:p>
      <w:pPr>
        <w:pStyle w:val="14"/>
        <w:rPr>
          <w:rFonts w:hint="eastAsia"/>
        </w:rPr>
      </w:pPr>
      <w:r>
        <w:rPr>
          <w:rFonts w:hint="eastAsia"/>
          <w:b/>
          <w:bCs/>
        </w:rPr>
        <w:t>7.4.11 利润分配情况--非货币市场基金</w:t>
      </w:r>
    </w:p>
    <w:p>
      <w:pPr>
        <w:pStyle w:val="19"/>
        <w:rPr>
          <w:rFonts w:hint="eastAsia"/>
        </w:rPr>
      </w:pPr>
      <w:r>
        <w:rPr>
          <w:rFonts w:hint="eastAsia"/>
        </w:rPr>
        <w:t>本基金本报告期内无利润分配。</w:t>
      </w:r>
    </w:p>
    <w:p>
      <w:pPr>
        <w:pStyle w:val="14"/>
        <w:rPr>
          <w:rFonts w:hint="eastAsia"/>
        </w:rPr>
      </w:pPr>
      <w:r>
        <w:rPr>
          <w:rFonts w:hint="eastAsia"/>
          <w:b/>
          <w:bCs/>
        </w:rPr>
        <w:t>7.4.12 期末（2017年12月31日）本基金持有的流通受限证券</w:t>
      </w:r>
    </w:p>
    <w:p>
      <w:pPr>
        <w:pStyle w:val="14"/>
        <w:rPr>
          <w:rFonts w:hint="eastAsia"/>
        </w:rPr>
      </w:pPr>
      <w:r>
        <w:rPr>
          <w:rFonts w:hint="eastAsia"/>
          <w:b/>
          <w:bCs/>
        </w:rPr>
        <w:t>7.4.12.1 因认购新发/增发证券而于期末持有的流通受限证券</w:t>
      </w:r>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18"/>
        <w:gridCol w:w="818"/>
        <w:gridCol w:w="818"/>
        <w:gridCol w:w="818"/>
        <w:gridCol w:w="819"/>
        <w:gridCol w:w="819"/>
        <w:gridCol w:w="819"/>
        <w:gridCol w:w="1012"/>
        <w:gridCol w:w="819"/>
        <w:gridCol w:w="819"/>
        <w:gridCol w:w="819"/>
      </w:tblGrid>
      <w:tr>
        <w:tblPrEx>
          <w:tblCellMar>
            <w:top w:w="0" w:type="dxa"/>
            <w:left w:w="108" w:type="dxa"/>
            <w:bottom w:w="0" w:type="dxa"/>
            <w:right w:w="108" w:type="dxa"/>
          </w:tblCellMar>
        </w:tblPrEx>
        <w:trPr>
          <w:wBefore w:w="0" w:type="auto"/>
        </w:trPr>
        <w:tc>
          <w:tcPr>
            <w:tcW w:w="0" w:type="auto"/>
            <w:gridSpan w:val="11"/>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7.4.12.1.1 受限证券类别：股票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成功认购日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可流通日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流通受限类型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认购价格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数量（单位：股）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新疆火炬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bl>
    <w:p>
      <w:pPr>
        <w:pStyle w:val="14"/>
        <w:rPr>
          <w:rFonts w:hint="eastAsia"/>
        </w:rPr>
      </w:pPr>
      <w:r>
        <w:rPr>
          <w:rFonts w:hint="eastAsia"/>
          <w:b/>
          <w:bCs/>
        </w:rPr>
        <w:t>7.4.12.2 期末持有的暂时停牌等流通受限股票</w:t>
      </w:r>
    </w:p>
    <w:p>
      <w:pPr>
        <w:pStyle w:val="19"/>
        <w:rPr>
          <w:rFonts w:hint="eastAsia"/>
        </w:rPr>
      </w:pPr>
      <w:r>
        <w:rPr>
          <w:rFonts w:hint="eastAsia"/>
        </w:rPr>
        <w:t>本基金本期末未持有暂时停牌等流通受限股票。</w:t>
      </w:r>
    </w:p>
    <w:p>
      <w:pPr>
        <w:pStyle w:val="14"/>
        <w:rPr>
          <w:rFonts w:hint="eastAsia"/>
        </w:rPr>
      </w:pPr>
      <w:r>
        <w:rPr>
          <w:rFonts w:hint="eastAsia"/>
          <w:b/>
          <w:bCs/>
        </w:rPr>
        <w:t>7.4.12.3 期末债券正回购交易中作为抵押的债券</w:t>
      </w:r>
    </w:p>
    <w:p>
      <w:pPr>
        <w:pStyle w:val="14"/>
        <w:rPr>
          <w:rFonts w:hint="eastAsia"/>
        </w:rPr>
      </w:pPr>
      <w:r>
        <w:rPr>
          <w:rFonts w:hint="eastAsia"/>
          <w:b/>
          <w:bCs/>
        </w:rPr>
        <w:t>7.4.12.3.1 银行间市场债券正回购</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截至本报告期末2017年12月31日止，本基金从事银行间市场债券正回购交易形成的卖出回购证券款余额0元，无抵押债券。</w:t>
      </w:r>
    </w:p>
    <w:p>
      <w:pPr>
        <w:pStyle w:val="14"/>
        <w:rPr>
          <w:rFonts w:hint="eastAsia"/>
        </w:rPr>
      </w:pPr>
      <w:r>
        <w:rPr>
          <w:rFonts w:hint="eastAsia"/>
          <w:b/>
          <w:bCs/>
        </w:rPr>
        <w:t>7.4.12.3.2 交易所市场债券正回购</w:t>
      </w:r>
    </w:p>
    <w:p>
      <w:pPr>
        <w:pStyle w:val="19"/>
        <w:rPr>
          <w:rFonts w:hint="eastAsia"/>
        </w:rPr>
      </w:pPr>
      <w:r>
        <w:rPr>
          <w:rFonts w:hint="eastAsia"/>
        </w:rPr>
        <w:t>  截至本报告期末2017年12月31日止，本基金从事证券交易所债券正回购交易形成的卖出回购证券款余额0元，无抵押债券。</w:t>
      </w:r>
    </w:p>
    <w:p>
      <w:pPr>
        <w:pStyle w:val="14"/>
        <w:rPr>
          <w:rFonts w:hint="eastAsia"/>
        </w:rPr>
      </w:pPr>
      <w:r>
        <w:rPr>
          <w:rFonts w:hint="eastAsia"/>
          <w:b/>
          <w:bCs/>
        </w:rPr>
        <w:t>7.4.13 金融工具风险及管理</w:t>
      </w:r>
    </w:p>
    <w:p>
      <w:pPr>
        <w:pStyle w:val="14"/>
        <w:rPr>
          <w:rFonts w:hint="eastAsia"/>
        </w:rPr>
      </w:pPr>
      <w:r>
        <w:rPr>
          <w:rFonts w:hint="eastAsia"/>
          <w:b/>
          <w:bCs/>
        </w:rPr>
        <w:t>7.4.13.1 风险管理政策和组织架构</w:t>
      </w:r>
    </w:p>
    <w:p>
      <w:pPr>
        <w:pStyle w:val="19"/>
        <w:rPr>
          <w:rFonts w:hint="eastAsia"/>
        </w:rPr>
      </w:pPr>
      <w:r>
        <w:rPr>
          <w:rFonts w:hint="eastAsia"/>
        </w:rPr>
        <w:t>  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r>
        <w:rPr>
          <w:rFonts w:hint="eastAsia"/>
        </w:rPr>
        <w:br w:type="textWrapping"/>
      </w:r>
      <w:r>
        <w:rPr>
          <w:rFonts w:hint="eastAsia"/>
        </w:rPr>
        <w:t>  本基金的基金管理人奉行全面风险管理体系的建设，建立了以风控与审计委员会为核心的、由督察长、风险控制办公会、监察稽核部和相关业务部门构成的四级风险管理架构体系。</w:t>
      </w:r>
    </w:p>
    <w:p>
      <w:pPr>
        <w:pStyle w:val="14"/>
        <w:rPr>
          <w:rFonts w:hint="eastAsia"/>
        </w:rPr>
      </w:pPr>
      <w:r>
        <w:rPr>
          <w:rFonts w:hint="eastAsia"/>
          <w:b/>
          <w:bCs/>
        </w:rPr>
        <w:t>7.4.13.2 信用风险</w:t>
      </w:r>
    </w:p>
    <w:p>
      <w:pPr>
        <w:pStyle w:val="19"/>
        <w:rPr>
          <w:rFonts w:hint="eastAsia"/>
        </w:rPr>
      </w:pPr>
      <w:r>
        <w:rPr>
          <w:rFonts w:hint="eastAsia"/>
        </w:rPr>
        <w:t>  信用风险是指基金在交易过程中因交易对手未履行合约责任，或者基金所投资证券之发行人出现违约、拒绝支付到期本息等情况，导致基金资产损失和收益变化的风险。</w:t>
      </w:r>
      <w:r>
        <w:rPr>
          <w:rFonts w:hint="eastAsia"/>
        </w:rPr>
        <w:br w:type="textWrapping"/>
      </w:r>
      <w:r>
        <w:rPr>
          <w:rFonts w:hint="eastAsia"/>
        </w:rPr>
        <w:t>  本基金的基金管理人在交易前对交易对手和债券的资信状况进行了充分的评估。本基金的活期银行存款存放在本基金的托管行工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r>
        <w:rPr>
          <w:rFonts w:hint="eastAsia"/>
        </w:rPr>
        <w:br w:type="textWrapping"/>
      </w:r>
      <w:r>
        <w:rPr>
          <w:rFonts w:hint="eastAsia"/>
        </w:rPr>
        <w:t>  本基金的基金管理人建立了信用风险管理流程，通过对投资品种信用等级评估来控制证券发行人的信用风险，且通过分散化投资以分散信用风险。</w:t>
      </w:r>
      <w:r>
        <w:rPr>
          <w:rFonts w:hint="eastAsia"/>
        </w:rPr>
        <w:br w:type="textWrapping"/>
      </w:r>
      <w:r>
        <w:rPr>
          <w:rFonts w:hint="eastAsia"/>
        </w:rPr>
        <w:t>  本基金债券投资的信用评级情况按《中国人民银行信用评级管理指导意见》设定的标准统计及汇总。</w:t>
      </w:r>
      <w:r>
        <w:rPr>
          <w:rFonts w:hint="eastAsia"/>
        </w:rPr>
        <w:br w:type="textWrapping"/>
      </w:r>
      <w:r>
        <w:rPr>
          <w:rFonts w:hint="eastAsia"/>
        </w:rPr>
        <w:t>  于2017年12月31日,本基金无债券投资。</w:t>
      </w:r>
    </w:p>
    <w:p>
      <w:pPr>
        <w:pStyle w:val="14"/>
        <w:rPr>
          <w:rFonts w:hint="eastAsia"/>
        </w:rPr>
      </w:pPr>
      <w:r>
        <w:rPr>
          <w:rFonts w:hint="eastAsia"/>
          <w:b/>
          <w:bCs/>
        </w:rPr>
        <w:t>7.4.13.2.1 按短期信用评级列示的债券投资</w:t>
      </w:r>
    </w:p>
    <w:p>
      <w:pPr>
        <w:pStyle w:val="20"/>
        <w:jc w:val="right"/>
        <w:rPr>
          <w:rFonts w:hint="eastAsia"/>
        </w:rPr>
      </w:pPr>
      <w:r>
        <w:rPr>
          <w:rFonts w:hint="eastAsia"/>
        </w:rPr>
        <w:t>单位：人民币元</w:t>
      </w:r>
    </w:p>
    <w:p>
      <w:pPr>
        <w:pStyle w:val="19"/>
        <w:rPr>
          <w:rFonts w:hint="eastAsia"/>
        </w:rPr>
      </w:pPr>
      <w:r>
        <w:rPr>
          <w:rFonts w:hint="eastAsia"/>
        </w:rPr>
        <w:t>无</w:t>
      </w:r>
    </w:p>
    <w:p>
      <w:pPr>
        <w:widowControl/>
        <w:jc w:val="left"/>
        <w:rPr>
          <w:rFonts w:hint="eastAsia" w:ascii="宋体" w:hAnsi="宋体" w:cs="宋体"/>
          <w:kern w:val="0"/>
          <w:sz w:val="24"/>
          <w:szCs w:val="24"/>
        </w:rPr>
      </w:pPr>
    </w:p>
    <w:p>
      <w:pPr>
        <w:pStyle w:val="14"/>
        <w:rPr>
          <w:rFonts w:hint="eastAsia"/>
        </w:rPr>
      </w:pPr>
      <w:r>
        <w:rPr>
          <w:rFonts w:hint="eastAsia"/>
          <w:b/>
          <w:bCs/>
        </w:rPr>
        <w:t>7.4.13.2.2 按长期信用评级列示的债券投资</w:t>
      </w:r>
    </w:p>
    <w:p>
      <w:pPr>
        <w:pStyle w:val="20"/>
        <w:jc w:val="right"/>
        <w:rPr>
          <w:rFonts w:hint="eastAsia"/>
        </w:rPr>
      </w:pPr>
      <w:r>
        <w:rPr>
          <w:rFonts w:hint="eastAsia"/>
        </w:rPr>
        <w:t>单位：人民币元</w:t>
      </w:r>
    </w:p>
    <w:p>
      <w:pPr>
        <w:pStyle w:val="19"/>
        <w:rPr>
          <w:rFonts w:hint="eastAsia"/>
        </w:rPr>
      </w:pPr>
      <w:r>
        <w:rPr>
          <w:rFonts w:hint="eastAsia"/>
        </w:rPr>
        <w:t>无</w:t>
      </w:r>
    </w:p>
    <w:p>
      <w:pPr>
        <w:widowControl/>
        <w:jc w:val="left"/>
        <w:rPr>
          <w:rFonts w:hint="eastAsia" w:ascii="宋体" w:hAnsi="宋体" w:cs="宋体"/>
          <w:kern w:val="0"/>
          <w:sz w:val="24"/>
          <w:szCs w:val="24"/>
        </w:rPr>
      </w:pPr>
    </w:p>
    <w:p>
      <w:pPr>
        <w:pStyle w:val="14"/>
        <w:rPr>
          <w:rFonts w:hint="eastAsia"/>
        </w:rPr>
      </w:pPr>
      <w:r>
        <w:rPr>
          <w:rFonts w:hint="eastAsia"/>
          <w:b/>
          <w:bCs/>
        </w:rPr>
        <w:t>7.4.13.3 流动性风险</w:t>
      </w:r>
    </w:p>
    <w:p>
      <w:pPr>
        <w:pStyle w:val="19"/>
        <w:rPr>
          <w:rFonts w:hint="eastAsia"/>
        </w:rPr>
      </w:pPr>
      <w:r>
        <w:rPr>
          <w:rFonts w:hint="eastAsia"/>
        </w:rPr>
        <w:t>  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r>
        <w:rPr>
          <w:rFonts w:hint="eastAsia"/>
        </w:rPr>
        <w:br w:type="textWrapping"/>
      </w:r>
      <w:r>
        <w:rPr>
          <w:rFonts w:hint="eastAsia"/>
        </w:rPr>
        <w:t>  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r>
        <w:rPr>
          <w:rFonts w:hint="eastAsia"/>
        </w:rPr>
        <w:br w:type="textWrapping"/>
      </w:r>
      <w:r>
        <w:rPr>
          <w:rFonts w:hint="eastAsia"/>
        </w:rPr>
        <w:t>  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证券市值不超过基金资产净值的10%，且本基金与由本基金的基金管理人管理的其他基金共同持有一家上市公司发行的可流通股票不得超过该上市公司可流通股票的15%。本基金主动投资于流动性受限资产的市值合计不得超过基金资产净值的15%。本基金所持大部分证券在证券交易所上市，其余亦可在银行间同业市场交易，因此除附注7.4.12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r>
        <w:rPr>
          <w:rFonts w:hint="eastAsia"/>
        </w:rPr>
        <w:br w:type="textWrapping"/>
      </w:r>
      <w:r>
        <w:rPr>
          <w:rFonts w:hint="eastAsia"/>
        </w:rPr>
        <w:t>  于2017年12月31日，本基金所承担的全部金融负债的合约约定到期日均为一个月以内且不计息，可赎回基金份额净值(所有者权益)无固定到期日且不计息，因此账面余额即为未折现的合约到期现金流量。</w:t>
      </w:r>
    </w:p>
    <w:p>
      <w:pPr>
        <w:pStyle w:val="14"/>
        <w:rPr>
          <w:rFonts w:hint="eastAsia"/>
        </w:rPr>
      </w:pPr>
      <w:r>
        <w:rPr>
          <w:rFonts w:hint="eastAsia"/>
          <w:b/>
          <w:bCs/>
        </w:rPr>
        <w:t>7.4.13.3.2 报告期内本基金组合资产的流动性风险分析</w:t>
      </w:r>
    </w:p>
    <w:p>
      <w:pPr>
        <w:widowControl/>
        <w:jc w:val="left"/>
        <w:rPr>
          <w:rFonts w:hint="eastAsia" w:ascii="宋体" w:hAnsi="宋体" w:cs="宋体"/>
          <w:kern w:val="0"/>
          <w:sz w:val="24"/>
          <w:szCs w:val="24"/>
        </w:rPr>
      </w:pPr>
      <w:r>
        <w:rPr>
          <w:rFonts w:hint="eastAsia" w:ascii="宋体" w:hAnsi="宋体" w:cs="宋体"/>
          <w:kern w:val="0"/>
          <w:sz w:val="24"/>
          <w:szCs w:val="24"/>
        </w:rPr>
        <w:t>  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r>
        <w:rPr>
          <w:rFonts w:hint="eastAsia" w:ascii="宋体" w:hAnsi="宋体" w:cs="宋体"/>
          <w:kern w:val="0"/>
          <w:sz w:val="24"/>
          <w:szCs w:val="24"/>
        </w:rPr>
        <w:br w:type="textWrapping"/>
      </w:r>
      <w:r>
        <w:rPr>
          <w:rFonts w:hint="eastAsia" w:ascii="宋体" w:hAnsi="宋体" w:cs="宋体"/>
          <w:kern w:val="0"/>
          <w:sz w:val="24"/>
          <w:szCs w:val="24"/>
        </w:rPr>
        <w:t>  本基金的基金管理人每日对基金组合资产中7个工作日可变现资产的可变现价值进行审慎评估与测算，确保每日确认的净赎回申请不得超过7个工作日可变现资产的可变现价值。于2017年12月31日，本基金组合资产中7个工作日可变现资产的账面价值为589165810.82元，超过经确认的当日净赎回金额。于2017年12月31日，本基金持有的流动性受限资产的估值占基金资产净值的比例为0.003%，未超过15%。</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同时，本基金的基金管理人通过合理分散逆回购交易的到期日与交易对手的集中度。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综合上述各项流动性指标的监测结果及流动性风险管理措施的实施，本基金在本报告期内流动性情况良好。</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xml:space="preserve">  注：流动性受限资产、7个工作日可变现资产的计算口径见《公开募集开放式证券投资基金流动性风险管理规定》第四十条。 </w:t>
      </w:r>
    </w:p>
    <w:p>
      <w:pPr>
        <w:pStyle w:val="14"/>
        <w:rPr>
          <w:rFonts w:hint="eastAsia"/>
        </w:rPr>
      </w:pPr>
      <w:r>
        <w:rPr>
          <w:rFonts w:hint="eastAsia"/>
          <w:b/>
          <w:bCs/>
        </w:rPr>
        <w:t>7.4.13.4 市场风险</w:t>
      </w:r>
    </w:p>
    <w:p>
      <w:pPr>
        <w:pStyle w:val="19"/>
        <w:rPr>
          <w:rFonts w:hint="eastAsia"/>
        </w:rPr>
      </w:pPr>
      <w:r>
        <w:rPr>
          <w:rFonts w:hint="eastAsia"/>
        </w:rPr>
        <w:t>  市场风险是指基金所持金融工具的公允价值或未来现金流量因所处市场各类价格因素的变动而发生波动的风险，包括利率风险、外汇风险和其他价格风险。</w:t>
      </w:r>
    </w:p>
    <w:p>
      <w:pPr>
        <w:pStyle w:val="14"/>
        <w:rPr>
          <w:rFonts w:hint="eastAsia"/>
        </w:rPr>
      </w:pPr>
      <w:r>
        <w:rPr>
          <w:rFonts w:hint="eastAsia"/>
          <w:b/>
          <w:bCs/>
        </w:rPr>
        <w:t>7.4.13.4.1 利率风险</w:t>
      </w:r>
    </w:p>
    <w:p>
      <w:pPr>
        <w:pStyle w:val="19"/>
        <w:rPr>
          <w:rFonts w:hint="eastAsia"/>
        </w:rPr>
      </w:pPr>
      <w:r>
        <w:rPr>
          <w:rFonts w:hint="eastAsia"/>
        </w:rPr>
        <w:t>  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r>
        <w:rPr>
          <w:rFonts w:hint="eastAsia"/>
        </w:rPr>
        <w:br w:type="textWrapping"/>
      </w:r>
      <w:r>
        <w:rPr>
          <w:rFonts w:hint="eastAsia"/>
        </w:rPr>
        <w:t>  本基金的基金管理人定期对本基金面临的利率敏感性缺口进行监控，并通过调整投资组合的久期等方法对上述利率风险进行管理。</w:t>
      </w:r>
      <w:r>
        <w:rPr>
          <w:rFonts w:hint="eastAsia"/>
        </w:rPr>
        <w:br w:type="textWrapping"/>
      </w:r>
      <w:r>
        <w:rPr>
          <w:rFonts w:hint="eastAsia"/>
        </w:rPr>
        <w:t>  本基金持有及承担的大部分金融资产和金融负债不计息，因此本基金的收入及经营活动的现金流量在很大程度上独立于市场利率变化。本基金持有的利率敏感性资产主要为银行存款、结算备付金、存出保证金及买入返售金融资产投资等。</w:t>
      </w:r>
    </w:p>
    <w:p>
      <w:pPr>
        <w:pStyle w:val="14"/>
        <w:rPr>
          <w:rFonts w:hint="eastAsia"/>
        </w:rPr>
      </w:pPr>
      <w:r>
        <w:rPr>
          <w:rFonts w:hint="eastAsia"/>
          <w:b/>
          <w:bCs/>
        </w:rPr>
        <w:t>7.4.13.4.1.1 利率风险敞口</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711"/>
        <w:gridCol w:w="1710"/>
        <w:gridCol w:w="1102"/>
        <w:gridCol w:w="1102"/>
        <w:gridCol w:w="1710"/>
        <w:gridCol w:w="1710"/>
      </w:tblGrid>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本期末2017年12月31日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61,590,100.75</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61,590,100.75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54,294,336.79</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54,294,336.79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24,715.24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24,715.24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117,591,348.03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117,591,348.03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买入返售金融资产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410,000,000.00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410,000,000.00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-153,271.05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-153,271.05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505.24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505.24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525,909,152.78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117,438,582.22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643,347,735.00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9,230,599.44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9,230,599.44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623,118.00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623,118.00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823,810.36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823,810.36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137,301.75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137,301.75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77,536.54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77,536.54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136,563.55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136,563.55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11,028,929.64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11,028,929.64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525,909,152.78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106,409,652.58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632,318,805.36</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19"/>
      </w:pPr>
      <w:r>
        <w:rPr>
          <w:rFonts w:hint="eastAsia"/>
        </w:rPr>
        <w:t>注：表中所示为本基金资产及负债的账面价值，并按照合约规定的利率重新定价日或到期日孰早者予以分类。</w:t>
      </w:r>
    </w:p>
    <w:p>
      <w:pPr>
        <w:pStyle w:val="14"/>
        <w:rPr>
          <w:rFonts w:hint="eastAsia"/>
        </w:rPr>
      </w:pPr>
      <w:r>
        <w:rPr>
          <w:rFonts w:hint="eastAsia"/>
          <w:b/>
          <w:bCs/>
        </w:rPr>
        <w:t>7.4.13.4.1.2 利率风险的敏感性分析</w:t>
      </w:r>
    </w:p>
    <w:p>
      <w:pPr>
        <w:pStyle w:val="19"/>
        <w:rPr>
          <w:rFonts w:hint="eastAsia"/>
        </w:rPr>
      </w:pPr>
      <w:r>
        <w:rPr>
          <w:rFonts w:hint="eastAsia"/>
        </w:rPr>
        <w:t>于2017年12月31日，本基金未持有交易性债券投资，因此市场利率的变动对于本基金资产净值无重大影响。</w:t>
      </w:r>
    </w:p>
    <w:p>
      <w:pPr>
        <w:pStyle w:val="14"/>
        <w:rPr>
          <w:rFonts w:hint="eastAsia"/>
        </w:rPr>
      </w:pPr>
      <w:r>
        <w:rPr>
          <w:rFonts w:hint="eastAsia"/>
          <w:b/>
          <w:bCs/>
        </w:rPr>
        <w:t>7.4.13.4.2 外汇风险</w:t>
      </w:r>
    </w:p>
    <w:p>
      <w:pPr>
        <w:pStyle w:val="19"/>
        <w:rPr>
          <w:rFonts w:hint="eastAsia"/>
        </w:rPr>
      </w:pPr>
      <w:r>
        <w:rPr>
          <w:rFonts w:hint="eastAsia"/>
        </w:rPr>
        <w:t>  外汇风险是指金融工具的公允价值或未来现金流量因外汇汇率变动而发生波动的风险。本基金的所有资产及负债以人民币计价，因此无重大外汇风险。</w:t>
      </w:r>
    </w:p>
    <w:p>
      <w:pPr>
        <w:pStyle w:val="14"/>
        <w:rPr>
          <w:rFonts w:hint="eastAsia"/>
        </w:rPr>
      </w:pPr>
      <w:r>
        <w:rPr>
          <w:rFonts w:hint="eastAsia"/>
          <w:b/>
          <w:bCs/>
        </w:rPr>
        <w:t>7.4.13.4.3 其他价格风险</w:t>
      </w:r>
    </w:p>
    <w:p>
      <w:pPr>
        <w:pStyle w:val="19"/>
        <w:rPr>
          <w:rFonts w:hint="eastAsia"/>
        </w:rPr>
      </w:pPr>
      <w:r>
        <w:rPr>
          <w:rFonts w:hint="eastAsia"/>
        </w:rPr>
        <w:t>  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r>
        <w:rPr>
          <w:rFonts w:hint="eastAsia"/>
        </w:rPr>
        <w:br w:type="textWrapping"/>
      </w:r>
      <w:r>
        <w:rPr>
          <w:rFonts w:hint="eastAsia"/>
        </w:rPr>
        <w:t>  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r>
        <w:rPr>
          <w:rFonts w:hint="eastAsia"/>
        </w:rPr>
        <w:br w:type="textWrapping"/>
      </w:r>
      <w:r>
        <w:rPr>
          <w:rFonts w:hint="eastAsia"/>
        </w:rPr>
        <w:t>  </w:t>
      </w:r>
    </w:p>
    <w:p>
      <w:pPr>
        <w:pStyle w:val="14"/>
        <w:rPr>
          <w:rFonts w:hint="eastAsia"/>
        </w:rPr>
      </w:pPr>
      <w:r>
        <w:rPr>
          <w:rFonts w:hint="eastAsia"/>
          <w:b/>
          <w:bCs/>
        </w:rPr>
        <w:t>7.4.13.4.3.1 其他价格风险敞口</w:t>
      </w:r>
    </w:p>
    <w:p>
      <w:pPr>
        <w:pStyle w:val="21"/>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4788"/>
        <w:gridCol w:w="2661"/>
        <w:gridCol w:w="1596"/>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288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117,591,348.03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18.60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交易性金融资产-债券投资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117,591,348.03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18.60</w:t>
            </w:r>
          </w:p>
        </w:tc>
      </w:tr>
    </w:tbl>
    <w:p>
      <w:pPr>
        <w:pStyle w:val="14"/>
        <w:rPr>
          <w:rFonts w:hint="eastAsia"/>
        </w:rPr>
      </w:pPr>
      <w:r>
        <w:rPr>
          <w:rFonts w:hint="eastAsia"/>
          <w:b/>
          <w:bCs/>
        </w:rPr>
        <w:t>7.4.13.4.3.2 其他价格风险的敏感性分析</w:t>
      </w:r>
    </w:p>
    <w:p>
      <w:pPr>
        <w:pStyle w:val="19"/>
        <w:rPr>
          <w:rFonts w:hint="eastAsia"/>
        </w:rPr>
      </w:pPr>
      <w:r>
        <w:rPr>
          <w:rFonts w:hint="eastAsia"/>
        </w:rPr>
        <w:t>于2017年12月31日，本基金持有的交易性权益类投资公允价值占基金资产净值的比例为18.60%，因此除市场利率和外汇汇率以外的市场价格因素的变动对于本基金资产净值无重大影响。</w:t>
      </w:r>
    </w:p>
    <w:p>
      <w:pPr>
        <w:pStyle w:val="14"/>
        <w:rPr>
          <w:rFonts w:hint="eastAsia"/>
        </w:rPr>
      </w:pPr>
      <w:r>
        <w:rPr>
          <w:rFonts w:hint="eastAsia"/>
          <w:b/>
          <w:bCs/>
        </w:rPr>
        <w:t>7.4.14 有助于理解和分析会计报表需要说明的其他事项</w:t>
      </w:r>
    </w:p>
    <w:p>
      <w:pPr>
        <w:pStyle w:val="19"/>
        <w:rPr>
          <w:rFonts w:hint="eastAsia"/>
        </w:rPr>
      </w:pPr>
      <w:r>
        <w:rPr>
          <w:rFonts w:hint="eastAsia"/>
        </w:rPr>
        <w:t>  (1) 公允价值</w:t>
      </w:r>
      <w:r>
        <w:rPr>
          <w:rFonts w:hint="eastAsia"/>
        </w:rPr>
        <w:br w:type="textWrapping"/>
      </w:r>
      <w:r>
        <w:rPr>
          <w:rFonts w:hint="eastAsia"/>
        </w:rPr>
        <w:t>  (a) 金融工具公允价值计量的方法</w:t>
      </w:r>
      <w:r>
        <w:rPr>
          <w:rFonts w:hint="eastAsia"/>
        </w:rPr>
        <w:br w:type="textWrapping"/>
      </w:r>
      <w:r>
        <w:rPr>
          <w:rFonts w:hint="eastAsia"/>
        </w:rPr>
        <w:t>  公允价值计量结果所属的层次，由对公允价值计量整体而言具有重要意义的输入值所属的最低层次决定：</w:t>
      </w:r>
      <w:r>
        <w:rPr>
          <w:rFonts w:hint="eastAsia"/>
        </w:rPr>
        <w:br w:type="textWrapping"/>
      </w:r>
      <w:r>
        <w:rPr>
          <w:rFonts w:hint="eastAsia"/>
        </w:rPr>
        <w:t>  第一层次：相同资产或负债在活跃市场上未经调整的报价。</w:t>
      </w:r>
      <w:r>
        <w:rPr>
          <w:rFonts w:hint="eastAsia"/>
        </w:rPr>
        <w:br w:type="textWrapping"/>
      </w:r>
      <w:r>
        <w:rPr>
          <w:rFonts w:hint="eastAsia"/>
        </w:rPr>
        <w:t>  第二层次：除第一层次输入值外相关资产或负债直接或间接可观察的输入值。</w:t>
      </w:r>
      <w:r>
        <w:rPr>
          <w:rFonts w:hint="eastAsia"/>
        </w:rPr>
        <w:br w:type="textWrapping"/>
      </w:r>
      <w:r>
        <w:rPr>
          <w:rFonts w:hint="eastAsia"/>
        </w:rPr>
        <w:t>  第三层次：相关资产或负债的不可观察输入值。</w:t>
      </w:r>
      <w:r>
        <w:rPr>
          <w:rFonts w:hint="eastAsia"/>
        </w:rPr>
        <w:br w:type="textWrapping"/>
      </w:r>
      <w:r>
        <w:rPr>
          <w:rFonts w:hint="eastAsia"/>
        </w:rPr>
        <w:t>  (b) 持续的以公允价值计量的金融工具</w:t>
      </w:r>
      <w:r>
        <w:rPr>
          <w:rFonts w:hint="eastAsia"/>
        </w:rPr>
        <w:br w:type="textWrapping"/>
      </w:r>
      <w:r>
        <w:rPr>
          <w:rFonts w:hint="eastAsia"/>
        </w:rPr>
        <w:t>  (i)各层次金融工具公允价值</w:t>
      </w:r>
      <w:r>
        <w:rPr>
          <w:rFonts w:hint="eastAsia"/>
        </w:rPr>
        <w:br w:type="textWrapping"/>
      </w:r>
      <w:r>
        <w:rPr>
          <w:rFonts w:hint="eastAsia"/>
        </w:rPr>
        <w:t>  于2017年12月31日，本基金持有的以公允价值计量且其变动计入当期损益的金融资产中属于第一层次的余额为117,575,204.83元，属于第二层次的余额为16,143.20元，无属于第三层次的余额。</w:t>
      </w:r>
      <w:r>
        <w:rPr>
          <w:rFonts w:hint="eastAsia"/>
        </w:rPr>
        <w:br w:type="textWrapping"/>
      </w:r>
      <w:r>
        <w:rPr>
          <w:rFonts w:hint="eastAsia"/>
        </w:rPr>
        <w:t>  (ii)公允价值所属层次间的重大变动</w:t>
      </w:r>
      <w:r>
        <w:rPr>
          <w:rFonts w:hint="eastAsia"/>
        </w:rPr>
        <w:br w:type="textWrapping"/>
      </w:r>
      <w:r>
        <w:rPr>
          <w:rFonts w:hint="eastAsia"/>
        </w:rPr>
        <w:t>  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r>
        <w:rPr>
          <w:rFonts w:hint="eastAsia"/>
        </w:rPr>
        <w:br w:type="textWrapping"/>
      </w:r>
      <w:r>
        <w:rPr>
          <w:rFonts w:hint="eastAsia"/>
        </w:rPr>
        <w:t>  (iii)第三层次公允价值余额和本期变动金额</w:t>
      </w:r>
      <w:r>
        <w:rPr>
          <w:rFonts w:hint="eastAsia"/>
        </w:rPr>
        <w:br w:type="textWrapping"/>
      </w:r>
      <w:r>
        <w:rPr>
          <w:rFonts w:hint="eastAsia"/>
        </w:rPr>
        <w:t>  无。</w:t>
      </w:r>
      <w:r>
        <w:rPr>
          <w:rFonts w:hint="eastAsia"/>
        </w:rPr>
        <w:br w:type="textWrapping"/>
      </w:r>
      <w:r>
        <w:rPr>
          <w:rFonts w:hint="eastAsia"/>
        </w:rPr>
        <w:t>  (c)非持续的以公允价值计量的金融工具</w:t>
      </w:r>
      <w:r>
        <w:rPr>
          <w:rFonts w:hint="eastAsia"/>
        </w:rPr>
        <w:br w:type="textWrapping"/>
      </w:r>
      <w:r>
        <w:rPr>
          <w:rFonts w:hint="eastAsia"/>
        </w:rPr>
        <w:t>  于2017年12月31日，本基金未持有非持续的以公允价值计量的金融资产。</w:t>
      </w:r>
      <w:r>
        <w:rPr>
          <w:rFonts w:hint="eastAsia"/>
        </w:rPr>
        <w:br w:type="textWrapping"/>
      </w:r>
      <w:r>
        <w:rPr>
          <w:rFonts w:hint="eastAsia"/>
        </w:rPr>
        <w:t>  (d)不以公允价值计量的金融工具</w:t>
      </w:r>
      <w:r>
        <w:rPr>
          <w:rFonts w:hint="eastAsia"/>
        </w:rPr>
        <w:br w:type="textWrapping"/>
      </w:r>
      <w:r>
        <w:rPr>
          <w:rFonts w:hint="eastAsia"/>
        </w:rPr>
        <w:t>  不以公允价值计量的金融资产和负债主要包括应收款项和其他金融负债，其账面价值与公允价值相差很小。</w:t>
      </w:r>
      <w:r>
        <w:rPr>
          <w:rFonts w:hint="eastAsia"/>
        </w:rPr>
        <w:br w:type="textWrapping"/>
      </w:r>
      <w:r>
        <w:rPr>
          <w:rFonts w:hint="eastAsia"/>
        </w:rPr>
        <w:t>  (2)增值税</w:t>
      </w:r>
      <w:r>
        <w:rPr>
          <w:rFonts w:hint="eastAsia"/>
        </w:rPr>
        <w:br w:type="textWrapping"/>
      </w:r>
      <w:r>
        <w:rPr>
          <w:rFonts w:hint="eastAsia"/>
        </w:rPr>
        <w:t>  根据财政部、国家税务总局于2016年12月21日颁布的财税[2016]140号《关于明确金融 房地产开发 教育辅助服务等增值税政策的通知》的规定，资管产品运营过程中发生的增值税应税行为，以资管产品管理人为增值税纳税人。</w:t>
      </w:r>
      <w:r>
        <w:rPr>
          <w:rFonts w:hint="eastAsia"/>
        </w:rPr>
        <w:br w:type="textWrapping"/>
      </w:r>
      <w:r>
        <w:rPr>
          <w:rFonts w:hint="eastAsia"/>
        </w:rPr>
        <w:t>  根据财政部、国家税务总局于2017年6月30日颁布的财税[2017]56号《关于资管产品增值税有关问题的通知》的规定，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r>
        <w:rPr>
          <w:rFonts w:hint="eastAsia"/>
        </w:rPr>
        <w:br w:type="textWrapping"/>
      </w:r>
      <w:r>
        <w:rPr>
          <w:rFonts w:hint="eastAsia"/>
        </w:rPr>
        <w:t>  此外，财政部、国家税务总局于2017年12月25日颁布的财税[2017]90号《关于租入固定资产进行税额抵扣等增值税政策的通知》对资管产品管理人自2018年1月1日起运营资管产品提供的贷款服务、发生的部分金融商品转让业务的销售额确定做出规定。</w:t>
      </w:r>
      <w:r>
        <w:rPr>
          <w:rFonts w:hint="eastAsia"/>
        </w:rPr>
        <w:br w:type="textWrapping"/>
      </w:r>
      <w:r>
        <w:rPr>
          <w:rFonts w:hint="eastAsia"/>
        </w:rPr>
        <w:t>  上述税收政策对本基金截至2017年12月31日止的财务状况和经营成果无影响。</w:t>
      </w:r>
      <w:r>
        <w:rPr>
          <w:rFonts w:hint="eastAsia"/>
        </w:rPr>
        <w:br w:type="textWrapping"/>
      </w:r>
      <w:r>
        <w:rPr>
          <w:rFonts w:hint="eastAsia"/>
        </w:rPr>
        <w:t>  (3)除公允价值和增值税外，截至资产负债表日本基金无需要说明的其他重要事项。</w:t>
      </w:r>
    </w:p>
    <w:p>
      <w:pPr>
        <w:pStyle w:val="12"/>
        <w:rPr>
          <w:rFonts w:hint="eastAsia"/>
        </w:rPr>
      </w:pPr>
      <w:bookmarkStart w:id="35" w:name="_Toc510100237"/>
      <w:r>
        <w:rPr>
          <w:rFonts w:hint="eastAsia" w:hAnsi="Calibri"/>
          <w:b/>
          <w:color w:val="000000"/>
        </w:rPr>
        <w:t>§8 投资组合报告</w:t>
      </w:r>
      <w:bookmarkEnd w:id="35"/>
    </w:p>
    <w:p>
      <w:pPr>
        <w:pStyle w:val="13"/>
        <w:rPr>
          <w:rFonts w:hint="eastAsia"/>
        </w:rPr>
      </w:pPr>
      <w:bookmarkStart w:id="36" w:name="_Toc510100238"/>
      <w:r>
        <w:rPr>
          <w:rFonts w:hint="eastAsia"/>
          <w:b/>
          <w:bCs/>
        </w:rPr>
        <w:t>8.1 期末基金资产组合情况</w:t>
      </w:r>
      <w:bookmarkEnd w:id="36"/>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117,591,348.03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18.28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117,591,348.03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18.28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410,000,000.00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63.73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115,884,437.54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18.01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-128,050.57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643,347,735.00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w:t>
            </w:r>
          </w:p>
        </w:tc>
      </w:tr>
    </w:tbl>
    <w:p>
      <w:pPr>
        <w:pStyle w:val="13"/>
        <w:rPr>
          <w:rFonts w:hint="eastAsia"/>
        </w:rPr>
      </w:pPr>
      <w:bookmarkStart w:id="37" w:name="_Toc510100239"/>
      <w:r>
        <w:rPr>
          <w:rFonts w:hint="eastAsia"/>
          <w:b/>
          <w:bCs/>
        </w:rPr>
        <w:t>8.2 报告期末按行业分类的股票投资组合</w:t>
      </w:r>
      <w:bookmarkEnd w:id="37"/>
    </w:p>
    <w:p>
      <w:pPr>
        <w:pStyle w:val="14"/>
        <w:rPr>
          <w:rFonts w:hint="eastAsia"/>
        </w:rPr>
      </w:pPr>
      <w:r>
        <w:rPr>
          <w:rFonts w:hint="eastAsia"/>
          <w:b/>
          <w:bCs/>
        </w:rPr>
        <w:t>8.2.1 报告期末按行业分类的境内股票投资组合</w:t>
      </w:r>
    </w:p>
    <w:tbl>
      <w:tblPr>
        <w:tblStyle w:val="7"/>
        <w:tblW w:w="0" w:type="auto"/>
        <w:tblInd w:w="108" w:type="dxa"/>
        <w:tblLayout w:type="autofit"/>
        <w:tblCellMar>
          <w:top w:w="0" w:type="dxa"/>
          <w:left w:w="108" w:type="dxa"/>
          <w:bottom w:w="0" w:type="dxa"/>
          <w:right w:w="108" w:type="dxa"/>
        </w:tblCellMar>
      </w:tblPr>
      <w:tblGrid>
        <w:gridCol w:w="720"/>
        <w:gridCol w:w="3974"/>
        <w:gridCol w:w="2167"/>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30,995,757.87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15,803,311.20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732,000.00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2,245,942.76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59,765,136.20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6,116,000.00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1,933,200.00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117,591,348.03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18.60</w:t>
            </w:r>
          </w:p>
        </w:tc>
      </w:tr>
    </w:tbl>
    <w:p>
      <w:pPr>
        <w:rPr>
          <w:vanish/>
        </w:rPr>
      </w:pPr>
    </w:p>
    <w:tbl>
      <w:tblPr>
        <w:tblStyle w:val="7"/>
        <w:tblW w:w="0" w:type="dxa"/>
        <w:tblInd w:w="108" w:type="dxa"/>
        <w:tblLayout w:type="autofit"/>
        <w:tblCellMar>
          <w:top w:w="0" w:type="dxa"/>
          <w:left w:w="0" w:type="dxa"/>
          <w:bottom w:w="0" w:type="dxa"/>
          <w:right w:w="0" w:type="dxa"/>
        </w:tblCellMar>
      </w:tblPr>
      <w:tblGrid>
        <w:gridCol w:w="6"/>
      </w:tblGrid>
      <w:tr>
        <w:tblPrEx>
          <w:tblCellMar>
            <w:top w:w="0" w:type="dxa"/>
            <w:left w:w="0" w:type="dxa"/>
            <w:bottom w:w="0" w:type="dxa"/>
            <w:right w:w="0" w:type="dxa"/>
          </w:tblCellMar>
        </w:tblPrEx>
        <w:trPr>
          <w:wBefore w:w="0" w:type="auto"/>
        </w:trPr>
        <w:tc>
          <w:tcPr>
            <w:tcW w:w="0" w:type="auto"/>
            <w:noWrap w:val="0"/>
            <w:vAlign w:val="center"/>
          </w:tcPr>
          <w:p>
            <w:pPr>
              <w:rPr>
                <w:rFonts w:hint="eastAsia" w:ascii="宋体" w:hAnsi="宋体" w:cs="宋体"/>
                <w:kern w:val="0"/>
                <w:sz w:val="24"/>
                <w:szCs w:val="24"/>
              </w:rPr>
            </w:pPr>
          </w:p>
        </w:tc>
      </w:tr>
    </w:tbl>
    <w:p>
      <w:pPr>
        <w:pStyle w:val="13"/>
      </w:pPr>
      <w:bookmarkStart w:id="38" w:name="_Toc510100240"/>
      <w:r>
        <w:rPr>
          <w:rFonts w:hint="eastAsia"/>
          <w:b/>
          <w:bCs/>
        </w:rPr>
        <w:t>8.3 期末按公允价值占基金资产净值比例大小排序的所有股票投资明细</w:t>
      </w:r>
      <w:bookmarkEnd w:id="38"/>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6"/>
        <w:gridCol w:w="1650"/>
        <w:gridCol w:w="1650"/>
        <w:gridCol w:w="1731"/>
        <w:gridCol w:w="1650"/>
        <w:gridCol w:w="16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2,888,868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20,655,406.20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2,099,970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18,899,730.00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600509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天富能源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1,788,800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12,271,168.00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光大银行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12,150,000.00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中信银行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8,060,000.00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特变电工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709,901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7,035,118.91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长江传媒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6,116,000.00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沈阳化工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888,886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5,253,316.26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湖南海利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5,019,720.00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四川美丰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4,788,000.00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申能股份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3,516,000.00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博闻科技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2,640,400.00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三元股份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2,435,800.00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长城电工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359,940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2,343,209.40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广深铁路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2,228,000.00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鲁银投资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1,933,200.00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钱江生化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1,472,000.00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银座股份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上海雅仕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17,942.76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新疆火炬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朗博科技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8,193.30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0.00</w:t>
            </w:r>
          </w:p>
        </w:tc>
      </w:tr>
    </w:tbl>
    <w:p>
      <w:pPr>
        <w:pStyle w:val="13"/>
        <w:rPr>
          <w:rFonts w:hint="eastAsia"/>
        </w:rPr>
      </w:pPr>
      <w:bookmarkStart w:id="39" w:name="_Toc510100241"/>
      <w:r>
        <w:rPr>
          <w:rFonts w:hint="eastAsia"/>
          <w:b/>
          <w:bCs/>
        </w:rPr>
        <w:t>8.4 报告期内股票投资组合的重大变动</w:t>
      </w:r>
      <w:bookmarkEnd w:id="39"/>
    </w:p>
    <w:p>
      <w:pPr>
        <w:pStyle w:val="14"/>
        <w:rPr>
          <w:rFonts w:hint="eastAsia"/>
        </w:rPr>
      </w:pPr>
      <w:r>
        <w:rPr>
          <w:rFonts w:hint="eastAsia"/>
          <w:b/>
          <w:bCs/>
        </w:rPr>
        <w:t>8.4.1 累计买入金额超出期末基金资产净值2%或前20名的股票明细</w:t>
      </w:r>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占期末基金资产净值比例(%)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21,124,918.44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19,354,438.40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600509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天富能源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12,747,712.00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光大银行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12,243,534.00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特变电工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11,042,748.32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中信银行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8,050,481.00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长江传媒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6,065,223.00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湖南海利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5,598,041.00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沈阳化工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5,447,668.08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四川美丰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4,904,190.00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申能股份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3,439,313.00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博闻科技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3,016,258.00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长城电工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2,636,078.40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三元股份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2,613,595.00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平安银行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2,307,003.00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鲁银投资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2,232,597.00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广深铁路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2,066,000.00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钱江生化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1,793,124.02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燕京啤酒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1,299,988.00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银座股份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838,345.00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0.13</w:t>
            </w:r>
          </w:p>
        </w:tc>
      </w:tr>
    </w:tbl>
    <w:p>
      <w:pPr>
        <w:pStyle w:val="19"/>
        <w:rPr>
          <w:rFonts w:hint="eastAsia"/>
        </w:rPr>
      </w:pPr>
      <w:r>
        <w:rPr>
          <w:rFonts w:hint="eastAsia"/>
        </w:rPr>
        <w:t>注：本期累计买入金额按买卖成交金额,不考虑相关交易费用。</w:t>
      </w:r>
    </w:p>
    <w:p>
      <w:pPr>
        <w:pStyle w:val="14"/>
        <w:rPr>
          <w:rFonts w:hint="eastAsia"/>
        </w:rPr>
      </w:pPr>
      <w:r>
        <w:rPr>
          <w:rFonts w:hint="eastAsia"/>
          <w:b/>
          <w:bCs/>
        </w:rPr>
        <w:t>8.4.2 累计卖出金额超出期末基金资产净值2%或前20名的股票明细</w:t>
      </w:r>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占期末基金资产净值比例(%)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特变电工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3,817,323.27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平安银行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2,886,026.00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燕京啤酒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1,336,497.00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0.21</w:t>
            </w:r>
          </w:p>
        </w:tc>
      </w:tr>
    </w:tbl>
    <w:p>
      <w:pPr>
        <w:pStyle w:val="19"/>
        <w:rPr>
          <w:rFonts w:hint="eastAsia"/>
        </w:rPr>
      </w:pPr>
      <w:r>
        <w:rPr>
          <w:rFonts w:hint="eastAsia"/>
        </w:rPr>
        <w:t>注：本期累计卖出金额按买卖成交金额,不考虑相关交易费用。</w:t>
      </w:r>
    </w:p>
    <w:p>
      <w:pPr>
        <w:pStyle w:val="14"/>
        <w:rPr>
          <w:rFonts w:hint="eastAsia"/>
        </w:rPr>
      </w:pPr>
      <w:r>
        <w:rPr>
          <w:rFonts w:hint="eastAsia"/>
          <w:b/>
          <w:bCs/>
        </w:rPr>
        <w:t>8.4.3 买入股票的成本总额及卖出股票的收入总额</w:t>
      </w:r>
    </w:p>
    <w:p>
      <w:pPr>
        <w:pStyle w:val="18"/>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128,855,548.40</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8,039,846.27</w:t>
            </w:r>
          </w:p>
        </w:tc>
      </w:tr>
    </w:tbl>
    <w:p>
      <w:pPr>
        <w:pStyle w:val="19"/>
        <w:rPr>
          <w:rFonts w:hint="eastAsia"/>
        </w:rPr>
      </w:pPr>
      <w:r>
        <w:rPr>
          <w:rFonts w:hint="eastAsia"/>
        </w:rPr>
        <w:t>注：买入股票成本、卖出股票收入均按买卖成交金额填列，不考虑相关交易费用。</w:t>
      </w:r>
    </w:p>
    <w:p>
      <w:pPr>
        <w:pStyle w:val="13"/>
        <w:rPr>
          <w:rFonts w:hint="eastAsia"/>
        </w:rPr>
      </w:pPr>
      <w:bookmarkStart w:id="40" w:name="_Toc510100242"/>
      <w:r>
        <w:rPr>
          <w:rFonts w:hint="eastAsia"/>
          <w:b/>
          <w:bCs/>
        </w:rPr>
        <w:t>8.5 期末按债券品种分类的债券投资组合</w:t>
      </w:r>
      <w:bookmarkEnd w:id="40"/>
    </w:p>
    <w:p>
      <w:pPr>
        <w:pStyle w:val="19"/>
        <w:rPr>
          <w:rFonts w:hint="eastAsia"/>
        </w:rPr>
      </w:pPr>
      <w:r>
        <w:rPr>
          <w:rFonts w:hint="eastAsia"/>
        </w:rPr>
        <w:t>本基金本报告期末未持有债券。</w:t>
      </w:r>
    </w:p>
    <w:p>
      <w:pPr>
        <w:pStyle w:val="13"/>
        <w:rPr>
          <w:rFonts w:hint="eastAsia"/>
        </w:rPr>
      </w:pPr>
      <w:bookmarkStart w:id="41" w:name="_Toc510100243"/>
      <w:r>
        <w:rPr>
          <w:rFonts w:hint="eastAsia"/>
          <w:b/>
          <w:bCs/>
        </w:rPr>
        <w:t>8.6 期末按公允价值占基金资产净值比例大小排序的前五名债券投资明细</w:t>
      </w:r>
      <w:bookmarkEnd w:id="41"/>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本基金本报告期末未持有债券。</w:t>
      </w:r>
    </w:p>
    <w:p>
      <w:pPr>
        <w:pStyle w:val="13"/>
        <w:rPr>
          <w:rFonts w:hint="eastAsia"/>
        </w:rPr>
      </w:pPr>
      <w:bookmarkStart w:id="42" w:name="_Toc510100244"/>
      <w:r>
        <w:rPr>
          <w:rFonts w:hint="eastAsia"/>
          <w:b/>
          <w:bCs/>
        </w:rPr>
        <w:t>8.7 期末按公允价值占基金资产净值比例大小排序的所有资产支持证券投资明细</w:t>
      </w:r>
      <w:bookmarkEnd w:id="42"/>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本基金本报告期末未持有资产支持证券。</w:t>
      </w:r>
    </w:p>
    <w:p>
      <w:pPr>
        <w:pStyle w:val="13"/>
        <w:rPr>
          <w:rFonts w:hint="eastAsia"/>
        </w:rPr>
      </w:pPr>
      <w:bookmarkStart w:id="43" w:name="_Toc510100245"/>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本基金本报告期末未持有贵金属。</w:t>
      </w:r>
    </w:p>
    <w:p>
      <w:pPr>
        <w:pStyle w:val="13"/>
        <w:rPr>
          <w:rFonts w:hint="eastAsia"/>
        </w:rPr>
      </w:pPr>
      <w:bookmarkStart w:id="44" w:name="_Toc510100246"/>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rPr>
          <w:wBefore w:w="0" w:type="auto"/>
        </w:trPr>
        <w:tc>
          <w:tcPr>
            <w:tcW w:w="0" w:type="auto"/>
            <w:noWrap w:val="0"/>
            <w:vAlign w:val="center"/>
          </w:tcPr>
          <w:p>
            <w:pPr>
              <w:rPr>
                <w:rFonts w:hint="eastAsia"/>
              </w:rPr>
            </w:pPr>
          </w:p>
        </w:tc>
      </w:tr>
    </w:tbl>
    <w:p>
      <w:pPr>
        <w:pStyle w:val="19"/>
      </w:pPr>
      <w:r>
        <w:rPr>
          <w:rFonts w:hint="eastAsia"/>
        </w:rPr>
        <w:t>本基金本报告期末未持有权证。</w:t>
      </w:r>
    </w:p>
    <w:p>
      <w:pPr>
        <w:pStyle w:val="13"/>
        <w:rPr>
          <w:rFonts w:hint="eastAsia"/>
        </w:rPr>
      </w:pPr>
      <w:bookmarkStart w:id="45" w:name="_Toc510100247"/>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rPr>
          <w:wBefore w:w="0" w:type="auto"/>
        </w:trPr>
        <w:tc>
          <w:tcPr>
            <w:tcW w:w="0" w:type="auto"/>
            <w:noWrap w:val="0"/>
            <w:vAlign w:val="center"/>
          </w:tcPr>
          <w:p>
            <w:pPr>
              <w:rPr>
                <w:rFonts w:hint="eastAsia"/>
              </w:rPr>
            </w:pPr>
          </w:p>
        </w:tc>
      </w:tr>
    </w:tbl>
    <w:p>
      <w:pPr>
        <w:pStyle w:val="19"/>
      </w:pPr>
      <w:r>
        <w:rPr>
          <w:rFonts w:hint="eastAsia"/>
        </w:rPr>
        <w:t>本基金本报告期未投资股指期货。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3"/>
        <w:rPr>
          <w:rFonts w:hint="eastAsia"/>
        </w:rPr>
      </w:pPr>
      <w:bookmarkStart w:id="46" w:name="_Toc510100248"/>
      <w:r>
        <w:rPr>
          <w:rFonts w:hint="eastAsia"/>
          <w:b/>
          <w:bCs/>
        </w:rPr>
        <w:t>8.11 报告期末本基金投资的国债期货交易情况说明</w:t>
      </w:r>
      <w:bookmarkEnd w:id="46"/>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widowControl/>
              <w:jc w:val="left"/>
              <w:rPr>
                <w:rFonts w:hint="eastAsia" w:ascii="宋体" w:hAnsi="宋体" w:cs="宋体"/>
                <w:kern w:val="0"/>
                <w:sz w:val="24"/>
                <w:szCs w:val="24"/>
              </w:rPr>
            </w:pPr>
          </w:p>
        </w:tc>
      </w:tr>
    </w:tbl>
    <w:p>
      <w:pPr>
        <w:pStyle w:val="19"/>
      </w:pPr>
      <w:r>
        <w:rPr>
          <w:rFonts w:hint="eastAsia"/>
        </w:rPr>
        <w:t>本基金本报告期未投资国债期货。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3"/>
        <w:rPr>
          <w:rFonts w:hint="eastAsia"/>
        </w:rPr>
      </w:pPr>
      <w:bookmarkStart w:id="47" w:name="_Toc510100249"/>
      <w:r>
        <w:rPr>
          <w:rFonts w:hint="eastAsia"/>
          <w:b/>
          <w:bCs/>
        </w:rPr>
        <w:t>8.12 投资组合报告附注</w:t>
      </w:r>
      <w:bookmarkEnd w:id="47"/>
    </w:p>
    <w:p>
      <w:pPr>
        <w:pStyle w:val="14"/>
        <w:rPr>
          <w:rFonts w:hint="eastAsia"/>
        </w:rPr>
      </w:pPr>
      <w:r>
        <w:rPr>
          <w:rFonts w:hint="eastAsia"/>
          <w:b/>
          <w:bCs/>
        </w:rPr>
        <w:t>8.12.1 2017年7月4日，四川美丰（000731）公告称公司董事兼总经理陈润应相关部门要求协助调查，暂不能履职。截止公告之时，公司未收到相关部门出具的通知，未知陈润协助调查的事项及原因。公司董事会已授权相关高管代为履行职责，公司生产经营情况一切正常。</w:t>
      </w:r>
      <w:r>
        <w:rPr>
          <w:rFonts w:hint="eastAsia"/>
          <w:b/>
          <w:bCs/>
        </w:rPr>
        <w:br w:type="textWrapping"/>
      </w:r>
      <w:r>
        <w:rPr>
          <w:rFonts w:hint="eastAsia"/>
          <w:b/>
          <w:bCs/>
        </w:rPr>
        <w:t>  本基金投研人员分析认为，该事件发生后该公司经营状况正常，作为央企中国石化下属专业子公司，总经理协助调查对公司经营和业绩影响无显著直接影响。该公司作为化肥和车用环保特种尿素行业龙头之一，目前估值处于历史相对底部，维持持有评级。本基金基金经理依据基金合同和公司投资管理制度，在投资授权范围内，经正常投资决策程序对四川美丰进行了投资。</w:t>
      </w:r>
      <w:r>
        <w:rPr>
          <w:rFonts w:hint="eastAsia"/>
          <w:b/>
          <w:bCs/>
        </w:rPr>
        <w:br w:type="textWrapping"/>
      </w:r>
      <w:r>
        <w:rPr>
          <w:rFonts w:hint="eastAsia"/>
          <w:b/>
          <w:bCs/>
        </w:rPr>
        <w:t>  长江出版传媒股份有限公司 （以下简称"公司"） 于 2017 年8 月 3 日收到湖北证监局 《关于对长江出版传媒股份有限公司采取出具警示函措施的决定》（中国证券监督管理委员会湖北监管局行政监管措施决定书 [2017] 19 号）（以下简称"《决定书》"），在监管中发现公司存在以下违规事实： 2015 年 6 月 8 日，你公司全资子公司武汉德锦投资有限责任公司与公司部分关联自然人共同出资成立武汉丰荟股权投资基金合伙企业，该关联交易未及时履行相应的审议程序和信息披露义务，直至 2017 年 6 月 2 日才追加了相应的审议程序并予以披露。你公司的上述行为违反了《上市公司信息披露管理办法》第四十八条的规定。</w:t>
      </w:r>
      <w:r>
        <w:rPr>
          <w:rFonts w:hint="eastAsia"/>
          <w:b/>
          <w:bCs/>
        </w:rPr>
        <w:br w:type="textWrapping"/>
      </w:r>
      <w:r>
        <w:rPr>
          <w:rFonts w:hint="eastAsia"/>
          <w:b/>
          <w:bCs/>
        </w:rPr>
        <w:t>  本基金投研人员分析认为，在受到处罚后，公司立即回复将按照湖北省证监局的要求，严格加强关联关系及关联交易的识别，切实做好关联交易的信息披露工作。该事件发生后该公司经营状况正常，处罚对业绩影响无直接影响。该公司作为出版行业龙头之一，目前估值处于历史底部，维持持有评级。本基金基金经理依据基金合同和公司投资管理制度，在投资授权范围内，经正常投资决策程序对长江传媒进行了投资。</w:t>
      </w:r>
    </w:p>
    <w:p>
      <w:pPr>
        <w:widowControl/>
        <w:jc w:val="left"/>
        <w:rPr>
          <w:rFonts w:hint="eastAsia" w:ascii="宋体" w:hAnsi="宋体" w:cs="宋体"/>
          <w:kern w:val="0"/>
          <w:sz w:val="24"/>
          <w:szCs w:val="24"/>
        </w:rPr>
      </w:pPr>
    </w:p>
    <w:p>
      <w:pPr>
        <w:pStyle w:val="14"/>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4"/>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24,715.24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-153,271.05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505.24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-128,050.57</w:t>
            </w:r>
          </w:p>
        </w:tc>
      </w:tr>
    </w:tbl>
    <w:p>
      <w:pPr>
        <w:widowControl/>
        <w:jc w:val="left"/>
        <w:rPr>
          <w:rFonts w:hint="eastAsia" w:ascii="宋体" w:hAnsi="宋体" w:cs="宋体"/>
          <w:kern w:val="0"/>
          <w:sz w:val="24"/>
          <w:szCs w:val="24"/>
        </w:rPr>
      </w:pPr>
    </w:p>
    <w:p>
      <w:pPr>
        <w:pStyle w:val="14"/>
        <w:rPr>
          <w:rFonts w:hint="eastAsia"/>
        </w:rPr>
      </w:pPr>
      <w:r>
        <w:rPr>
          <w:rFonts w:hint="eastAsia"/>
          <w:b/>
          <w:bCs/>
        </w:rPr>
        <w:t>8.12.4 期末持有的处于转股期的可转换债券明细</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本基金本报告期末未持有处于转股期的可转换债券。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8.12.5 期末前十名股票中存在流通受限情况的说明</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本基金本报告期末前十名股票不存在流通受限的情况。</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r>
        <w:rPr>
          <w:rFonts w:hint="eastAsia" w:ascii="宋体" w:hAnsi="宋体" w:cs="宋体"/>
          <w:kern w:val="0"/>
          <w:sz w:val="24"/>
          <w:szCs w:val="24"/>
        </w:rPr>
        <w:br w:type="textWrapping"/>
      </w:r>
      <w:r>
        <w:rPr>
          <w:rFonts w:hint="eastAsia" w:ascii="宋体" w:hAnsi="宋体" w:cs="宋体"/>
          <w:kern w:val="0"/>
          <w:sz w:val="24"/>
          <w:szCs w:val="24"/>
        </w:rPr>
        <w:br w:type="textWrapping"/>
      </w:r>
    </w:p>
    <w:p>
      <w:pPr>
        <w:pStyle w:val="12"/>
        <w:rPr>
          <w:rFonts w:hint="eastAsia"/>
        </w:rPr>
      </w:pPr>
      <w:bookmarkStart w:id="48" w:name="_Toc510100250"/>
      <w:r>
        <w:rPr>
          <w:rFonts w:hint="eastAsia" w:hAnsi="Calibri"/>
          <w:b/>
          <w:color w:val="000000"/>
        </w:rPr>
        <w:t>§9  基金份额持有人信息</w:t>
      </w:r>
      <w:bookmarkEnd w:id="48"/>
    </w:p>
    <w:p>
      <w:pPr>
        <w:pStyle w:val="13"/>
        <w:rPr>
          <w:rFonts w:hint="eastAsia"/>
        </w:rPr>
      </w:pPr>
      <w:bookmarkStart w:id="49" w:name="_Toc510100251"/>
      <w:r>
        <w:rPr>
          <w:rFonts w:hint="eastAsia"/>
          <w:b/>
          <w:bCs/>
        </w:rPr>
        <w:t>9.1 期末基金份额持有人户数及持有人结构</w:t>
      </w:r>
      <w:bookmarkEnd w:id="49"/>
    </w:p>
    <w:p>
      <w:pPr>
        <w:pStyle w:val="18"/>
        <w:rPr>
          <w:rFonts w:hint="eastAsia"/>
        </w:rPr>
      </w:pPr>
      <w:r>
        <w:rPr>
          <w:rFonts w:hint="eastAsia" w:hAnsi="Calibri"/>
          <w:color w:val="000000"/>
        </w:rPr>
        <w:t>份额单位：份</w:t>
      </w:r>
    </w:p>
    <w:tbl>
      <w:tblPr>
        <w:tblStyle w:val="7"/>
        <w:tblW w:w="9045" w:type="dxa"/>
        <w:jc w:val="center"/>
        <w:tblLayout w:type="autofit"/>
        <w:tblCellMar>
          <w:top w:w="0" w:type="dxa"/>
          <w:left w:w="108" w:type="dxa"/>
          <w:bottom w:w="0" w:type="dxa"/>
          <w:right w:w="108" w:type="dxa"/>
        </w:tblCellMar>
      </w:tblPr>
      <w:tblGrid>
        <w:gridCol w:w="1441"/>
        <w:gridCol w:w="1800"/>
        <w:gridCol w:w="1311"/>
        <w:gridCol w:w="1291"/>
        <w:gridCol w:w="1911"/>
        <w:gridCol w:w="1291"/>
      </w:tblGrid>
      <w:tr>
        <w:tblPrEx>
          <w:tblCellMar>
            <w:top w:w="0" w:type="dxa"/>
            <w:left w:w="108" w:type="dxa"/>
            <w:bottom w:w="0" w:type="dxa"/>
            <w:right w:w="108" w:type="dxa"/>
          </w:tblCellMar>
        </w:tblPrEx>
        <w:trPr>
          <w:wBefore w:w="0" w:type="auto"/>
          <w:jc w:val="center"/>
        </w:trPr>
        <w:tc>
          <w:tcPr>
            <w:tcW w:w="144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持有人户数(户)</w:t>
            </w:r>
          </w:p>
        </w:tc>
        <w:tc>
          <w:tcPr>
            <w:tcW w:w="18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户均持有的基金份额</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机构投资者</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9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占总份额比例</w:t>
            </w:r>
          </w:p>
        </w:tc>
        <w:tc>
          <w:tcPr>
            <w:tcW w:w="9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105,581.71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98,831.73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631,279,778.38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99.98%</w:t>
            </w:r>
          </w:p>
        </w:tc>
      </w:tr>
    </w:tbl>
    <w:p>
      <w:pPr>
        <w:widowControl/>
        <w:jc w:val="left"/>
        <w:rPr>
          <w:rFonts w:hint="eastAsia" w:ascii="宋体" w:hAnsi="宋体" w:cs="宋体"/>
          <w:kern w:val="0"/>
          <w:sz w:val="24"/>
          <w:szCs w:val="24"/>
        </w:rPr>
      </w:pPr>
    </w:p>
    <w:p>
      <w:pPr>
        <w:pStyle w:val="13"/>
        <w:rPr>
          <w:rFonts w:hint="eastAsia"/>
        </w:rPr>
      </w:pPr>
      <w:bookmarkStart w:id="50" w:name="_Toc510100252"/>
      <w:r>
        <w:rPr>
          <w:rFonts w:hint="eastAsia" w:hAnsi="Calibri"/>
          <w:b/>
          <w:color w:val="000000"/>
        </w:rPr>
        <w:t>9.2期末基金管理人的从业人员持有本基金的情况</w:t>
      </w:r>
      <w:bookmarkEnd w:id="50"/>
    </w:p>
    <w:tbl>
      <w:tblPr>
        <w:tblStyle w:val="7"/>
        <w:tblW w:w="9045" w:type="dxa"/>
        <w:jc w:val="center"/>
        <w:tblLayout w:type="autofit"/>
        <w:tblCellMar>
          <w:top w:w="0" w:type="dxa"/>
          <w:left w:w="108" w:type="dxa"/>
          <w:bottom w:w="0" w:type="dxa"/>
          <w:right w:w="108" w:type="dxa"/>
        </w:tblCellMar>
      </w:tblPr>
      <w:tblGrid>
        <w:gridCol w:w="4116"/>
        <w:gridCol w:w="2336"/>
        <w:gridCol w:w="2593"/>
      </w:tblGrid>
      <w:tr>
        <w:tblPrEx>
          <w:tblCellMar>
            <w:top w:w="0" w:type="dxa"/>
            <w:left w:w="108" w:type="dxa"/>
            <w:bottom w:w="0" w:type="dxa"/>
            <w:right w:w="108" w:type="dxa"/>
          </w:tblCellMar>
        </w:tblPrEx>
        <w:trPr>
          <w:wBefore w:w="0" w:type="auto"/>
          <w:jc w:val="center"/>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189,949.58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0.0300%</w:t>
            </w:r>
          </w:p>
        </w:tc>
      </w:tr>
    </w:tbl>
    <w:p>
      <w:pPr>
        <w:widowControl/>
        <w:jc w:val="left"/>
        <w:rPr>
          <w:rFonts w:hint="eastAsia" w:ascii="宋体" w:hAnsi="宋体" w:cs="宋体"/>
          <w:kern w:val="0"/>
          <w:sz w:val="24"/>
          <w:szCs w:val="24"/>
        </w:rPr>
      </w:pPr>
    </w:p>
    <w:p>
      <w:pPr>
        <w:pStyle w:val="13"/>
        <w:rPr>
          <w:rFonts w:hint="eastAsia"/>
        </w:rPr>
      </w:pPr>
      <w:bookmarkStart w:id="51" w:name="_Toc510100253"/>
      <w:r>
        <w:rPr>
          <w:rFonts w:hint="eastAsia"/>
          <w:b/>
          <w:bCs/>
        </w:rPr>
        <w:t>9.3期末基金管理人的从业人员持有本开放式基金份额总量区间情况</w:t>
      </w:r>
      <w:bookmarkEnd w:id="51"/>
    </w:p>
    <w:tbl>
      <w:tblPr>
        <w:tblStyle w:val="7"/>
        <w:tblW w:w="9045" w:type="dxa"/>
        <w:jc w:val="center"/>
        <w:tblLayout w:type="autofit"/>
        <w:tblCellMar>
          <w:top w:w="0" w:type="dxa"/>
          <w:left w:w="108" w:type="dxa"/>
          <w:bottom w:w="0" w:type="dxa"/>
          <w:right w:w="108" w:type="dxa"/>
        </w:tblCellMar>
      </w:tblPr>
      <w:tblGrid>
        <w:gridCol w:w="4522"/>
        <w:gridCol w:w="4523"/>
      </w:tblGrid>
      <w:tr>
        <w:tblPrEx>
          <w:tblCellMar>
            <w:top w:w="0" w:type="dxa"/>
            <w:left w:w="108" w:type="dxa"/>
            <w:bottom w:w="0" w:type="dxa"/>
            <w:right w:w="108" w:type="dxa"/>
          </w:tblCellMar>
        </w:tblPrEx>
        <w:trPr>
          <w:wBefore w:w="0" w:type="auto"/>
          <w:jc w:val="center"/>
        </w:trPr>
        <w:tc>
          <w:tcPr>
            <w:tcW w:w="2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10~50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w:t>
            </w:r>
          </w:p>
        </w:tc>
      </w:tr>
    </w:tbl>
    <w:p>
      <w:pPr>
        <w:pStyle w:val="12"/>
        <w:rPr>
          <w:rFonts w:hint="eastAsia"/>
        </w:rPr>
      </w:pPr>
      <w:bookmarkStart w:id="52" w:name="_Toc510100254"/>
      <w:r>
        <w:rPr>
          <w:rFonts w:hint="eastAsia" w:hAnsi="Calibri"/>
          <w:b/>
          <w:color w:val="000000"/>
        </w:rPr>
        <w:t>§10  开放式基金份额变动</w:t>
      </w:r>
      <w:bookmarkEnd w:id="52"/>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0" w:type="auto"/>
        <w:tblInd w:w="108" w:type="dxa"/>
        <w:tblLayout w:type="autofit"/>
        <w:tblCellMar>
          <w:top w:w="0" w:type="dxa"/>
          <w:left w:w="108" w:type="dxa"/>
          <w:bottom w:w="0" w:type="dxa"/>
          <w:right w:w="108" w:type="dxa"/>
        </w:tblCellMar>
      </w:tblPr>
      <w:tblGrid>
        <w:gridCol w:w="6138"/>
        <w:gridCol w:w="2890"/>
      </w:tblGrid>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基金合同生效日(2017年09月27日)基金份额总额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822,948,446.55</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基金合同生效日起至报告期期末基金总申购份额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1,981,569.92</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减：基金合同生效日起至报告期期末基金总赎回份额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193,551,406.36</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基金合同生效日起至报告期期末基金拆分变动份额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本报告期期末基金份额总额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631,378,610.11</w:t>
            </w:r>
          </w:p>
        </w:tc>
      </w:tr>
    </w:tbl>
    <w:p>
      <w:pPr>
        <w:pStyle w:val="12"/>
        <w:rPr>
          <w:rFonts w:hint="eastAsia"/>
        </w:rPr>
      </w:pPr>
      <w:bookmarkStart w:id="53" w:name="_Toc510100255"/>
      <w:r>
        <w:rPr>
          <w:rFonts w:hint="eastAsia" w:hAnsi="Calibri"/>
          <w:b/>
          <w:color w:val="000000"/>
        </w:rPr>
        <w:t>§11  重大事件揭示</w:t>
      </w:r>
      <w:bookmarkEnd w:id="53"/>
    </w:p>
    <w:p>
      <w:pPr>
        <w:widowControl/>
        <w:jc w:val="left"/>
        <w:rPr>
          <w:rFonts w:hint="eastAsia" w:ascii="宋体" w:hAnsi="宋体" w:cs="宋体"/>
          <w:kern w:val="0"/>
          <w:sz w:val="24"/>
          <w:szCs w:val="24"/>
        </w:rPr>
      </w:pPr>
    </w:p>
    <w:p>
      <w:pPr>
        <w:pStyle w:val="13"/>
        <w:rPr>
          <w:rFonts w:hint="eastAsia"/>
        </w:rPr>
      </w:pPr>
      <w:bookmarkStart w:id="54" w:name="_Toc510100256"/>
      <w:r>
        <w:rPr>
          <w:rFonts w:hint="eastAsia"/>
          <w:b/>
          <w:bCs/>
        </w:rPr>
        <w:t>11.1 基金份额持有人大会决议</w:t>
      </w:r>
      <w:bookmarkEnd w:id="54"/>
    </w:p>
    <w:p>
      <w:pPr>
        <w:pStyle w:val="19"/>
        <w:rPr>
          <w:rFonts w:hint="eastAsia"/>
        </w:rPr>
      </w:pPr>
      <w:r>
        <w:rPr>
          <w:rFonts w:hint="eastAsia"/>
        </w:rPr>
        <w:t>  本报告期内未召开基金份额持有人大会。</w:t>
      </w:r>
    </w:p>
    <w:p>
      <w:pPr>
        <w:pStyle w:val="13"/>
        <w:rPr>
          <w:rFonts w:hint="eastAsia"/>
        </w:rPr>
      </w:pPr>
      <w:bookmarkStart w:id="55" w:name="_Toc510100257"/>
      <w:r>
        <w:rPr>
          <w:rFonts w:hint="eastAsia"/>
          <w:b/>
          <w:bCs/>
        </w:rPr>
        <w:t>11.2 基金管理人、基金托管人的专门基金托管部门的重大人事变动</w:t>
      </w:r>
      <w:bookmarkEnd w:id="55"/>
    </w:p>
    <w:p>
      <w:pPr>
        <w:pStyle w:val="19"/>
        <w:rPr>
          <w:rFonts w:hint="eastAsia"/>
        </w:rPr>
      </w:pPr>
      <w:r>
        <w:rPr>
          <w:rFonts w:hint="eastAsia"/>
        </w:rPr>
        <w:t>  本报告期内基金管理人、基金托管人的专门基金托管部门无重大人事变动。</w:t>
      </w:r>
    </w:p>
    <w:p>
      <w:pPr>
        <w:pStyle w:val="13"/>
        <w:rPr>
          <w:rFonts w:hint="eastAsia"/>
        </w:rPr>
      </w:pPr>
      <w:bookmarkStart w:id="56" w:name="_Toc510100258"/>
      <w:r>
        <w:rPr>
          <w:rFonts w:hint="eastAsia"/>
          <w:b/>
          <w:bCs/>
        </w:rPr>
        <w:t>11.3 涉及基金管理人、基金财产、基金托管业务的诉讼</w:t>
      </w:r>
      <w:bookmarkEnd w:id="56"/>
    </w:p>
    <w:p>
      <w:pPr>
        <w:pStyle w:val="19"/>
        <w:rPr>
          <w:rFonts w:hint="eastAsia"/>
        </w:rPr>
      </w:pPr>
      <w:r>
        <w:rPr>
          <w:rFonts w:hint="eastAsia"/>
        </w:rPr>
        <w:t>  本报告期内，未出现涉及基金管理人、基金财产、基金托管业务的诉讼。</w:t>
      </w:r>
    </w:p>
    <w:p>
      <w:pPr>
        <w:pStyle w:val="13"/>
        <w:rPr>
          <w:rFonts w:hint="eastAsia"/>
        </w:rPr>
      </w:pPr>
      <w:bookmarkStart w:id="57" w:name="_Toc510100259"/>
      <w:r>
        <w:rPr>
          <w:rFonts w:hint="eastAsia"/>
          <w:b/>
          <w:bCs/>
        </w:rPr>
        <w:t>11.4 基金投资策略的改变</w:t>
      </w:r>
      <w:bookmarkEnd w:id="57"/>
    </w:p>
    <w:p>
      <w:pPr>
        <w:pStyle w:val="19"/>
        <w:rPr>
          <w:rFonts w:hint="eastAsia"/>
        </w:rPr>
      </w:pPr>
      <w:r>
        <w:rPr>
          <w:rFonts w:hint="eastAsia"/>
        </w:rPr>
        <w:t>  本报告期内基金投资策略无重大改变。</w:t>
      </w:r>
    </w:p>
    <w:p>
      <w:pPr>
        <w:pStyle w:val="13"/>
        <w:rPr>
          <w:rFonts w:hint="eastAsia"/>
        </w:rPr>
      </w:pPr>
      <w:bookmarkStart w:id="58" w:name="_Toc510100260"/>
      <w:r>
        <w:rPr>
          <w:rFonts w:hint="eastAsia"/>
          <w:b/>
          <w:bCs/>
        </w:rPr>
        <w:t>11.5 为基金进行审计的会计师事务所情况</w:t>
      </w:r>
      <w:bookmarkEnd w:id="58"/>
    </w:p>
    <w:p>
      <w:pPr>
        <w:pStyle w:val="13"/>
        <w:rPr>
          <w:rFonts w:hint="eastAsia"/>
        </w:rPr>
      </w:pPr>
      <w:bookmarkStart w:id="59" w:name="_Toc510100261"/>
      <w:r>
        <w:rPr>
          <w:rFonts w:hint="eastAsia"/>
          <w:b/>
          <w:bCs/>
        </w:rPr>
        <w:t>11.6 管理人、托管人及其高级管理人员受稽查或处罚等情况</w:t>
      </w:r>
      <w:bookmarkEnd w:id="59"/>
    </w:p>
    <w:p>
      <w:pPr>
        <w:pStyle w:val="19"/>
        <w:rPr>
          <w:rFonts w:hint="eastAsia"/>
        </w:rPr>
      </w:pPr>
      <w:r>
        <w:rPr>
          <w:rFonts w:hint="eastAsia"/>
        </w:rPr>
        <w:t>  本报告期内，未出现管理人、托管人及其高级管理人员受监管部门稽查或处罚的情况。</w:t>
      </w:r>
    </w:p>
    <w:p>
      <w:pPr>
        <w:pStyle w:val="13"/>
        <w:rPr>
          <w:rFonts w:hint="eastAsia"/>
        </w:rPr>
      </w:pPr>
      <w:bookmarkStart w:id="60" w:name="_Toc510100262"/>
      <w:r>
        <w:rPr>
          <w:rFonts w:hint="eastAsia"/>
          <w:b/>
          <w:bCs/>
        </w:rPr>
        <w:t>11.7 基金租用证券公司交易单元的有关情况</w:t>
      </w:r>
      <w:bookmarkEnd w:id="60"/>
    </w:p>
    <w:p>
      <w:pPr>
        <w:pStyle w:val="14"/>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2151"/>
        <w:gridCol w:w="1080"/>
        <w:gridCol w:w="1720"/>
        <w:gridCol w:w="1050"/>
        <w:gridCol w:w="1276"/>
        <w:gridCol w:w="1070"/>
        <w:gridCol w:w="698"/>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券商名称</w:t>
            </w:r>
          </w:p>
        </w:tc>
        <w:tc>
          <w:tcPr>
            <w:tcW w:w="108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交易单元数量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佣金</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61,587,432.18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44,878.48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56.74%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13,400,006.48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9,702.15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41,248,979.00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9,434.86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20,624,684.27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15,083.03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19.07%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bl>
    <w:p>
      <w:pPr>
        <w:pStyle w:val="19"/>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本基金在报告期内成立，交易单元均于本期内新增。</w:t>
      </w:r>
    </w:p>
    <w:p>
      <w:pPr>
        <w:widowControl/>
        <w:jc w:val="left"/>
        <w:rPr>
          <w:rFonts w:hint="eastAsia" w:ascii="宋体" w:hAnsi="宋体" w:cs="宋体"/>
          <w:kern w:val="0"/>
          <w:sz w:val="24"/>
          <w:szCs w:val="24"/>
        </w:rPr>
      </w:pPr>
    </w:p>
    <w:p>
      <w:pPr>
        <w:pStyle w:val="14"/>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2152"/>
        <w:gridCol w:w="618"/>
        <w:gridCol w:w="1050"/>
        <w:gridCol w:w="839"/>
        <w:gridCol w:w="1050"/>
        <w:gridCol w:w="618"/>
        <w:gridCol w:w="1050"/>
        <w:gridCol w:w="618"/>
        <w:gridCol w:w="1050"/>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券商名称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13,624,000,000.00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47.05%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410,000,000.00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3,510,000,000.00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8,340,000,000.00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3,070,000,000.00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1" w:name="_Toc510100263"/>
      <w:r>
        <w:rPr>
          <w:rFonts w:hint="eastAsia"/>
          <w:b/>
          <w:bCs/>
        </w:rPr>
        <w:t>11.8 其他重大事件</w:t>
      </w:r>
      <w:bookmarkEnd w:id="61"/>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创金合信优选回报灵活配置混合型证券投资基金基金份额发售公告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2017-08-22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创金合信优选回报灵活配置混合型证券投资基金基金合同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2017-08-22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创金合信优选回报灵活配置混合型证券投资基金基金合同摘要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2017-08-22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创金合信优选回报灵活配置混合型证券投资基金托管协议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2017-08-22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创金合信优选回报灵活配置混合型证券投资基金招募说明书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2017-08-22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创金合信基金管理有限公司关于旗下创金合信优选回报基金增加安信证券为代销机构的公告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2017-08-24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创金合信基金管理有限公司关于旗下创金合信优选回报基金增加唐鼎耀华为代销机构的公告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创金合信基金管理有限公司关于旗下创金合信优选回报灵活配置混合型证券投资基金增加平安银行为代销机构的公告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创金合信基金管理有限公司关于旗下部分开放式基金增加万家财富为代销机构的公告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2017-08-28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创金合信优选回报灵活配置混合型证券投资基金关于增加华泰证券为代销机构暨参与华泰证券费率优惠活动的公告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2017-08-28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创金合信基金管理有限公司关于旗下创金合信优选回报灵活配置混合型证券投资基金增加东莞证券为代销机构的公告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2017-09-01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创金合信基金管理有限公司关于旗下创金合信优选回报灵活配置混合型证券投资基金增加国信证券为代销机构的公告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2017-09-05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创金合信优选回报灵活配置混合型证券投资基金关于增加中泰证券为代销机构暨参与中泰证券费率优惠活动的公告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2017-09-06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创金合信基金管理有限公司关于创金合信优选回报灵活配置混合型证券投资基金增加部分代销机构的公告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2017-09-07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创金合信基金管理有限公司旗下部分开放式基金增加招商银行为代销机构的公告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2017-09-11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创金合信基金管理有限公司关于旗下部分开放式基金增加太平洋证券为代销机构的公告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2017-09-12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创金合信基金管理有限公司关于旗下部分开放式基金增加光大证券为代销机构的公告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2017-09-13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创金合信基金管理有限公司关于旗下创金合信优选回报灵活配置混合型证券投资基金增加兴业银行为代销机构的公告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2017-09-18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创金合信优选回报灵活配置混合型证券投资基金基金合同生效公告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2017-09-28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创金合信基金管理有限公司关于旗下部分开放式基金增加世纪证券为代销机构的公告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创金合信基金管理有限公司关于旗下部分开放式基金增加包商银行为代销机构的公告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创金合信优选回报灵活配置混合型证券投资基金开放日常申购、赎回、转换、定期定额投资业务的公告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创金合信基金管理有限公司关于增值税对资产管理产品影响告投资者通知书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2017-12-30</w:t>
            </w:r>
          </w:p>
        </w:tc>
      </w:tr>
    </w:tbl>
    <w:p>
      <w:pPr>
        <w:widowControl/>
        <w:jc w:val="left"/>
        <w:rPr>
          <w:rFonts w:hint="eastAsia" w:ascii="宋体" w:hAnsi="宋体" w:cs="宋体"/>
          <w:kern w:val="0"/>
          <w:sz w:val="24"/>
          <w:szCs w:val="24"/>
        </w:rPr>
      </w:pPr>
    </w:p>
    <w:p>
      <w:pPr>
        <w:pStyle w:val="12"/>
        <w:rPr>
          <w:rFonts w:hint="eastAsia"/>
        </w:rPr>
      </w:pPr>
      <w:bookmarkStart w:id="62" w:name="_Toc510100264"/>
      <w:r>
        <w:rPr>
          <w:rFonts w:hint="eastAsia" w:hAnsi="Calibri"/>
          <w:b/>
          <w:color w:val="000000"/>
        </w:rPr>
        <w:t>§12  影响投资者决策的其他重要信息</w:t>
      </w:r>
      <w:bookmarkEnd w:id="62"/>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3" w:name="_Toc510100265"/>
      <w:r>
        <w:rPr>
          <w:rFonts w:hint="eastAsia"/>
          <w:b/>
          <w:bCs/>
        </w:rPr>
        <w:t>12.1 报告期内单一投资者持有基金份额比例达到或超过20%的情况</w:t>
      </w:r>
      <w:bookmarkEnd w:id="63"/>
    </w:p>
    <w:p>
      <w:pPr>
        <w:pStyle w:val="19"/>
        <w:rPr>
          <w:rFonts w:hint="eastAsia"/>
        </w:rPr>
      </w:pPr>
      <w:r>
        <w:rPr>
          <w:rFonts w:hint="eastAsia"/>
        </w:rPr>
        <w:t>本基金在报告期内不存在单一投资者持有基金份额比例达到或超过20%的情况。 </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4" w:name="_Toc510100266"/>
      <w:r>
        <w:rPr>
          <w:rFonts w:hint="eastAsia"/>
          <w:b/>
          <w:bCs/>
        </w:rPr>
        <w:t>12.2 影响投资者决策的其他重要信息</w:t>
      </w:r>
      <w:bookmarkEnd w:id="64"/>
    </w:p>
    <w:p>
      <w:pPr>
        <w:pStyle w:val="16"/>
        <w:rPr>
          <w:rFonts w:hint="eastAsia"/>
        </w:rPr>
      </w:pPr>
      <w:r>
        <w:rPr>
          <w:rFonts w:hint="eastAsia"/>
        </w:rPr>
        <w:t>  本报告期，未出现影响投资者决策的其他重要信息。</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2"/>
        <w:rPr>
          <w:rFonts w:hint="eastAsia"/>
        </w:rPr>
      </w:pPr>
      <w:bookmarkStart w:id="65" w:name="_Toc510100267"/>
      <w:r>
        <w:rPr>
          <w:rFonts w:hint="eastAsia" w:hAnsi="Calibri"/>
          <w:b/>
          <w:color w:val="000000"/>
        </w:rPr>
        <w:t>§13  备查文件目录</w:t>
      </w:r>
      <w:bookmarkEnd w:id="65"/>
    </w:p>
    <w:p>
      <w:pPr>
        <w:widowControl/>
        <w:jc w:val="left"/>
        <w:rPr>
          <w:rFonts w:hint="eastAsia" w:ascii="宋体" w:hAnsi="宋体" w:cs="宋体"/>
          <w:kern w:val="0"/>
          <w:sz w:val="24"/>
          <w:szCs w:val="24"/>
        </w:rPr>
      </w:pPr>
    </w:p>
    <w:p>
      <w:pPr>
        <w:pStyle w:val="13"/>
        <w:rPr>
          <w:rFonts w:hint="eastAsia"/>
        </w:rPr>
      </w:pPr>
      <w:bookmarkStart w:id="66" w:name="_Toc510100268"/>
      <w:r>
        <w:rPr>
          <w:rFonts w:hint="eastAsia"/>
          <w:b/>
          <w:bCs/>
        </w:rPr>
        <w:t>13.1 备查文件目录</w:t>
      </w:r>
      <w:r>
        <w:rPr>
          <w:rFonts w:hint="eastAsia"/>
        </w:rPr>
        <w:t>.</w:t>
      </w:r>
      <w:bookmarkEnd w:id="66"/>
    </w:p>
    <w:p>
      <w:pPr>
        <w:pStyle w:val="19"/>
        <w:rPr>
          <w:rFonts w:hint="eastAsia"/>
        </w:rPr>
      </w:pPr>
      <w:r>
        <w:rPr>
          <w:rFonts w:hint="eastAsia"/>
        </w:rPr>
        <w:t>  1、《创金合信优选回报灵活配置混合型证券投资基金基金合同》;</w:t>
      </w:r>
      <w:r>
        <w:rPr>
          <w:rFonts w:hint="eastAsia"/>
        </w:rPr>
        <w:br w:type="textWrapping"/>
      </w:r>
      <w:r>
        <w:rPr>
          <w:rFonts w:hint="eastAsia"/>
        </w:rPr>
        <w:t>  2、《创金合信优选回报灵活配置混合型证券投资基金托管协议》;</w:t>
      </w:r>
      <w:r>
        <w:rPr>
          <w:rFonts w:hint="eastAsia"/>
        </w:rPr>
        <w:br w:type="textWrapping"/>
      </w:r>
      <w:r>
        <w:rPr>
          <w:rFonts w:hint="eastAsia"/>
        </w:rPr>
        <w:t>  3、创金合信优选回报灵活配置混合型证券投资基金2017年年度报告</w:t>
      </w:r>
    </w:p>
    <w:p>
      <w:pPr>
        <w:pStyle w:val="13"/>
        <w:rPr>
          <w:rFonts w:hint="eastAsia"/>
        </w:rPr>
      </w:pPr>
      <w:bookmarkStart w:id="67" w:name="_Toc510100269"/>
      <w:r>
        <w:rPr>
          <w:rFonts w:hint="eastAsia"/>
          <w:b/>
          <w:bCs/>
        </w:rPr>
        <w:t>13.2 存放地点</w:t>
      </w:r>
      <w:bookmarkEnd w:id="67"/>
    </w:p>
    <w:p>
      <w:pPr>
        <w:pStyle w:val="19"/>
        <w:rPr>
          <w:rFonts w:hint="eastAsia"/>
        </w:rPr>
      </w:pPr>
      <w:r>
        <w:rPr>
          <w:rFonts w:hint="eastAsia"/>
        </w:rPr>
        <w:t>  深圳市福田中心区福华一路115号投行大厦15楼</w:t>
      </w:r>
    </w:p>
    <w:p>
      <w:pPr>
        <w:pStyle w:val="13"/>
        <w:rPr>
          <w:rFonts w:hint="eastAsia"/>
        </w:rPr>
      </w:pPr>
      <w:bookmarkStart w:id="68" w:name="_Toc510100270"/>
      <w:r>
        <w:rPr>
          <w:rFonts w:hint="eastAsia"/>
          <w:b/>
          <w:bCs/>
        </w:rPr>
        <w:t>13.3 查阅方式</w:t>
      </w:r>
      <w:bookmarkEnd w:id="68"/>
    </w:p>
    <w:p>
      <w:pPr>
        <w:pStyle w:val="19"/>
        <w:rPr>
          <w:rFonts w:hint="eastAsia"/>
        </w:rPr>
      </w:pPr>
      <w:r>
        <w:rPr>
          <w:rFonts w:hint="eastAsia"/>
        </w:rPr>
        <w:t>  www.cjhxfund.com</w:t>
      </w:r>
    </w:p>
    <w:p>
      <w:pPr>
        <w:widowControl/>
        <w:spacing w:after="240"/>
        <w:jc w:val="left"/>
        <w:rPr>
          <w:rFonts w:hint="eastAsia" w:ascii="宋体" w:hAnsi="宋体" w:cs="宋体"/>
          <w:kern w:val="0"/>
          <w:sz w:val="24"/>
          <w:szCs w:val="24"/>
        </w:rPr>
      </w:pPr>
      <w:r>
        <w:rPr>
          <w:rFonts w:hint="eastAsia" w:ascii="宋体" w:hAnsi="宋体" w:cs="宋体"/>
          <w:kern w:val="0"/>
          <w:sz w:val="24"/>
          <w:szCs w:val="24"/>
        </w:rPr>
        <w:br w:type="textWrapping"/>
      </w:r>
    </w:p>
    <w:p>
      <w:pPr>
        <w:pStyle w:val="18"/>
        <w:rPr>
          <w:rFonts w:hint="eastAsia"/>
        </w:rPr>
      </w:pPr>
      <w:r>
        <w:rPr>
          <w:rFonts w:hint="eastAsia" w:hAnsi="Calibri"/>
          <w:b/>
          <w:bCs/>
          <w:color w:val="000000"/>
        </w:rPr>
        <w:t>创金合信基金管理有限公司</w:t>
      </w:r>
    </w:p>
    <w:p>
      <w:pPr>
        <w:pStyle w:val="18"/>
        <w:rPr>
          <w:rFonts w:hint="eastAsia"/>
        </w:rPr>
      </w:pPr>
      <w:r>
        <w:rPr>
          <w:rFonts w:hint="eastAsia" w:hAnsi="Calibri"/>
          <w:b/>
          <w:bCs/>
          <w:color w:val="000000"/>
        </w:rPr>
        <w:t>二〇一八年三月三十一日</w:t>
      </w:r>
    </w:p>
    <w:p>
      <w:pPr>
        <w:pStyle w:val="23"/>
        <w:autoSpaceDE w:val="0"/>
        <w:autoSpaceDN w:val="0"/>
        <w:adjustRightInd w:val="0"/>
        <w:spacing w:before="145" w:beforeAutospacing="0" w:after="0" w:afterAutospacing="0" w:line="288" w:lineRule="auto"/>
        <w:ind w:left="15"/>
        <w:jc w:val="right"/>
        <w:rPr>
          <w:rFonts w:hint="eastAsia"/>
          <w:b/>
        </w:rPr>
      </w:pPr>
    </w:p>
    <w:sectPr>
      <w:headerReference r:id="rId5" w:type="first"/>
      <w:footerReference r:id="rId8" w:type="first"/>
      <w:headerReference r:id="rId3" w:type="default"/>
      <w:footerReference r:id="rId6" w:type="default"/>
      <w:headerReference r:id="rId4" w:type="even"/>
      <w:footerReference r:id="rId7"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lang/>
      </w:rPr>
      <w:t>5</w:t>
    </w:r>
    <w:r>
      <w:rPr>
        <w:rStyle w:val="9"/>
      </w:rPr>
      <w:fldChar w:fldCharType="end"/>
    </w:r>
  </w:p>
  <w:p>
    <w:pPr>
      <w:pStyle w:val="2"/>
      <w:jc w:val="center"/>
    </w:pPr>
    <w:r>
      <w:rPr>
        <w:rFonts w:hint="eastAsia"/>
      </w:rPr>
      <w:t xml:space="preserve">                   第       页，共58页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rFonts w:hint="eastAsia"/>
      </w:rPr>
      <w:t>创金合信优选回报灵活配置混合型证券投资基金2017年年度报告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B2E06"/>
    <w:rsid w:val="004B1AE3"/>
    <w:rsid w:val="0078051A"/>
    <w:rsid w:val="00CB2E06"/>
    <w:rsid w:val="00FD3000"/>
    <w:rsid w:val="3130100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5"/>
    <w:unhideWhenUsed/>
    <w:uiPriority w:val="99"/>
    <w:pPr>
      <w:tabs>
        <w:tab w:val="center" w:pos="4153"/>
        <w:tab w:val="right" w:pos="8306"/>
      </w:tabs>
      <w:snapToGrid w:val="0"/>
      <w:jc w:val="left"/>
    </w:pPr>
    <w:rPr>
      <w:sz w:val="18"/>
      <w:szCs w:val="18"/>
    </w:rPr>
  </w:style>
  <w:style w:type="paragraph" w:styleId="3">
    <w:name w:val="header"/>
    <w:basedOn w:val="1"/>
    <w:link w:val="24"/>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page number"/>
    <w:semiHidden/>
    <w:unhideWhenUsed/>
    <w:uiPriority w:val="99"/>
  </w:style>
  <w:style w:type="character" w:styleId="10">
    <w:name w:val="Hyperlink"/>
    <w:unhideWhenUsed/>
    <w:uiPriority w:val="99"/>
    <w:rPr>
      <w:color w:val="0563C1"/>
      <w:u w:val="single"/>
    </w:rPr>
  </w:style>
  <w:style w:type="paragraph" w:customStyle="1" w:styleId="11">
    <w:name w:val="msonormal1"/>
    <w:qFormat/>
    <w:uiPriority w:val="0"/>
    <w:pPr>
      <w:widowControl w:val="0"/>
      <w:jc w:val="both"/>
    </w:pPr>
    <w:rPr>
      <w:kern w:val="2"/>
      <w:sz w:val="21"/>
      <w:szCs w:val="22"/>
      <w:lang w:val="en-US" w:eastAsia="zh-CN" w:bidi="ar-SA"/>
    </w:rPr>
  </w:style>
  <w:style w:type="paragraph" w:customStyle="1" w:styleId="12">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3">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4">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5">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6">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7">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8">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19">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0">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1">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2">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3">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4">
    <w:name w:val="页眉 Char"/>
    <w:link w:val="3"/>
    <w:locked/>
    <w:uiPriority w:val="99"/>
    <w:rPr>
      <w:rFonts w:hint="default" w:ascii="Times New Roman" w:hAnsi="Times New Roman" w:cs="Times New Roman"/>
      <w:sz w:val="18"/>
      <w:szCs w:val="18"/>
    </w:rPr>
  </w:style>
  <w:style w:type="character" w:customStyle="1" w:styleId="25">
    <w:name w:val="页脚 Char"/>
    <w:link w:val="2"/>
    <w:locked/>
    <w:uiPriority w:val="99"/>
    <w:rPr>
      <w:rFonts w:hint="default" w:ascii="Times New Roman" w:hAnsi="Times New Roman" w:cs="Times New Roman"/>
      <w:sz w:val="18"/>
      <w:szCs w:val="18"/>
    </w:rPr>
  </w:style>
  <w:style w:type="character" w:customStyle="1" w:styleId="26">
    <w:name w:val="biaoge_left1"/>
    <w:basedOn w:val="8"/>
    <w:uiPriority w:val="0"/>
  </w:style>
  <w:style w:type="character" w:customStyle="1" w:styleId="27">
    <w:name w:val="$sfzbgqn"/>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56</Pages>
  <Words>6631</Words>
  <Characters>37800</Characters>
  <Lines>315</Lines>
  <Paragraphs>88</Paragraphs>
  <TotalTime>0</TotalTime>
  <ScaleCrop>false</ScaleCrop>
  <LinksUpToDate>false</LinksUpToDate>
  <CharactersWithSpaces>44343</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2018-03-29T07:21:00Z</dcterms:created>
  <dc:creator>贺祎琪</dc:creator>
  <cp:lastModifiedBy>Administrator</cp:lastModifiedBy>
  <dcterms:modified xsi:type="dcterms:W3CDTF">2019-12-26T14:10:00Z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