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69" w:name="_GoBack"/>
      <w:bookmarkEnd w:id="69"/>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创金合信优选回报灵活配置混合型证券投资基金</w:t>
      </w:r>
    </w:p>
    <w:p>
      <w:pPr>
        <w:widowControl/>
        <w:spacing w:before="240" w:after="120"/>
        <w:jc w:val="center"/>
        <w:rPr>
          <w:rFonts w:ascii="宋体" w:hAnsi="宋体"/>
          <w:b/>
          <w:color w:val="000000"/>
          <w:sz w:val="36"/>
        </w:rPr>
      </w:pPr>
    </w:p>
    <w:p>
      <w:pPr>
        <w:widowControl/>
        <w:spacing w:before="240" w:after="120"/>
        <w:jc w:val="center"/>
        <w:rPr>
          <w:rFonts w:ascii="黑体" w:hAnsi="黑体" w:eastAsia="黑体"/>
          <w:b/>
          <w:color w:val="000000"/>
          <w:sz w:val="36"/>
        </w:rPr>
      </w:pPr>
      <w:r>
        <w:rPr>
          <w:rFonts w:ascii="黑体" w:hAnsi="黑体" w:eastAsia="黑体"/>
          <w:b/>
          <w:color w:val="000000"/>
          <w:sz w:val="36"/>
        </w:rPr>
        <w:t>2018年年度报告</w:t>
      </w:r>
    </w:p>
    <w:p>
      <w:pPr>
        <w:widowControl/>
        <w:spacing w:before="240" w:after="120"/>
        <w:jc w:val="center"/>
        <w:rPr>
          <w:rFonts w:ascii="宋体" w:hAnsi="宋体"/>
          <w:b/>
          <w:color w:val="000000"/>
          <w:sz w:val="24"/>
        </w:rPr>
      </w:pPr>
      <w:r>
        <w:rPr>
          <w:rFonts w:ascii="宋体" w:hAnsi="宋体"/>
          <w:b/>
          <w:color w:val="000000"/>
          <w:sz w:val="24"/>
        </w:rPr>
        <w:t>2018年12月31日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基金托管人:中国工商银行股份有限公司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送出日期:2019年03月29日</w:t>
      </w:r>
      <w:r>
        <w:rPr>
          <w:b/>
          <w:color w:val="000000"/>
        </w:rPr>
        <w:br w:type="page"/>
      </w:r>
    </w:p>
    <w:p>
      <w:pPr>
        <w:pStyle w:val="16"/>
        <w:spacing w:before="240" w:after="120"/>
      </w:pPr>
      <w:bookmarkStart w:id="0" w:name="_Toc4172342"/>
      <w:r>
        <w:rPr>
          <w:rFonts w:hint="eastAsia" w:hAnsi="Calibri"/>
          <w:b/>
          <w:color w:val="000000"/>
        </w:rPr>
        <w:t>§1  重要提示及目录</w:t>
      </w:r>
      <w:bookmarkEnd w:id="0"/>
      <w:r>
        <w:rPr>
          <w:rFonts w:hint="eastAsia"/>
        </w:rPr>
        <w:t xml:space="preserve"> </w:t>
      </w:r>
    </w:p>
    <w:p>
      <w:pPr>
        <w:pStyle w:val="17"/>
        <w:rPr>
          <w:rFonts w:hint="eastAsia"/>
        </w:rPr>
      </w:pPr>
      <w:bookmarkStart w:id="1" w:name="_Toc4172343"/>
      <w:r>
        <w:rPr>
          <w:rFonts w:hint="eastAsia"/>
          <w:b/>
          <w:bCs/>
        </w:rPr>
        <w:t>1.1 重要提示</w:t>
      </w:r>
      <w:bookmarkEnd w:id="1"/>
    </w:p>
    <w:tbl>
      <w:tblPr>
        <w:tblStyle w:val="10"/>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pStyle w:val="20"/>
              <w:wordWrap w:val="0"/>
              <w:spacing w:before="0"/>
              <w:ind w:left="0" w:firstLine="480"/>
              <w:rPr>
                <w:rFonts w:hint="eastAsia"/>
              </w:rPr>
            </w:pPr>
            <w:r>
              <w:rPr>
                <w:rFonts w:hint="eastAsia"/>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pStyle w:val="23"/>
              <w:wordWrap w:val="0"/>
              <w:spacing w:before="0"/>
              <w:ind w:left="0" w:firstLine="480"/>
              <w:rPr>
                <w:rFonts w:hint="eastAsia"/>
              </w:rPr>
            </w:pPr>
            <w:r>
              <w:rPr>
                <w:rFonts w:hint="eastAsia"/>
              </w:rPr>
              <w:t>基金托管人中国工商银行股份有限公司根据本基金合同规定，于2019年3月27日复核了本报告中的财务指标、净值表现、利润分配情况、财务会计报告、投资组合报告等内容，保证复核内容不存在虚假记载、误导性陈述或者重大遗漏。　　</w:t>
            </w:r>
          </w:p>
          <w:p>
            <w:pPr>
              <w:pStyle w:val="23"/>
              <w:wordWrap w:val="0"/>
              <w:spacing w:before="0"/>
              <w:ind w:left="0" w:firstLine="480"/>
              <w:rPr>
                <w:rFonts w:hint="eastAsia"/>
              </w:rPr>
            </w:pPr>
            <w:r>
              <w:rPr>
                <w:rFonts w:hint="eastAsia"/>
              </w:rPr>
              <w:t>基金管理人承诺以诚实信用、勤勉尽责的原则管理和运用基金资产，但不保证基金一定盈利。</w:t>
            </w:r>
          </w:p>
          <w:p>
            <w:pPr>
              <w:pStyle w:val="23"/>
              <w:wordWrap w:val="0"/>
              <w:spacing w:before="0"/>
              <w:ind w:left="0" w:firstLine="480"/>
              <w:rPr>
                <w:rFonts w:hint="eastAsia"/>
              </w:rPr>
            </w:pPr>
            <w:r>
              <w:rPr>
                <w:rFonts w:hint="eastAsia"/>
              </w:rPr>
              <w:t>基金的过往业绩并不代表其未来表现。投资有风险，投资者在作出投资决策前应仔细阅读本基金的招募说明书及其更新。</w:t>
            </w:r>
          </w:p>
          <w:p>
            <w:pPr>
              <w:pStyle w:val="23"/>
              <w:wordWrap w:val="0"/>
              <w:spacing w:before="0"/>
              <w:ind w:left="0" w:firstLine="480"/>
              <w:rPr>
                <w:rFonts w:hint="eastAsia"/>
              </w:rPr>
            </w:pPr>
            <w:r>
              <w:rPr>
                <w:rFonts w:hint="eastAsia"/>
              </w:rPr>
              <w:t>本报告期自2018年01月01日起至2018年12月31日止。</w:t>
            </w:r>
          </w:p>
        </w:tc>
      </w:tr>
    </w:tbl>
    <w:p>
      <w:pPr>
        <w:pStyle w:val="17"/>
        <w:rPr>
          <w:rFonts w:hint="eastAsia"/>
        </w:rPr>
      </w:pPr>
      <w:r>
        <w:rPr>
          <w:rFonts w:ascii="Times New Roman" w:hAnsi="Times New Roman"/>
        </w:rPr>
        <w:br w:type="page"/>
      </w:r>
      <w:bookmarkStart w:id="2" w:name="_Toc4172344"/>
      <w:r>
        <w:rPr>
          <w:rFonts w:hint="eastAsia"/>
          <w:b/>
          <w:bCs/>
        </w:rPr>
        <w:t>1.2 目录</w:t>
      </w:r>
      <w:bookmarkEnd w:id="2"/>
    </w:p>
    <w:p>
      <w:pPr>
        <w:pStyle w:val="6"/>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3"/>
          <w:lang/>
        </w:rPr>
        <w:fldChar w:fldCharType="begin"/>
      </w:r>
      <w:r>
        <w:rPr>
          <w:rStyle w:val="13"/>
          <w:lang/>
        </w:rPr>
        <w:instrText xml:space="preserve"> </w:instrText>
      </w:r>
      <w:r>
        <w:rPr>
          <w:lang/>
        </w:rPr>
        <w:instrText xml:space="preserve">HYPERLINK \l "_Toc4172342"</w:instrText>
      </w:r>
      <w:r>
        <w:rPr>
          <w:rStyle w:val="13"/>
          <w:lang/>
        </w:rPr>
        <w:instrText xml:space="preserve"> </w:instrText>
      </w:r>
      <w:r>
        <w:rPr>
          <w:rStyle w:val="13"/>
          <w:lang/>
        </w:rPr>
        <w:fldChar w:fldCharType="separate"/>
      </w:r>
      <w:r>
        <w:rPr>
          <w:rStyle w:val="13"/>
          <w:b/>
          <w:lang/>
        </w:rPr>
        <w:t xml:space="preserve">§1  </w:t>
      </w:r>
      <w:r>
        <w:rPr>
          <w:rStyle w:val="13"/>
          <w:rFonts w:hint="eastAsia"/>
          <w:b/>
          <w:lang/>
        </w:rPr>
        <w:t>重要提示及目录</w:t>
      </w:r>
      <w:r>
        <w:rPr>
          <w:lang/>
        </w:rPr>
        <w:tab/>
      </w:r>
      <w:r>
        <w:rPr>
          <w:lang/>
        </w:rPr>
        <w:fldChar w:fldCharType="begin"/>
      </w:r>
      <w:r>
        <w:rPr>
          <w:lang/>
        </w:rPr>
        <w:instrText xml:space="preserve"> PAGEREF _Toc4172342 \h </w:instrText>
      </w:r>
      <w:r>
        <w:rPr>
          <w:lang/>
        </w:rPr>
        <w:fldChar w:fldCharType="separate"/>
      </w:r>
      <w:r>
        <w:rPr>
          <w:lang/>
        </w:rPr>
        <w:t>2</w:t>
      </w:r>
      <w:r>
        <w:rPr>
          <w:lang/>
        </w:rPr>
        <w:fldChar w:fldCharType="end"/>
      </w:r>
      <w:r>
        <w:rPr>
          <w:rStyle w:val="13"/>
          <w:lang/>
        </w:rPr>
        <w:fldChar w:fldCharType="end"/>
      </w:r>
    </w:p>
    <w:p>
      <w:pPr>
        <w:pStyle w:val="7"/>
        <w:tabs>
          <w:tab w:val="right" w:leader="dot" w:pos="9080"/>
        </w:tabs>
        <w:rPr>
          <w:lang/>
        </w:rPr>
      </w:pPr>
      <w:r>
        <w:rPr>
          <w:rStyle w:val="13"/>
          <w:lang/>
        </w:rPr>
        <w:fldChar w:fldCharType="begin"/>
      </w:r>
      <w:r>
        <w:rPr>
          <w:rStyle w:val="13"/>
          <w:lang/>
        </w:rPr>
        <w:instrText xml:space="preserve"> </w:instrText>
      </w:r>
      <w:r>
        <w:rPr>
          <w:lang/>
        </w:rPr>
        <w:instrText xml:space="preserve">HYPERLINK \l "_Toc4172343"</w:instrText>
      </w:r>
      <w:r>
        <w:rPr>
          <w:rStyle w:val="13"/>
          <w:lang/>
        </w:rPr>
        <w:instrText xml:space="preserve"> </w:instrText>
      </w:r>
      <w:r>
        <w:rPr>
          <w:rStyle w:val="13"/>
          <w:lang/>
        </w:rPr>
        <w:fldChar w:fldCharType="separate"/>
      </w:r>
      <w:r>
        <w:rPr>
          <w:rStyle w:val="13"/>
          <w:b/>
          <w:bCs/>
          <w:lang/>
        </w:rPr>
        <w:t xml:space="preserve">1.1 </w:t>
      </w:r>
      <w:r>
        <w:rPr>
          <w:rStyle w:val="13"/>
          <w:rFonts w:hint="eastAsia"/>
          <w:b/>
          <w:bCs/>
          <w:lang/>
        </w:rPr>
        <w:t>重要提示</w:t>
      </w:r>
      <w:r>
        <w:rPr>
          <w:lang/>
        </w:rPr>
        <w:tab/>
      </w:r>
      <w:r>
        <w:rPr>
          <w:lang/>
        </w:rPr>
        <w:fldChar w:fldCharType="begin"/>
      </w:r>
      <w:r>
        <w:rPr>
          <w:lang/>
        </w:rPr>
        <w:instrText xml:space="preserve"> PAGEREF _Toc4172343 \h </w:instrText>
      </w:r>
      <w:r>
        <w:rPr>
          <w:lang/>
        </w:rPr>
        <w:fldChar w:fldCharType="separate"/>
      </w:r>
      <w:r>
        <w:rPr>
          <w:lang/>
        </w:rPr>
        <w:t>2</w:t>
      </w:r>
      <w:r>
        <w:rPr>
          <w:lang/>
        </w:rPr>
        <w:fldChar w:fldCharType="end"/>
      </w:r>
      <w:r>
        <w:rPr>
          <w:rStyle w:val="13"/>
          <w:lang/>
        </w:rPr>
        <w:fldChar w:fldCharType="end"/>
      </w:r>
    </w:p>
    <w:p>
      <w:pPr>
        <w:pStyle w:val="7"/>
        <w:tabs>
          <w:tab w:val="right" w:leader="dot" w:pos="9080"/>
        </w:tabs>
        <w:rPr>
          <w:lang/>
        </w:rPr>
      </w:pPr>
      <w:r>
        <w:rPr>
          <w:rStyle w:val="13"/>
          <w:lang/>
        </w:rPr>
        <w:fldChar w:fldCharType="begin"/>
      </w:r>
      <w:r>
        <w:rPr>
          <w:rStyle w:val="13"/>
          <w:lang/>
        </w:rPr>
        <w:instrText xml:space="preserve"> </w:instrText>
      </w:r>
      <w:r>
        <w:rPr>
          <w:lang/>
        </w:rPr>
        <w:instrText xml:space="preserve">HYPERLINK \l "_Toc4172344"</w:instrText>
      </w:r>
      <w:r>
        <w:rPr>
          <w:rStyle w:val="13"/>
          <w:lang/>
        </w:rPr>
        <w:instrText xml:space="preserve"> </w:instrText>
      </w:r>
      <w:r>
        <w:rPr>
          <w:rStyle w:val="13"/>
          <w:lang/>
        </w:rPr>
        <w:fldChar w:fldCharType="separate"/>
      </w:r>
      <w:r>
        <w:rPr>
          <w:rStyle w:val="13"/>
          <w:b/>
          <w:bCs/>
          <w:lang/>
        </w:rPr>
        <w:t xml:space="preserve">1.2 </w:t>
      </w:r>
      <w:r>
        <w:rPr>
          <w:rStyle w:val="13"/>
          <w:rFonts w:hint="eastAsia"/>
          <w:b/>
          <w:bCs/>
          <w:lang/>
        </w:rPr>
        <w:t>目录</w:t>
      </w:r>
      <w:r>
        <w:rPr>
          <w:lang/>
        </w:rPr>
        <w:tab/>
      </w:r>
      <w:r>
        <w:rPr>
          <w:lang/>
        </w:rPr>
        <w:fldChar w:fldCharType="begin"/>
      </w:r>
      <w:r>
        <w:rPr>
          <w:lang/>
        </w:rPr>
        <w:instrText xml:space="preserve"> PAGEREF _Toc4172344 \h </w:instrText>
      </w:r>
      <w:r>
        <w:rPr>
          <w:lang/>
        </w:rPr>
        <w:fldChar w:fldCharType="separate"/>
      </w:r>
      <w:r>
        <w:rPr>
          <w:lang/>
        </w:rPr>
        <w:t>3</w:t>
      </w:r>
      <w:r>
        <w:rPr>
          <w:lang/>
        </w:rPr>
        <w:fldChar w:fldCharType="end"/>
      </w:r>
      <w:r>
        <w:rPr>
          <w:rStyle w:val="13"/>
          <w:lang/>
        </w:rPr>
        <w:fldChar w:fldCharType="end"/>
      </w:r>
    </w:p>
    <w:p>
      <w:pPr>
        <w:pStyle w:val="6"/>
        <w:tabs>
          <w:tab w:val="right" w:leader="dot" w:pos="9080"/>
        </w:tabs>
        <w:rPr>
          <w:lang/>
        </w:rPr>
      </w:pPr>
      <w:r>
        <w:rPr>
          <w:rStyle w:val="13"/>
          <w:lang/>
        </w:rPr>
        <w:fldChar w:fldCharType="begin"/>
      </w:r>
      <w:r>
        <w:rPr>
          <w:rStyle w:val="13"/>
          <w:lang/>
        </w:rPr>
        <w:instrText xml:space="preserve"> </w:instrText>
      </w:r>
      <w:r>
        <w:rPr>
          <w:lang/>
        </w:rPr>
        <w:instrText xml:space="preserve">HYPERLINK \l "_Toc4172345"</w:instrText>
      </w:r>
      <w:r>
        <w:rPr>
          <w:rStyle w:val="13"/>
          <w:lang/>
        </w:rPr>
        <w:instrText xml:space="preserve"> </w:instrText>
      </w:r>
      <w:r>
        <w:rPr>
          <w:rStyle w:val="13"/>
          <w:lang/>
        </w:rPr>
        <w:fldChar w:fldCharType="separate"/>
      </w:r>
      <w:r>
        <w:rPr>
          <w:rStyle w:val="13"/>
          <w:b/>
          <w:lang/>
        </w:rPr>
        <w:t xml:space="preserve">§2  </w:t>
      </w:r>
      <w:r>
        <w:rPr>
          <w:rStyle w:val="13"/>
          <w:rFonts w:hint="eastAsia"/>
          <w:b/>
          <w:lang/>
        </w:rPr>
        <w:t>基金简介</w:t>
      </w:r>
      <w:r>
        <w:rPr>
          <w:lang/>
        </w:rPr>
        <w:tab/>
      </w:r>
      <w:r>
        <w:rPr>
          <w:lang/>
        </w:rPr>
        <w:fldChar w:fldCharType="begin"/>
      </w:r>
      <w:r>
        <w:rPr>
          <w:lang/>
        </w:rPr>
        <w:instrText xml:space="preserve"> PAGEREF _Toc4172345 \h </w:instrText>
      </w:r>
      <w:r>
        <w:rPr>
          <w:lang/>
        </w:rPr>
        <w:fldChar w:fldCharType="separate"/>
      </w:r>
      <w:r>
        <w:rPr>
          <w:lang/>
        </w:rPr>
        <w:t>5</w:t>
      </w:r>
      <w:r>
        <w:rPr>
          <w:lang/>
        </w:rPr>
        <w:fldChar w:fldCharType="end"/>
      </w:r>
      <w:r>
        <w:rPr>
          <w:rStyle w:val="13"/>
          <w:lang/>
        </w:rPr>
        <w:fldChar w:fldCharType="end"/>
      </w:r>
    </w:p>
    <w:p>
      <w:pPr>
        <w:pStyle w:val="7"/>
        <w:tabs>
          <w:tab w:val="right" w:leader="dot" w:pos="9080"/>
        </w:tabs>
        <w:rPr>
          <w:lang/>
        </w:rPr>
      </w:pPr>
      <w:r>
        <w:rPr>
          <w:rStyle w:val="13"/>
          <w:lang/>
        </w:rPr>
        <w:fldChar w:fldCharType="begin"/>
      </w:r>
      <w:r>
        <w:rPr>
          <w:rStyle w:val="13"/>
          <w:lang/>
        </w:rPr>
        <w:instrText xml:space="preserve"> </w:instrText>
      </w:r>
      <w:r>
        <w:rPr>
          <w:lang/>
        </w:rPr>
        <w:instrText xml:space="preserve">HYPERLINK \l "_Toc4172346"</w:instrText>
      </w:r>
      <w:r>
        <w:rPr>
          <w:rStyle w:val="13"/>
          <w:lang/>
        </w:rPr>
        <w:instrText xml:space="preserve"> </w:instrText>
      </w:r>
      <w:r>
        <w:rPr>
          <w:rStyle w:val="13"/>
          <w:lang/>
        </w:rPr>
        <w:fldChar w:fldCharType="separate"/>
      </w:r>
      <w:r>
        <w:rPr>
          <w:rStyle w:val="13"/>
          <w:b/>
          <w:bCs/>
          <w:lang/>
        </w:rPr>
        <w:t xml:space="preserve">2.1 </w:t>
      </w:r>
      <w:r>
        <w:rPr>
          <w:rStyle w:val="13"/>
          <w:rFonts w:hint="eastAsia"/>
          <w:b/>
          <w:bCs/>
          <w:lang/>
        </w:rPr>
        <w:t>基金基本情况</w:t>
      </w:r>
      <w:r>
        <w:rPr>
          <w:lang/>
        </w:rPr>
        <w:tab/>
      </w:r>
      <w:r>
        <w:rPr>
          <w:lang/>
        </w:rPr>
        <w:fldChar w:fldCharType="begin"/>
      </w:r>
      <w:r>
        <w:rPr>
          <w:lang/>
        </w:rPr>
        <w:instrText xml:space="preserve"> PAGEREF _Toc4172346 \h </w:instrText>
      </w:r>
      <w:r>
        <w:rPr>
          <w:lang/>
        </w:rPr>
        <w:fldChar w:fldCharType="separate"/>
      </w:r>
      <w:r>
        <w:rPr>
          <w:lang/>
        </w:rPr>
        <w:t>5</w:t>
      </w:r>
      <w:r>
        <w:rPr>
          <w:lang/>
        </w:rPr>
        <w:fldChar w:fldCharType="end"/>
      </w:r>
      <w:r>
        <w:rPr>
          <w:rStyle w:val="13"/>
          <w:lang/>
        </w:rPr>
        <w:fldChar w:fldCharType="end"/>
      </w:r>
    </w:p>
    <w:p>
      <w:pPr>
        <w:pStyle w:val="7"/>
        <w:tabs>
          <w:tab w:val="right" w:leader="dot" w:pos="9080"/>
        </w:tabs>
        <w:rPr>
          <w:lang/>
        </w:rPr>
      </w:pPr>
      <w:r>
        <w:rPr>
          <w:rStyle w:val="13"/>
          <w:lang/>
        </w:rPr>
        <w:fldChar w:fldCharType="begin"/>
      </w:r>
      <w:r>
        <w:rPr>
          <w:rStyle w:val="13"/>
          <w:lang/>
        </w:rPr>
        <w:instrText xml:space="preserve"> </w:instrText>
      </w:r>
      <w:r>
        <w:rPr>
          <w:lang/>
        </w:rPr>
        <w:instrText xml:space="preserve">HYPERLINK \l "_Toc4172347"</w:instrText>
      </w:r>
      <w:r>
        <w:rPr>
          <w:rStyle w:val="13"/>
          <w:lang/>
        </w:rPr>
        <w:instrText xml:space="preserve"> </w:instrText>
      </w:r>
      <w:r>
        <w:rPr>
          <w:rStyle w:val="13"/>
          <w:lang/>
        </w:rPr>
        <w:fldChar w:fldCharType="separate"/>
      </w:r>
      <w:r>
        <w:rPr>
          <w:rStyle w:val="13"/>
          <w:b/>
          <w:bCs/>
          <w:lang/>
        </w:rPr>
        <w:t xml:space="preserve">2.2 </w:t>
      </w:r>
      <w:r>
        <w:rPr>
          <w:rStyle w:val="13"/>
          <w:rFonts w:hint="eastAsia"/>
          <w:b/>
          <w:bCs/>
          <w:lang/>
        </w:rPr>
        <w:t>基金产品说明</w:t>
      </w:r>
      <w:r>
        <w:rPr>
          <w:lang/>
        </w:rPr>
        <w:tab/>
      </w:r>
      <w:r>
        <w:rPr>
          <w:lang/>
        </w:rPr>
        <w:fldChar w:fldCharType="begin"/>
      </w:r>
      <w:r>
        <w:rPr>
          <w:lang/>
        </w:rPr>
        <w:instrText xml:space="preserve"> PAGEREF _Toc4172347 \h </w:instrText>
      </w:r>
      <w:r>
        <w:rPr>
          <w:lang/>
        </w:rPr>
        <w:fldChar w:fldCharType="separate"/>
      </w:r>
      <w:r>
        <w:rPr>
          <w:lang/>
        </w:rPr>
        <w:t>5</w:t>
      </w:r>
      <w:r>
        <w:rPr>
          <w:lang/>
        </w:rPr>
        <w:fldChar w:fldCharType="end"/>
      </w:r>
      <w:r>
        <w:rPr>
          <w:rStyle w:val="13"/>
          <w:lang/>
        </w:rPr>
        <w:fldChar w:fldCharType="end"/>
      </w:r>
    </w:p>
    <w:p>
      <w:pPr>
        <w:pStyle w:val="7"/>
        <w:tabs>
          <w:tab w:val="right" w:leader="dot" w:pos="9080"/>
        </w:tabs>
        <w:rPr>
          <w:lang/>
        </w:rPr>
      </w:pPr>
      <w:r>
        <w:rPr>
          <w:rStyle w:val="13"/>
          <w:lang/>
        </w:rPr>
        <w:fldChar w:fldCharType="begin"/>
      </w:r>
      <w:r>
        <w:rPr>
          <w:rStyle w:val="13"/>
          <w:lang/>
        </w:rPr>
        <w:instrText xml:space="preserve"> </w:instrText>
      </w:r>
      <w:r>
        <w:rPr>
          <w:lang/>
        </w:rPr>
        <w:instrText xml:space="preserve">HYPERLINK \l "_Toc4172348"</w:instrText>
      </w:r>
      <w:r>
        <w:rPr>
          <w:rStyle w:val="13"/>
          <w:lang/>
        </w:rPr>
        <w:instrText xml:space="preserve"> </w:instrText>
      </w:r>
      <w:r>
        <w:rPr>
          <w:rStyle w:val="13"/>
          <w:lang/>
        </w:rPr>
        <w:fldChar w:fldCharType="separate"/>
      </w:r>
      <w:r>
        <w:rPr>
          <w:rStyle w:val="13"/>
          <w:b/>
          <w:bCs/>
          <w:lang/>
        </w:rPr>
        <w:t xml:space="preserve">2.3 </w:t>
      </w:r>
      <w:r>
        <w:rPr>
          <w:rStyle w:val="13"/>
          <w:rFonts w:hint="eastAsia"/>
          <w:b/>
          <w:bCs/>
          <w:lang/>
        </w:rPr>
        <w:t>基金管理人和基金托管人</w:t>
      </w:r>
      <w:r>
        <w:rPr>
          <w:lang/>
        </w:rPr>
        <w:tab/>
      </w:r>
      <w:r>
        <w:rPr>
          <w:lang/>
        </w:rPr>
        <w:fldChar w:fldCharType="begin"/>
      </w:r>
      <w:r>
        <w:rPr>
          <w:lang/>
        </w:rPr>
        <w:instrText xml:space="preserve"> PAGEREF _Toc4172348 \h </w:instrText>
      </w:r>
      <w:r>
        <w:rPr>
          <w:lang/>
        </w:rPr>
        <w:fldChar w:fldCharType="separate"/>
      </w:r>
      <w:r>
        <w:rPr>
          <w:lang/>
        </w:rPr>
        <w:t>6</w:t>
      </w:r>
      <w:r>
        <w:rPr>
          <w:lang/>
        </w:rPr>
        <w:fldChar w:fldCharType="end"/>
      </w:r>
      <w:r>
        <w:rPr>
          <w:rStyle w:val="13"/>
          <w:lang/>
        </w:rPr>
        <w:fldChar w:fldCharType="end"/>
      </w:r>
    </w:p>
    <w:p>
      <w:pPr>
        <w:pStyle w:val="7"/>
        <w:tabs>
          <w:tab w:val="right" w:leader="dot" w:pos="9080"/>
        </w:tabs>
        <w:rPr>
          <w:lang/>
        </w:rPr>
      </w:pPr>
      <w:r>
        <w:rPr>
          <w:rStyle w:val="13"/>
          <w:lang/>
        </w:rPr>
        <w:fldChar w:fldCharType="begin"/>
      </w:r>
      <w:r>
        <w:rPr>
          <w:rStyle w:val="13"/>
          <w:lang/>
        </w:rPr>
        <w:instrText xml:space="preserve"> </w:instrText>
      </w:r>
      <w:r>
        <w:rPr>
          <w:lang/>
        </w:rPr>
        <w:instrText xml:space="preserve">HYPERLINK \l "_Toc4172349"</w:instrText>
      </w:r>
      <w:r>
        <w:rPr>
          <w:rStyle w:val="13"/>
          <w:lang/>
        </w:rPr>
        <w:instrText xml:space="preserve"> </w:instrText>
      </w:r>
      <w:r>
        <w:rPr>
          <w:rStyle w:val="13"/>
          <w:lang/>
        </w:rPr>
        <w:fldChar w:fldCharType="separate"/>
      </w:r>
      <w:r>
        <w:rPr>
          <w:rStyle w:val="13"/>
          <w:b/>
          <w:bCs/>
          <w:lang/>
        </w:rPr>
        <w:t xml:space="preserve">2.4 </w:t>
      </w:r>
      <w:r>
        <w:rPr>
          <w:rStyle w:val="13"/>
          <w:rFonts w:hint="eastAsia"/>
          <w:b/>
          <w:bCs/>
          <w:lang/>
        </w:rPr>
        <w:t>信息披露方式</w:t>
      </w:r>
      <w:r>
        <w:rPr>
          <w:lang/>
        </w:rPr>
        <w:tab/>
      </w:r>
      <w:r>
        <w:rPr>
          <w:lang/>
        </w:rPr>
        <w:fldChar w:fldCharType="begin"/>
      </w:r>
      <w:r>
        <w:rPr>
          <w:lang/>
        </w:rPr>
        <w:instrText xml:space="preserve"> PAGEREF _Toc4172349 \h </w:instrText>
      </w:r>
      <w:r>
        <w:rPr>
          <w:lang/>
        </w:rPr>
        <w:fldChar w:fldCharType="separate"/>
      </w:r>
      <w:r>
        <w:rPr>
          <w:lang/>
        </w:rPr>
        <w:t>6</w:t>
      </w:r>
      <w:r>
        <w:rPr>
          <w:lang/>
        </w:rPr>
        <w:fldChar w:fldCharType="end"/>
      </w:r>
      <w:r>
        <w:rPr>
          <w:rStyle w:val="13"/>
          <w:lang/>
        </w:rPr>
        <w:fldChar w:fldCharType="end"/>
      </w:r>
    </w:p>
    <w:p>
      <w:pPr>
        <w:pStyle w:val="7"/>
        <w:tabs>
          <w:tab w:val="right" w:leader="dot" w:pos="9080"/>
        </w:tabs>
        <w:rPr>
          <w:lang/>
        </w:rPr>
      </w:pPr>
      <w:r>
        <w:rPr>
          <w:rStyle w:val="13"/>
          <w:lang/>
        </w:rPr>
        <w:fldChar w:fldCharType="begin"/>
      </w:r>
      <w:r>
        <w:rPr>
          <w:rStyle w:val="13"/>
          <w:lang/>
        </w:rPr>
        <w:instrText xml:space="preserve"> </w:instrText>
      </w:r>
      <w:r>
        <w:rPr>
          <w:lang/>
        </w:rPr>
        <w:instrText xml:space="preserve">HYPERLINK \l "_Toc4172350"</w:instrText>
      </w:r>
      <w:r>
        <w:rPr>
          <w:rStyle w:val="13"/>
          <w:lang/>
        </w:rPr>
        <w:instrText xml:space="preserve"> </w:instrText>
      </w:r>
      <w:r>
        <w:rPr>
          <w:rStyle w:val="13"/>
          <w:lang/>
        </w:rPr>
        <w:fldChar w:fldCharType="separate"/>
      </w:r>
      <w:r>
        <w:rPr>
          <w:rStyle w:val="13"/>
          <w:b/>
          <w:bCs/>
          <w:lang/>
        </w:rPr>
        <w:t xml:space="preserve">2.5 </w:t>
      </w:r>
      <w:r>
        <w:rPr>
          <w:rStyle w:val="13"/>
          <w:rFonts w:hint="eastAsia"/>
          <w:b/>
          <w:bCs/>
          <w:lang/>
        </w:rPr>
        <w:t>其他相关资料</w:t>
      </w:r>
      <w:r>
        <w:rPr>
          <w:lang/>
        </w:rPr>
        <w:tab/>
      </w:r>
      <w:r>
        <w:rPr>
          <w:lang/>
        </w:rPr>
        <w:fldChar w:fldCharType="begin"/>
      </w:r>
      <w:r>
        <w:rPr>
          <w:lang/>
        </w:rPr>
        <w:instrText xml:space="preserve"> PAGEREF _Toc4172350 \h </w:instrText>
      </w:r>
      <w:r>
        <w:rPr>
          <w:lang/>
        </w:rPr>
        <w:fldChar w:fldCharType="separate"/>
      </w:r>
      <w:r>
        <w:rPr>
          <w:lang/>
        </w:rPr>
        <w:t>6</w:t>
      </w:r>
      <w:r>
        <w:rPr>
          <w:lang/>
        </w:rPr>
        <w:fldChar w:fldCharType="end"/>
      </w:r>
      <w:r>
        <w:rPr>
          <w:rStyle w:val="13"/>
          <w:lang/>
        </w:rPr>
        <w:fldChar w:fldCharType="end"/>
      </w:r>
    </w:p>
    <w:p>
      <w:pPr>
        <w:pStyle w:val="6"/>
        <w:tabs>
          <w:tab w:val="right" w:leader="dot" w:pos="9080"/>
        </w:tabs>
        <w:rPr>
          <w:lang/>
        </w:rPr>
      </w:pPr>
      <w:r>
        <w:rPr>
          <w:rStyle w:val="13"/>
          <w:lang/>
        </w:rPr>
        <w:fldChar w:fldCharType="begin"/>
      </w:r>
      <w:r>
        <w:rPr>
          <w:rStyle w:val="13"/>
          <w:lang/>
        </w:rPr>
        <w:instrText xml:space="preserve"> </w:instrText>
      </w:r>
      <w:r>
        <w:rPr>
          <w:lang/>
        </w:rPr>
        <w:instrText xml:space="preserve">HYPERLINK \l "_Toc4172351"</w:instrText>
      </w:r>
      <w:r>
        <w:rPr>
          <w:rStyle w:val="13"/>
          <w:lang/>
        </w:rPr>
        <w:instrText xml:space="preserve"> </w:instrText>
      </w:r>
      <w:r>
        <w:rPr>
          <w:rStyle w:val="13"/>
          <w:lang/>
        </w:rPr>
        <w:fldChar w:fldCharType="separate"/>
      </w:r>
      <w:r>
        <w:rPr>
          <w:rStyle w:val="13"/>
          <w:b/>
          <w:lang/>
        </w:rPr>
        <w:t xml:space="preserve">§3  </w:t>
      </w:r>
      <w:r>
        <w:rPr>
          <w:rStyle w:val="13"/>
          <w:rFonts w:hint="eastAsia"/>
          <w:b/>
          <w:lang/>
        </w:rPr>
        <w:t>主要财务指标、基金净值表现及利润分配情况</w:t>
      </w:r>
      <w:r>
        <w:rPr>
          <w:lang/>
        </w:rPr>
        <w:tab/>
      </w:r>
      <w:r>
        <w:rPr>
          <w:lang/>
        </w:rPr>
        <w:fldChar w:fldCharType="begin"/>
      </w:r>
      <w:r>
        <w:rPr>
          <w:lang/>
        </w:rPr>
        <w:instrText xml:space="preserve"> PAGEREF _Toc4172351 \h </w:instrText>
      </w:r>
      <w:r>
        <w:rPr>
          <w:lang/>
        </w:rPr>
        <w:fldChar w:fldCharType="separate"/>
      </w:r>
      <w:r>
        <w:rPr>
          <w:lang/>
        </w:rPr>
        <w:t>7</w:t>
      </w:r>
      <w:r>
        <w:rPr>
          <w:lang/>
        </w:rPr>
        <w:fldChar w:fldCharType="end"/>
      </w:r>
      <w:r>
        <w:rPr>
          <w:rStyle w:val="13"/>
          <w:lang/>
        </w:rPr>
        <w:fldChar w:fldCharType="end"/>
      </w:r>
    </w:p>
    <w:p>
      <w:pPr>
        <w:pStyle w:val="7"/>
        <w:tabs>
          <w:tab w:val="right" w:leader="dot" w:pos="9080"/>
        </w:tabs>
        <w:rPr>
          <w:lang/>
        </w:rPr>
      </w:pPr>
      <w:r>
        <w:rPr>
          <w:rStyle w:val="13"/>
          <w:lang/>
        </w:rPr>
        <w:fldChar w:fldCharType="begin"/>
      </w:r>
      <w:r>
        <w:rPr>
          <w:rStyle w:val="13"/>
          <w:lang/>
        </w:rPr>
        <w:instrText xml:space="preserve"> </w:instrText>
      </w:r>
      <w:r>
        <w:rPr>
          <w:lang/>
        </w:rPr>
        <w:instrText xml:space="preserve">HYPERLINK \l "_Toc4172352"</w:instrText>
      </w:r>
      <w:r>
        <w:rPr>
          <w:rStyle w:val="13"/>
          <w:lang/>
        </w:rPr>
        <w:instrText xml:space="preserve"> </w:instrText>
      </w:r>
      <w:r>
        <w:rPr>
          <w:rStyle w:val="13"/>
          <w:lang/>
        </w:rPr>
        <w:fldChar w:fldCharType="separate"/>
      </w:r>
      <w:r>
        <w:rPr>
          <w:rStyle w:val="13"/>
          <w:b/>
          <w:bCs/>
          <w:lang/>
        </w:rPr>
        <w:t xml:space="preserve">3.1 </w:t>
      </w:r>
      <w:r>
        <w:rPr>
          <w:rStyle w:val="13"/>
          <w:rFonts w:hint="eastAsia"/>
          <w:b/>
          <w:bCs/>
          <w:lang/>
        </w:rPr>
        <w:t>主要会计数据和财务指标</w:t>
      </w:r>
      <w:r>
        <w:rPr>
          <w:lang/>
        </w:rPr>
        <w:tab/>
      </w:r>
      <w:r>
        <w:rPr>
          <w:lang/>
        </w:rPr>
        <w:fldChar w:fldCharType="begin"/>
      </w:r>
      <w:r>
        <w:rPr>
          <w:lang/>
        </w:rPr>
        <w:instrText xml:space="preserve"> PAGEREF _Toc4172352 \h </w:instrText>
      </w:r>
      <w:r>
        <w:rPr>
          <w:lang/>
        </w:rPr>
        <w:fldChar w:fldCharType="separate"/>
      </w:r>
      <w:r>
        <w:rPr>
          <w:lang/>
        </w:rPr>
        <w:t>7</w:t>
      </w:r>
      <w:r>
        <w:rPr>
          <w:lang/>
        </w:rPr>
        <w:fldChar w:fldCharType="end"/>
      </w:r>
      <w:r>
        <w:rPr>
          <w:rStyle w:val="13"/>
          <w:lang/>
        </w:rPr>
        <w:fldChar w:fldCharType="end"/>
      </w:r>
    </w:p>
    <w:p>
      <w:pPr>
        <w:pStyle w:val="7"/>
        <w:tabs>
          <w:tab w:val="right" w:leader="dot" w:pos="9080"/>
        </w:tabs>
        <w:rPr>
          <w:lang/>
        </w:rPr>
      </w:pPr>
      <w:r>
        <w:rPr>
          <w:rStyle w:val="13"/>
          <w:lang/>
        </w:rPr>
        <w:fldChar w:fldCharType="begin"/>
      </w:r>
      <w:r>
        <w:rPr>
          <w:rStyle w:val="13"/>
          <w:lang/>
        </w:rPr>
        <w:instrText xml:space="preserve"> </w:instrText>
      </w:r>
      <w:r>
        <w:rPr>
          <w:lang/>
        </w:rPr>
        <w:instrText xml:space="preserve">HYPERLINK \l "_Toc4172353"</w:instrText>
      </w:r>
      <w:r>
        <w:rPr>
          <w:rStyle w:val="13"/>
          <w:lang/>
        </w:rPr>
        <w:instrText xml:space="preserve"> </w:instrText>
      </w:r>
      <w:r>
        <w:rPr>
          <w:rStyle w:val="13"/>
          <w:lang/>
        </w:rPr>
        <w:fldChar w:fldCharType="separate"/>
      </w:r>
      <w:r>
        <w:rPr>
          <w:rStyle w:val="13"/>
          <w:b/>
          <w:bCs/>
          <w:lang/>
        </w:rPr>
        <w:t xml:space="preserve">3.2 </w:t>
      </w:r>
      <w:r>
        <w:rPr>
          <w:rStyle w:val="13"/>
          <w:rFonts w:hint="eastAsia"/>
          <w:b/>
          <w:bCs/>
          <w:lang/>
        </w:rPr>
        <w:t>基金净值表现</w:t>
      </w:r>
      <w:r>
        <w:rPr>
          <w:lang/>
        </w:rPr>
        <w:tab/>
      </w:r>
      <w:r>
        <w:rPr>
          <w:lang/>
        </w:rPr>
        <w:fldChar w:fldCharType="begin"/>
      </w:r>
      <w:r>
        <w:rPr>
          <w:lang/>
        </w:rPr>
        <w:instrText xml:space="preserve"> PAGEREF _Toc4172353 \h </w:instrText>
      </w:r>
      <w:r>
        <w:rPr>
          <w:lang/>
        </w:rPr>
        <w:fldChar w:fldCharType="separate"/>
      </w:r>
      <w:r>
        <w:rPr>
          <w:lang/>
        </w:rPr>
        <w:t>7</w:t>
      </w:r>
      <w:r>
        <w:rPr>
          <w:lang/>
        </w:rPr>
        <w:fldChar w:fldCharType="end"/>
      </w:r>
      <w:r>
        <w:rPr>
          <w:rStyle w:val="13"/>
          <w:lang/>
        </w:rPr>
        <w:fldChar w:fldCharType="end"/>
      </w:r>
    </w:p>
    <w:p>
      <w:pPr>
        <w:pStyle w:val="7"/>
        <w:tabs>
          <w:tab w:val="right" w:leader="dot" w:pos="9080"/>
        </w:tabs>
        <w:rPr>
          <w:lang/>
        </w:rPr>
      </w:pPr>
      <w:r>
        <w:rPr>
          <w:rStyle w:val="13"/>
          <w:lang/>
        </w:rPr>
        <w:fldChar w:fldCharType="begin"/>
      </w:r>
      <w:r>
        <w:rPr>
          <w:rStyle w:val="13"/>
          <w:lang/>
        </w:rPr>
        <w:instrText xml:space="preserve"> </w:instrText>
      </w:r>
      <w:r>
        <w:rPr>
          <w:lang/>
        </w:rPr>
        <w:instrText xml:space="preserve">HYPERLINK \l "_Toc4172354"</w:instrText>
      </w:r>
      <w:r>
        <w:rPr>
          <w:rStyle w:val="13"/>
          <w:lang/>
        </w:rPr>
        <w:instrText xml:space="preserve"> </w:instrText>
      </w:r>
      <w:r>
        <w:rPr>
          <w:rStyle w:val="13"/>
          <w:lang/>
        </w:rPr>
        <w:fldChar w:fldCharType="separate"/>
      </w:r>
      <w:r>
        <w:rPr>
          <w:rStyle w:val="13"/>
          <w:b/>
          <w:lang/>
        </w:rPr>
        <w:t xml:space="preserve">3.3 </w:t>
      </w:r>
      <w:r>
        <w:rPr>
          <w:rStyle w:val="13"/>
          <w:rFonts w:hint="eastAsia"/>
          <w:b/>
          <w:lang/>
        </w:rPr>
        <w:t>过去三年基金的利润分配情况</w:t>
      </w:r>
      <w:r>
        <w:rPr>
          <w:lang/>
        </w:rPr>
        <w:tab/>
      </w:r>
      <w:r>
        <w:rPr>
          <w:lang/>
        </w:rPr>
        <w:fldChar w:fldCharType="begin"/>
      </w:r>
      <w:r>
        <w:rPr>
          <w:lang/>
        </w:rPr>
        <w:instrText xml:space="preserve"> PAGEREF _Toc4172354 \h </w:instrText>
      </w:r>
      <w:r>
        <w:rPr>
          <w:lang/>
        </w:rPr>
        <w:fldChar w:fldCharType="separate"/>
      </w:r>
      <w:r>
        <w:rPr>
          <w:lang/>
        </w:rPr>
        <w:t>9</w:t>
      </w:r>
      <w:r>
        <w:rPr>
          <w:lang/>
        </w:rPr>
        <w:fldChar w:fldCharType="end"/>
      </w:r>
      <w:r>
        <w:rPr>
          <w:rStyle w:val="13"/>
          <w:lang/>
        </w:rPr>
        <w:fldChar w:fldCharType="end"/>
      </w:r>
    </w:p>
    <w:p>
      <w:pPr>
        <w:pStyle w:val="6"/>
        <w:tabs>
          <w:tab w:val="right" w:leader="dot" w:pos="9080"/>
        </w:tabs>
        <w:rPr>
          <w:lang/>
        </w:rPr>
      </w:pPr>
      <w:r>
        <w:rPr>
          <w:rStyle w:val="13"/>
          <w:lang/>
        </w:rPr>
        <w:fldChar w:fldCharType="begin"/>
      </w:r>
      <w:r>
        <w:rPr>
          <w:rStyle w:val="13"/>
          <w:lang/>
        </w:rPr>
        <w:instrText xml:space="preserve"> </w:instrText>
      </w:r>
      <w:r>
        <w:rPr>
          <w:lang/>
        </w:rPr>
        <w:instrText xml:space="preserve">HYPERLINK \l "_Toc4172355"</w:instrText>
      </w:r>
      <w:r>
        <w:rPr>
          <w:rStyle w:val="13"/>
          <w:lang/>
        </w:rPr>
        <w:instrText xml:space="preserve"> </w:instrText>
      </w:r>
      <w:r>
        <w:rPr>
          <w:rStyle w:val="13"/>
          <w:lang/>
        </w:rPr>
        <w:fldChar w:fldCharType="separate"/>
      </w:r>
      <w:r>
        <w:rPr>
          <w:rStyle w:val="13"/>
          <w:b/>
          <w:lang/>
        </w:rPr>
        <w:t xml:space="preserve">§4  </w:t>
      </w:r>
      <w:r>
        <w:rPr>
          <w:rStyle w:val="13"/>
          <w:rFonts w:hint="eastAsia"/>
          <w:b/>
          <w:lang/>
        </w:rPr>
        <w:t>管理人报告</w:t>
      </w:r>
      <w:r>
        <w:rPr>
          <w:lang/>
        </w:rPr>
        <w:tab/>
      </w:r>
      <w:r>
        <w:rPr>
          <w:lang/>
        </w:rPr>
        <w:fldChar w:fldCharType="begin"/>
      </w:r>
      <w:r>
        <w:rPr>
          <w:lang/>
        </w:rPr>
        <w:instrText xml:space="preserve"> PAGEREF _Toc4172355 \h </w:instrText>
      </w:r>
      <w:r>
        <w:rPr>
          <w:lang/>
        </w:rPr>
        <w:fldChar w:fldCharType="separate"/>
      </w:r>
      <w:r>
        <w:rPr>
          <w:lang/>
        </w:rPr>
        <w:t>9</w:t>
      </w:r>
      <w:r>
        <w:rPr>
          <w:lang/>
        </w:rPr>
        <w:fldChar w:fldCharType="end"/>
      </w:r>
      <w:r>
        <w:rPr>
          <w:rStyle w:val="13"/>
          <w:lang/>
        </w:rPr>
        <w:fldChar w:fldCharType="end"/>
      </w:r>
    </w:p>
    <w:p>
      <w:pPr>
        <w:pStyle w:val="7"/>
        <w:tabs>
          <w:tab w:val="right" w:leader="dot" w:pos="9080"/>
        </w:tabs>
        <w:rPr>
          <w:lang/>
        </w:rPr>
      </w:pPr>
      <w:r>
        <w:rPr>
          <w:rStyle w:val="13"/>
          <w:lang/>
        </w:rPr>
        <w:fldChar w:fldCharType="begin"/>
      </w:r>
      <w:r>
        <w:rPr>
          <w:rStyle w:val="13"/>
          <w:lang/>
        </w:rPr>
        <w:instrText xml:space="preserve"> </w:instrText>
      </w:r>
      <w:r>
        <w:rPr>
          <w:lang/>
        </w:rPr>
        <w:instrText xml:space="preserve">HYPERLINK \l "_Toc4172356"</w:instrText>
      </w:r>
      <w:r>
        <w:rPr>
          <w:rStyle w:val="13"/>
          <w:lang/>
        </w:rPr>
        <w:instrText xml:space="preserve"> </w:instrText>
      </w:r>
      <w:r>
        <w:rPr>
          <w:rStyle w:val="13"/>
          <w:lang/>
        </w:rPr>
        <w:fldChar w:fldCharType="separate"/>
      </w:r>
      <w:r>
        <w:rPr>
          <w:rStyle w:val="13"/>
          <w:b/>
          <w:bCs/>
          <w:lang/>
        </w:rPr>
        <w:t xml:space="preserve">4.1 </w:t>
      </w:r>
      <w:r>
        <w:rPr>
          <w:rStyle w:val="13"/>
          <w:rFonts w:hint="eastAsia"/>
          <w:b/>
          <w:bCs/>
          <w:lang/>
        </w:rPr>
        <w:t>基金管理人及基金经理情况</w:t>
      </w:r>
      <w:r>
        <w:rPr>
          <w:lang/>
        </w:rPr>
        <w:tab/>
      </w:r>
      <w:r>
        <w:rPr>
          <w:lang/>
        </w:rPr>
        <w:fldChar w:fldCharType="begin"/>
      </w:r>
      <w:r>
        <w:rPr>
          <w:lang/>
        </w:rPr>
        <w:instrText xml:space="preserve"> PAGEREF _Toc4172356 \h </w:instrText>
      </w:r>
      <w:r>
        <w:rPr>
          <w:lang/>
        </w:rPr>
        <w:fldChar w:fldCharType="separate"/>
      </w:r>
      <w:r>
        <w:rPr>
          <w:lang/>
        </w:rPr>
        <w:t>9</w:t>
      </w:r>
      <w:r>
        <w:rPr>
          <w:lang/>
        </w:rPr>
        <w:fldChar w:fldCharType="end"/>
      </w:r>
      <w:r>
        <w:rPr>
          <w:rStyle w:val="13"/>
          <w:lang/>
        </w:rPr>
        <w:fldChar w:fldCharType="end"/>
      </w:r>
    </w:p>
    <w:p>
      <w:pPr>
        <w:pStyle w:val="7"/>
        <w:tabs>
          <w:tab w:val="right" w:leader="dot" w:pos="9080"/>
        </w:tabs>
        <w:rPr>
          <w:lang/>
        </w:rPr>
      </w:pPr>
      <w:r>
        <w:rPr>
          <w:rStyle w:val="13"/>
          <w:lang/>
        </w:rPr>
        <w:fldChar w:fldCharType="begin"/>
      </w:r>
      <w:r>
        <w:rPr>
          <w:rStyle w:val="13"/>
          <w:lang/>
        </w:rPr>
        <w:instrText xml:space="preserve"> </w:instrText>
      </w:r>
      <w:r>
        <w:rPr>
          <w:lang/>
        </w:rPr>
        <w:instrText xml:space="preserve">HYPERLINK \l "_Toc4172357"</w:instrText>
      </w:r>
      <w:r>
        <w:rPr>
          <w:rStyle w:val="13"/>
          <w:lang/>
        </w:rPr>
        <w:instrText xml:space="preserve"> </w:instrText>
      </w:r>
      <w:r>
        <w:rPr>
          <w:rStyle w:val="13"/>
          <w:lang/>
        </w:rPr>
        <w:fldChar w:fldCharType="separate"/>
      </w:r>
      <w:r>
        <w:rPr>
          <w:rStyle w:val="13"/>
          <w:b/>
          <w:lang/>
        </w:rPr>
        <w:t xml:space="preserve">4.2 </w:t>
      </w:r>
      <w:r>
        <w:rPr>
          <w:rStyle w:val="13"/>
          <w:rFonts w:hint="eastAsia"/>
          <w:b/>
          <w:lang/>
        </w:rPr>
        <w:t>管理人对报告期内本基金运作遵规守信情况的说明</w:t>
      </w:r>
      <w:r>
        <w:rPr>
          <w:lang/>
        </w:rPr>
        <w:tab/>
      </w:r>
      <w:r>
        <w:rPr>
          <w:lang/>
        </w:rPr>
        <w:fldChar w:fldCharType="begin"/>
      </w:r>
      <w:r>
        <w:rPr>
          <w:lang/>
        </w:rPr>
        <w:instrText xml:space="preserve"> PAGEREF _Toc4172357 \h </w:instrText>
      </w:r>
      <w:r>
        <w:rPr>
          <w:lang/>
        </w:rPr>
        <w:fldChar w:fldCharType="separate"/>
      </w:r>
      <w:r>
        <w:rPr>
          <w:lang/>
        </w:rPr>
        <w:t>10</w:t>
      </w:r>
      <w:r>
        <w:rPr>
          <w:lang/>
        </w:rPr>
        <w:fldChar w:fldCharType="end"/>
      </w:r>
      <w:r>
        <w:rPr>
          <w:rStyle w:val="13"/>
          <w:lang/>
        </w:rPr>
        <w:fldChar w:fldCharType="end"/>
      </w:r>
    </w:p>
    <w:p>
      <w:pPr>
        <w:pStyle w:val="7"/>
        <w:tabs>
          <w:tab w:val="right" w:leader="dot" w:pos="9080"/>
        </w:tabs>
        <w:rPr>
          <w:lang/>
        </w:rPr>
      </w:pPr>
      <w:r>
        <w:rPr>
          <w:rStyle w:val="13"/>
          <w:lang/>
        </w:rPr>
        <w:fldChar w:fldCharType="begin"/>
      </w:r>
      <w:r>
        <w:rPr>
          <w:rStyle w:val="13"/>
          <w:lang/>
        </w:rPr>
        <w:instrText xml:space="preserve"> </w:instrText>
      </w:r>
      <w:r>
        <w:rPr>
          <w:lang/>
        </w:rPr>
        <w:instrText xml:space="preserve">HYPERLINK \l "_Toc4172358"</w:instrText>
      </w:r>
      <w:r>
        <w:rPr>
          <w:rStyle w:val="13"/>
          <w:lang/>
        </w:rPr>
        <w:instrText xml:space="preserve"> </w:instrText>
      </w:r>
      <w:r>
        <w:rPr>
          <w:rStyle w:val="13"/>
          <w:lang/>
        </w:rPr>
        <w:fldChar w:fldCharType="separate"/>
      </w:r>
      <w:r>
        <w:rPr>
          <w:rStyle w:val="13"/>
          <w:b/>
          <w:lang/>
        </w:rPr>
        <w:t xml:space="preserve">4.3 </w:t>
      </w:r>
      <w:r>
        <w:rPr>
          <w:rStyle w:val="13"/>
          <w:rFonts w:hint="eastAsia"/>
          <w:b/>
          <w:lang/>
        </w:rPr>
        <w:t>管理人对报告期内公平交易情况的专项说明</w:t>
      </w:r>
      <w:r>
        <w:rPr>
          <w:lang/>
        </w:rPr>
        <w:tab/>
      </w:r>
      <w:r>
        <w:rPr>
          <w:lang/>
        </w:rPr>
        <w:fldChar w:fldCharType="begin"/>
      </w:r>
      <w:r>
        <w:rPr>
          <w:lang/>
        </w:rPr>
        <w:instrText xml:space="preserve"> PAGEREF _Toc4172358 \h </w:instrText>
      </w:r>
      <w:r>
        <w:rPr>
          <w:lang/>
        </w:rPr>
        <w:fldChar w:fldCharType="separate"/>
      </w:r>
      <w:r>
        <w:rPr>
          <w:lang/>
        </w:rPr>
        <w:t>11</w:t>
      </w:r>
      <w:r>
        <w:rPr>
          <w:lang/>
        </w:rPr>
        <w:fldChar w:fldCharType="end"/>
      </w:r>
      <w:r>
        <w:rPr>
          <w:rStyle w:val="13"/>
          <w:lang/>
        </w:rPr>
        <w:fldChar w:fldCharType="end"/>
      </w:r>
    </w:p>
    <w:p>
      <w:pPr>
        <w:pStyle w:val="7"/>
        <w:tabs>
          <w:tab w:val="right" w:leader="dot" w:pos="9080"/>
        </w:tabs>
        <w:rPr>
          <w:lang/>
        </w:rPr>
      </w:pPr>
      <w:r>
        <w:rPr>
          <w:rStyle w:val="13"/>
          <w:lang/>
        </w:rPr>
        <w:fldChar w:fldCharType="begin"/>
      </w:r>
      <w:r>
        <w:rPr>
          <w:rStyle w:val="13"/>
          <w:lang/>
        </w:rPr>
        <w:instrText xml:space="preserve"> </w:instrText>
      </w:r>
      <w:r>
        <w:rPr>
          <w:lang/>
        </w:rPr>
        <w:instrText xml:space="preserve">HYPERLINK \l "_Toc4172359"</w:instrText>
      </w:r>
      <w:r>
        <w:rPr>
          <w:rStyle w:val="13"/>
          <w:lang/>
        </w:rPr>
        <w:instrText xml:space="preserve"> </w:instrText>
      </w:r>
      <w:r>
        <w:rPr>
          <w:rStyle w:val="13"/>
          <w:lang/>
        </w:rPr>
        <w:fldChar w:fldCharType="separate"/>
      </w:r>
      <w:r>
        <w:rPr>
          <w:rStyle w:val="13"/>
          <w:b/>
          <w:lang/>
        </w:rPr>
        <w:t xml:space="preserve">4.4 </w:t>
      </w:r>
      <w:r>
        <w:rPr>
          <w:rStyle w:val="13"/>
          <w:rFonts w:hint="eastAsia"/>
          <w:b/>
          <w:lang/>
        </w:rPr>
        <w:t>管理人对报告期内基金的投资策略和业绩表现的说明</w:t>
      </w:r>
      <w:r>
        <w:rPr>
          <w:lang/>
        </w:rPr>
        <w:tab/>
      </w:r>
      <w:r>
        <w:rPr>
          <w:lang/>
        </w:rPr>
        <w:fldChar w:fldCharType="begin"/>
      </w:r>
      <w:r>
        <w:rPr>
          <w:lang/>
        </w:rPr>
        <w:instrText xml:space="preserve"> PAGEREF _Toc4172359 \h </w:instrText>
      </w:r>
      <w:r>
        <w:rPr>
          <w:lang/>
        </w:rPr>
        <w:fldChar w:fldCharType="separate"/>
      </w:r>
      <w:r>
        <w:rPr>
          <w:lang/>
        </w:rPr>
        <w:t>12</w:t>
      </w:r>
      <w:r>
        <w:rPr>
          <w:lang/>
        </w:rPr>
        <w:fldChar w:fldCharType="end"/>
      </w:r>
      <w:r>
        <w:rPr>
          <w:rStyle w:val="13"/>
          <w:lang/>
        </w:rPr>
        <w:fldChar w:fldCharType="end"/>
      </w:r>
    </w:p>
    <w:p>
      <w:pPr>
        <w:pStyle w:val="7"/>
        <w:tabs>
          <w:tab w:val="right" w:leader="dot" w:pos="9080"/>
        </w:tabs>
        <w:rPr>
          <w:lang/>
        </w:rPr>
      </w:pPr>
      <w:r>
        <w:rPr>
          <w:rStyle w:val="13"/>
          <w:lang/>
        </w:rPr>
        <w:fldChar w:fldCharType="begin"/>
      </w:r>
      <w:r>
        <w:rPr>
          <w:rStyle w:val="13"/>
          <w:lang/>
        </w:rPr>
        <w:instrText xml:space="preserve"> </w:instrText>
      </w:r>
      <w:r>
        <w:rPr>
          <w:lang/>
        </w:rPr>
        <w:instrText xml:space="preserve">HYPERLINK \l "_Toc4172360"</w:instrText>
      </w:r>
      <w:r>
        <w:rPr>
          <w:rStyle w:val="13"/>
          <w:lang/>
        </w:rPr>
        <w:instrText xml:space="preserve"> </w:instrText>
      </w:r>
      <w:r>
        <w:rPr>
          <w:rStyle w:val="13"/>
          <w:lang/>
        </w:rPr>
        <w:fldChar w:fldCharType="separate"/>
      </w:r>
      <w:r>
        <w:rPr>
          <w:rStyle w:val="13"/>
          <w:b/>
          <w:lang/>
        </w:rPr>
        <w:t xml:space="preserve">4.5 </w:t>
      </w:r>
      <w:r>
        <w:rPr>
          <w:rStyle w:val="13"/>
          <w:rFonts w:hint="eastAsia"/>
          <w:b/>
          <w:lang/>
        </w:rPr>
        <w:t>管理人对宏观经济、证券市场及行业走势的简要展望</w:t>
      </w:r>
      <w:r>
        <w:rPr>
          <w:lang/>
        </w:rPr>
        <w:tab/>
      </w:r>
      <w:r>
        <w:rPr>
          <w:lang/>
        </w:rPr>
        <w:fldChar w:fldCharType="begin"/>
      </w:r>
      <w:r>
        <w:rPr>
          <w:lang/>
        </w:rPr>
        <w:instrText xml:space="preserve"> PAGEREF _Toc4172360 \h </w:instrText>
      </w:r>
      <w:r>
        <w:rPr>
          <w:lang/>
        </w:rPr>
        <w:fldChar w:fldCharType="separate"/>
      </w:r>
      <w:r>
        <w:rPr>
          <w:lang/>
        </w:rPr>
        <w:t>12</w:t>
      </w:r>
      <w:r>
        <w:rPr>
          <w:lang/>
        </w:rPr>
        <w:fldChar w:fldCharType="end"/>
      </w:r>
      <w:r>
        <w:rPr>
          <w:rStyle w:val="13"/>
          <w:lang/>
        </w:rPr>
        <w:fldChar w:fldCharType="end"/>
      </w:r>
    </w:p>
    <w:p>
      <w:pPr>
        <w:pStyle w:val="7"/>
        <w:tabs>
          <w:tab w:val="right" w:leader="dot" w:pos="9080"/>
        </w:tabs>
        <w:rPr>
          <w:lang/>
        </w:rPr>
      </w:pPr>
      <w:r>
        <w:rPr>
          <w:rStyle w:val="13"/>
          <w:lang/>
        </w:rPr>
        <w:fldChar w:fldCharType="begin"/>
      </w:r>
      <w:r>
        <w:rPr>
          <w:rStyle w:val="13"/>
          <w:lang/>
        </w:rPr>
        <w:instrText xml:space="preserve"> </w:instrText>
      </w:r>
      <w:r>
        <w:rPr>
          <w:lang/>
        </w:rPr>
        <w:instrText xml:space="preserve">HYPERLINK \l "_Toc4172361"</w:instrText>
      </w:r>
      <w:r>
        <w:rPr>
          <w:rStyle w:val="13"/>
          <w:lang/>
        </w:rPr>
        <w:instrText xml:space="preserve"> </w:instrText>
      </w:r>
      <w:r>
        <w:rPr>
          <w:rStyle w:val="13"/>
          <w:lang/>
        </w:rPr>
        <w:fldChar w:fldCharType="separate"/>
      </w:r>
      <w:r>
        <w:rPr>
          <w:rStyle w:val="13"/>
          <w:b/>
          <w:lang/>
        </w:rPr>
        <w:t xml:space="preserve">4.6 </w:t>
      </w:r>
      <w:r>
        <w:rPr>
          <w:rStyle w:val="13"/>
          <w:rFonts w:hint="eastAsia"/>
          <w:b/>
          <w:lang/>
        </w:rPr>
        <w:t>管理人内部有关本基金的监察稽核工作情况</w:t>
      </w:r>
      <w:r>
        <w:rPr>
          <w:lang/>
        </w:rPr>
        <w:tab/>
      </w:r>
      <w:r>
        <w:rPr>
          <w:lang/>
        </w:rPr>
        <w:fldChar w:fldCharType="begin"/>
      </w:r>
      <w:r>
        <w:rPr>
          <w:lang/>
        </w:rPr>
        <w:instrText xml:space="preserve"> PAGEREF _Toc4172361 \h </w:instrText>
      </w:r>
      <w:r>
        <w:rPr>
          <w:lang/>
        </w:rPr>
        <w:fldChar w:fldCharType="separate"/>
      </w:r>
      <w:r>
        <w:rPr>
          <w:lang/>
        </w:rPr>
        <w:t>13</w:t>
      </w:r>
      <w:r>
        <w:rPr>
          <w:lang/>
        </w:rPr>
        <w:fldChar w:fldCharType="end"/>
      </w:r>
      <w:r>
        <w:rPr>
          <w:rStyle w:val="13"/>
          <w:lang/>
        </w:rPr>
        <w:fldChar w:fldCharType="end"/>
      </w:r>
    </w:p>
    <w:p>
      <w:pPr>
        <w:pStyle w:val="7"/>
        <w:tabs>
          <w:tab w:val="right" w:leader="dot" w:pos="9080"/>
        </w:tabs>
        <w:rPr>
          <w:lang/>
        </w:rPr>
      </w:pPr>
      <w:r>
        <w:rPr>
          <w:rStyle w:val="13"/>
          <w:lang/>
        </w:rPr>
        <w:fldChar w:fldCharType="begin"/>
      </w:r>
      <w:r>
        <w:rPr>
          <w:rStyle w:val="13"/>
          <w:lang/>
        </w:rPr>
        <w:instrText xml:space="preserve"> </w:instrText>
      </w:r>
      <w:r>
        <w:rPr>
          <w:lang/>
        </w:rPr>
        <w:instrText xml:space="preserve">HYPERLINK \l "_Toc4172362"</w:instrText>
      </w:r>
      <w:r>
        <w:rPr>
          <w:rStyle w:val="13"/>
          <w:lang/>
        </w:rPr>
        <w:instrText xml:space="preserve"> </w:instrText>
      </w:r>
      <w:r>
        <w:rPr>
          <w:rStyle w:val="13"/>
          <w:lang/>
        </w:rPr>
        <w:fldChar w:fldCharType="separate"/>
      </w:r>
      <w:r>
        <w:rPr>
          <w:rStyle w:val="13"/>
          <w:b/>
          <w:lang/>
        </w:rPr>
        <w:t xml:space="preserve">4.7 </w:t>
      </w:r>
      <w:r>
        <w:rPr>
          <w:rStyle w:val="13"/>
          <w:rFonts w:hint="eastAsia"/>
          <w:b/>
          <w:lang/>
        </w:rPr>
        <w:t>管理人对报告期内基金估值程序等事项的说明</w:t>
      </w:r>
      <w:r>
        <w:rPr>
          <w:lang/>
        </w:rPr>
        <w:tab/>
      </w:r>
      <w:r>
        <w:rPr>
          <w:lang/>
        </w:rPr>
        <w:fldChar w:fldCharType="begin"/>
      </w:r>
      <w:r>
        <w:rPr>
          <w:lang/>
        </w:rPr>
        <w:instrText xml:space="preserve"> PAGEREF _Toc4172362 \h </w:instrText>
      </w:r>
      <w:r>
        <w:rPr>
          <w:lang/>
        </w:rPr>
        <w:fldChar w:fldCharType="separate"/>
      </w:r>
      <w:r>
        <w:rPr>
          <w:lang/>
        </w:rPr>
        <w:t>13</w:t>
      </w:r>
      <w:r>
        <w:rPr>
          <w:lang/>
        </w:rPr>
        <w:fldChar w:fldCharType="end"/>
      </w:r>
      <w:r>
        <w:rPr>
          <w:rStyle w:val="13"/>
          <w:lang/>
        </w:rPr>
        <w:fldChar w:fldCharType="end"/>
      </w:r>
    </w:p>
    <w:p>
      <w:pPr>
        <w:pStyle w:val="7"/>
        <w:tabs>
          <w:tab w:val="right" w:leader="dot" w:pos="9080"/>
        </w:tabs>
        <w:rPr>
          <w:lang/>
        </w:rPr>
      </w:pPr>
      <w:r>
        <w:rPr>
          <w:rStyle w:val="13"/>
          <w:lang/>
        </w:rPr>
        <w:fldChar w:fldCharType="begin"/>
      </w:r>
      <w:r>
        <w:rPr>
          <w:rStyle w:val="13"/>
          <w:lang/>
        </w:rPr>
        <w:instrText xml:space="preserve"> </w:instrText>
      </w:r>
      <w:r>
        <w:rPr>
          <w:lang/>
        </w:rPr>
        <w:instrText xml:space="preserve">HYPERLINK \l "_Toc4172363"</w:instrText>
      </w:r>
      <w:r>
        <w:rPr>
          <w:rStyle w:val="13"/>
          <w:lang/>
        </w:rPr>
        <w:instrText xml:space="preserve"> </w:instrText>
      </w:r>
      <w:r>
        <w:rPr>
          <w:rStyle w:val="13"/>
          <w:lang/>
        </w:rPr>
        <w:fldChar w:fldCharType="separate"/>
      </w:r>
      <w:r>
        <w:rPr>
          <w:rStyle w:val="13"/>
          <w:b/>
          <w:bCs/>
          <w:lang/>
        </w:rPr>
        <w:t xml:space="preserve">4.8 </w:t>
      </w:r>
      <w:r>
        <w:rPr>
          <w:rStyle w:val="13"/>
          <w:rFonts w:hint="eastAsia"/>
          <w:b/>
          <w:bCs/>
          <w:lang/>
        </w:rPr>
        <w:t>管理人对报告期内基金利润分配情况的说明</w:t>
      </w:r>
      <w:r>
        <w:rPr>
          <w:lang/>
        </w:rPr>
        <w:tab/>
      </w:r>
      <w:r>
        <w:rPr>
          <w:lang/>
        </w:rPr>
        <w:fldChar w:fldCharType="begin"/>
      </w:r>
      <w:r>
        <w:rPr>
          <w:lang/>
        </w:rPr>
        <w:instrText xml:space="preserve"> PAGEREF _Toc4172363 \h </w:instrText>
      </w:r>
      <w:r>
        <w:rPr>
          <w:lang/>
        </w:rPr>
        <w:fldChar w:fldCharType="separate"/>
      </w:r>
      <w:r>
        <w:rPr>
          <w:lang/>
        </w:rPr>
        <w:t>14</w:t>
      </w:r>
      <w:r>
        <w:rPr>
          <w:lang/>
        </w:rPr>
        <w:fldChar w:fldCharType="end"/>
      </w:r>
      <w:r>
        <w:rPr>
          <w:rStyle w:val="13"/>
          <w:lang/>
        </w:rPr>
        <w:fldChar w:fldCharType="end"/>
      </w:r>
    </w:p>
    <w:p>
      <w:pPr>
        <w:pStyle w:val="7"/>
        <w:tabs>
          <w:tab w:val="right" w:leader="dot" w:pos="9080"/>
        </w:tabs>
        <w:rPr>
          <w:lang/>
        </w:rPr>
      </w:pPr>
      <w:r>
        <w:rPr>
          <w:rStyle w:val="13"/>
          <w:lang/>
        </w:rPr>
        <w:fldChar w:fldCharType="begin"/>
      </w:r>
      <w:r>
        <w:rPr>
          <w:rStyle w:val="13"/>
          <w:lang/>
        </w:rPr>
        <w:instrText xml:space="preserve"> </w:instrText>
      </w:r>
      <w:r>
        <w:rPr>
          <w:lang/>
        </w:rPr>
        <w:instrText xml:space="preserve">HYPERLINK \l "_Toc4172364"</w:instrText>
      </w:r>
      <w:r>
        <w:rPr>
          <w:rStyle w:val="13"/>
          <w:lang/>
        </w:rPr>
        <w:instrText xml:space="preserve"> </w:instrText>
      </w:r>
      <w:r>
        <w:rPr>
          <w:rStyle w:val="13"/>
          <w:lang/>
        </w:rPr>
        <w:fldChar w:fldCharType="separate"/>
      </w:r>
      <w:r>
        <w:rPr>
          <w:rStyle w:val="13"/>
          <w:b/>
          <w:bCs/>
          <w:lang/>
        </w:rPr>
        <w:t xml:space="preserve">4.9 </w:t>
      </w:r>
      <w:r>
        <w:rPr>
          <w:rStyle w:val="13"/>
          <w:rFonts w:hint="eastAsia"/>
          <w:b/>
          <w:bCs/>
          <w:lang/>
        </w:rPr>
        <w:t>报告期内管理人对本基金持有人数或基金资产净值预警情形的说明</w:t>
      </w:r>
      <w:r>
        <w:rPr>
          <w:lang/>
        </w:rPr>
        <w:tab/>
      </w:r>
      <w:r>
        <w:rPr>
          <w:lang/>
        </w:rPr>
        <w:fldChar w:fldCharType="begin"/>
      </w:r>
      <w:r>
        <w:rPr>
          <w:lang/>
        </w:rPr>
        <w:instrText xml:space="preserve"> PAGEREF _Toc4172364 \h </w:instrText>
      </w:r>
      <w:r>
        <w:rPr>
          <w:lang/>
        </w:rPr>
        <w:fldChar w:fldCharType="separate"/>
      </w:r>
      <w:r>
        <w:rPr>
          <w:lang/>
        </w:rPr>
        <w:t>14</w:t>
      </w:r>
      <w:r>
        <w:rPr>
          <w:lang/>
        </w:rPr>
        <w:fldChar w:fldCharType="end"/>
      </w:r>
      <w:r>
        <w:rPr>
          <w:rStyle w:val="13"/>
          <w:lang/>
        </w:rPr>
        <w:fldChar w:fldCharType="end"/>
      </w:r>
    </w:p>
    <w:p>
      <w:pPr>
        <w:pStyle w:val="6"/>
        <w:tabs>
          <w:tab w:val="right" w:leader="dot" w:pos="9080"/>
        </w:tabs>
        <w:rPr>
          <w:lang/>
        </w:rPr>
      </w:pPr>
      <w:r>
        <w:rPr>
          <w:rStyle w:val="13"/>
          <w:lang/>
        </w:rPr>
        <w:fldChar w:fldCharType="begin"/>
      </w:r>
      <w:r>
        <w:rPr>
          <w:rStyle w:val="13"/>
          <w:lang/>
        </w:rPr>
        <w:instrText xml:space="preserve"> </w:instrText>
      </w:r>
      <w:r>
        <w:rPr>
          <w:lang/>
        </w:rPr>
        <w:instrText xml:space="preserve">HYPERLINK \l "_Toc4172365"</w:instrText>
      </w:r>
      <w:r>
        <w:rPr>
          <w:rStyle w:val="13"/>
          <w:lang/>
        </w:rPr>
        <w:instrText xml:space="preserve"> </w:instrText>
      </w:r>
      <w:r>
        <w:rPr>
          <w:rStyle w:val="13"/>
          <w:lang/>
        </w:rPr>
        <w:fldChar w:fldCharType="separate"/>
      </w:r>
      <w:r>
        <w:rPr>
          <w:rStyle w:val="13"/>
          <w:b/>
          <w:lang/>
        </w:rPr>
        <w:t xml:space="preserve">§5  </w:t>
      </w:r>
      <w:r>
        <w:rPr>
          <w:rStyle w:val="13"/>
          <w:rFonts w:hint="eastAsia"/>
          <w:b/>
          <w:lang/>
        </w:rPr>
        <w:t>托管人报告</w:t>
      </w:r>
      <w:r>
        <w:rPr>
          <w:lang/>
        </w:rPr>
        <w:tab/>
      </w:r>
      <w:r>
        <w:rPr>
          <w:lang/>
        </w:rPr>
        <w:fldChar w:fldCharType="begin"/>
      </w:r>
      <w:r>
        <w:rPr>
          <w:lang/>
        </w:rPr>
        <w:instrText xml:space="preserve"> PAGEREF _Toc4172365 \h </w:instrText>
      </w:r>
      <w:r>
        <w:rPr>
          <w:lang/>
        </w:rPr>
        <w:fldChar w:fldCharType="separate"/>
      </w:r>
      <w:r>
        <w:rPr>
          <w:lang/>
        </w:rPr>
        <w:t>14</w:t>
      </w:r>
      <w:r>
        <w:rPr>
          <w:lang/>
        </w:rPr>
        <w:fldChar w:fldCharType="end"/>
      </w:r>
      <w:r>
        <w:rPr>
          <w:rStyle w:val="13"/>
          <w:lang/>
        </w:rPr>
        <w:fldChar w:fldCharType="end"/>
      </w:r>
    </w:p>
    <w:p>
      <w:pPr>
        <w:pStyle w:val="7"/>
        <w:tabs>
          <w:tab w:val="right" w:leader="dot" w:pos="9080"/>
        </w:tabs>
        <w:rPr>
          <w:lang/>
        </w:rPr>
      </w:pPr>
      <w:r>
        <w:rPr>
          <w:rStyle w:val="13"/>
          <w:lang/>
        </w:rPr>
        <w:fldChar w:fldCharType="begin"/>
      </w:r>
      <w:r>
        <w:rPr>
          <w:rStyle w:val="13"/>
          <w:lang/>
        </w:rPr>
        <w:instrText xml:space="preserve"> </w:instrText>
      </w:r>
      <w:r>
        <w:rPr>
          <w:lang/>
        </w:rPr>
        <w:instrText xml:space="preserve">HYPERLINK \l "_Toc4172366"</w:instrText>
      </w:r>
      <w:r>
        <w:rPr>
          <w:rStyle w:val="13"/>
          <w:lang/>
        </w:rPr>
        <w:instrText xml:space="preserve"> </w:instrText>
      </w:r>
      <w:r>
        <w:rPr>
          <w:rStyle w:val="13"/>
          <w:lang/>
        </w:rPr>
        <w:fldChar w:fldCharType="separate"/>
      </w:r>
      <w:r>
        <w:rPr>
          <w:rStyle w:val="13"/>
          <w:b/>
          <w:bCs/>
          <w:lang/>
        </w:rPr>
        <w:t xml:space="preserve">5.1 </w:t>
      </w:r>
      <w:r>
        <w:rPr>
          <w:rStyle w:val="13"/>
          <w:rFonts w:hint="eastAsia"/>
          <w:b/>
          <w:bCs/>
          <w:lang/>
        </w:rPr>
        <w:t>报告期内本基金托管人遵规守信情况声明</w:t>
      </w:r>
      <w:r>
        <w:rPr>
          <w:lang/>
        </w:rPr>
        <w:tab/>
      </w:r>
      <w:r>
        <w:rPr>
          <w:lang/>
        </w:rPr>
        <w:fldChar w:fldCharType="begin"/>
      </w:r>
      <w:r>
        <w:rPr>
          <w:lang/>
        </w:rPr>
        <w:instrText xml:space="preserve"> PAGEREF _Toc4172366 \h </w:instrText>
      </w:r>
      <w:r>
        <w:rPr>
          <w:lang/>
        </w:rPr>
        <w:fldChar w:fldCharType="separate"/>
      </w:r>
      <w:r>
        <w:rPr>
          <w:lang/>
        </w:rPr>
        <w:t>14</w:t>
      </w:r>
      <w:r>
        <w:rPr>
          <w:lang/>
        </w:rPr>
        <w:fldChar w:fldCharType="end"/>
      </w:r>
      <w:r>
        <w:rPr>
          <w:rStyle w:val="13"/>
          <w:lang/>
        </w:rPr>
        <w:fldChar w:fldCharType="end"/>
      </w:r>
    </w:p>
    <w:p>
      <w:pPr>
        <w:pStyle w:val="7"/>
        <w:tabs>
          <w:tab w:val="right" w:leader="dot" w:pos="9080"/>
        </w:tabs>
        <w:rPr>
          <w:lang/>
        </w:rPr>
      </w:pPr>
      <w:r>
        <w:rPr>
          <w:rStyle w:val="13"/>
          <w:lang/>
        </w:rPr>
        <w:fldChar w:fldCharType="begin"/>
      </w:r>
      <w:r>
        <w:rPr>
          <w:rStyle w:val="13"/>
          <w:lang/>
        </w:rPr>
        <w:instrText xml:space="preserve"> </w:instrText>
      </w:r>
      <w:r>
        <w:rPr>
          <w:lang/>
        </w:rPr>
        <w:instrText xml:space="preserve">HYPERLINK \l "_Toc4172367"</w:instrText>
      </w:r>
      <w:r>
        <w:rPr>
          <w:rStyle w:val="13"/>
          <w:lang/>
        </w:rPr>
        <w:instrText xml:space="preserve"> </w:instrText>
      </w:r>
      <w:r>
        <w:rPr>
          <w:rStyle w:val="13"/>
          <w:lang/>
        </w:rPr>
        <w:fldChar w:fldCharType="separate"/>
      </w:r>
      <w:r>
        <w:rPr>
          <w:rStyle w:val="13"/>
          <w:b/>
          <w:bCs/>
          <w:lang/>
        </w:rPr>
        <w:t xml:space="preserve">5.2 </w:t>
      </w:r>
      <w:r>
        <w:rPr>
          <w:rStyle w:val="13"/>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_Toc4172367 \h </w:instrText>
      </w:r>
      <w:r>
        <w:rPr>
          <w:lang/>
        </w:rPr>
        <w:fldChar w:fldCharType="separate"/>
      </w:r>
      <w:r>
        <w:rPr>
          <w:lang/>
        </w:rPr>
        <w:t>14</w:t>
      </w:r>
      <w:r>
        <w:rPr>
          <w:lang/>
        </w:rPr>
        <w:fldChar w:fldCharType="end"/>
      </w:r>
      <w:r>
        <w:rPr>
          <w:rStyle w:val="13"/>
          <w:lang/>
        </w:rPr>
        <w:fldChar w:fldCharType="end"/>
      </w:r>
    </w:p>
    <w:p>
      <w:pPr>
        <w:pStyle w:val="7"/>
        <w:tabs>
          <w:tab w:val="right" w:leader="dot" w:pos="9080"/>
        </w:tabs>
        <w:rPr>
          <w:lang/>
        </w:rPr>
      </w:pPr>
      <w:r>
        <w:rPr>
          <w:rStyle w:val="13"/>
          <w:lang/>
        </w:rPr>
        <w:fldChar w:fldCharType="begin"/>
      </w:r>
      <w:r>
        <w:rPr>
          <w:rStyle w:val="13"/>
          <w:lang/>
        </w:rPr>
        <w:instrText xml:space="preserve"> </w:instrText>
      </w:r>
      <w:r>
        <w:rPr>
          <w:lang/>
        </w:rPr>
        <w:instrText xml:space="preserve">HYPERLINK \l "_Toc4172368"</w:instrText>
      </w:r>
      <w:r>
        <w:rPr>
          <w:rStyle w:val="13"/>
          <w:lang/>
        </w:rPr>
        <w:instrText xml:space="preserve"> </w:instrText>
      </w:r>
      <w:r>
        <w:rPr>
          <w:rStyle w:val="13"/>
          <w:lang/>
        </w:rPr>
        <w:fldChar w:fldCharType="separate"/>
      </w:r>
      <w:r>
        <w:rPr>
          <w:rStyle w:val="13"/>
          <w:b/>
          <w:bCs/>
          <w:lang/>
        </w:rPr>
        <w:t xml:space="preserve">5.3 </w:t>
      </w:r>
      <w:r>
        <w:rPr>
          <w:rStyle w:val="13"/>
          <w:rFonts w:hint="eastAsia"/>
          <w:b/>
          <w:bCs/>
          <w:lang/>
        </w:rPr>
        <w:t>托管人对本年度报告中财务信息等内容的真实、准确和完整发表意见</w:t>
      </w:r>
      <w:r>
        <w:rPr>
          <w:lang/>
        </w:rPr>
        <w:tab/>
      </w:r>
      <w:r>
        <w:rPr>
          <w:lang/>
        </w:rPr>
        <w:fldChar w:fldCharType="begin"/>
      </w:r>
      <w:r>
        <w:rPr>
          <w:lang/>
        </w:rPr>
        <w:instrText xml:space="preserve"> PAGEREF _Toc4172368 \h </w:instrText>
      </w:r>
      <w:r>
        <w:rPr>
          <w:lang/>
        </w:rPr>
        <w:fldChar w:fldCharType="separate"/>
      </w:r>
      <w:r>
        <w:rPr>
          <w:lang/>
        </w:rPr>
        <w:t>14</w:t>
      </w:r>
      <w:r>
        <w:rPr>
          <w:lang/>
        </w:rPr>
        <w:fldChar w:fldCharType="end"/>
      </w:r>
      <w:r>
        <w:rPr>
          <w:rStyle w:val="13"/>
          <w:lang/>
        </w:rPr>
        <w:fldChar w:fldCharType="end"/>
      </w:r>
    </w:p>
    <w:p>
      <w:pPr>
        <w:pStyle w:val="6"/>
        <w:tabs>
          <w:tab w:val="right" w:leader="dot" w:pos="9080"/>
        </w:tabs>
        <w:rPr>
          <w:lang/>
        </w:rPr>
      </w:pPr>
      <w:r>
        <w:rPr>
          <w:rStyle w:val="13"/>
          <w:lang/>
        </w:rPr>
        <w:fldChar w:fldCharType="begin"/>
      </w:r>
      <w:r>
        <w:rPr>
          <w:rStyle w:val="13"/>
          <w:lang/>
        </w:rPr>
        <w:instrText xml:space="preserve"> </w:instrText>
      </w:r>
      <w:r>
        <w:rPr>
          <w:lang/>
        </w:rPr>
        <w:instrText xml:space="preserve">HYPERLINK \l "_Toc4172369"</w:instrText>
      </w:r>
      <w:r>
        <w:rPr>
          <w:rStyle w:val="13"/>
          <w:lang/>
        </w:rPr>
        <w:instrText xml:space="preserve"> </w:instrText>
      </w:r>
      <w:r>
        <w:rPr>
          <w:rStyle w:val="13"/>
          <w:lang/>
        </w:rPr>
        <w:fldChar w:fldCharType="separate"/>
      </w:r>
      <w:r>
        <w:rPr>
          <w:rStyle w:val="13"/>
          <w:b/>
          <w:lang/>
        </w:rPr>
        <w:t xml:space="preserve">§6  </w:t>
      </w:r>
      <w:r>
        <w:rPr>
          <w:rStyle w:val="13"/>
          <w:rFonts w:hint="eastAsia"/>
          <w:b/>
          <w:lang/>
        </w:rPr>
        <w:t>审计报告</w:t>
      </w:r>
      <w:r>
        <w:rPr>
          <w:lang/>
        </w:rPr>
        <w:tab/>
      </w:r>
      <w:r>
        <w:rPr>
          <w:lang/>
        </w:rPr>
        <w:fldChar w:fldCharType="begin"/>
      </w:r>
      <w:r>
        <w:rPr>
          <w:lang/>
        </w:rPr>
        <w:instrText xml:space="preserve"> PAGEREF _Toc4172369 \h </w:instrText>
      </w:r>
      <w:r>
        <w:rPr>
          <w:lang/>
        </w:rPr>
        <w:fldChar w:fldCharType="separate"/>
      </w:r>
      <w:r>
        <w:rPr>
          <w:lang/>
        </w:rPr>
        <w:t>14</w:t>
      </w:r>
      <w:r>
        <w:rPr>
          <w:lang/>
        </w:rPr>
        <w:fldChar w:fldCharType="end"/>
      </w:r>
      <w:r>
        <w:rPr>
          <w:rStyle w:val="13"/>
          <w:lang/>
        </w:rPr>
        <w:fldChar w:fldCharType="end"/>
      </w:r>
    </w:p>
    <w:p>
      <w:pPr>
        <w:pStyle w:val="7"/>
        <w:tabs>
          <w:tab w:val="right" w:leader="dot" w:pos="9080"/>
        </w:tabs>
        <w:rPr>
          <w:lang/>
        </w:rPr>
      </w:pPr>
      <w:r>
        <w:rPr>
          <w:rStyle w:val="13"/>
          <w:lang/>
        </w:rPr>
        <w:fldChar w:fldCharType="begin"/>
      </w:r>
      <w:r>
        <w:rPr>
          <w:rStyle w:val="13"/>
          <w:lang/>
        </w:rPr>
        <w:instrText xml:space="preserve"> </w:instrText>
      </w:r>
      <w:r>
        <w:rPr>
          <w:lang/>
        </w:rPr>
        <w:instrText xml:space="preserve">HYPERLINK \l "_Toc4172370"</w:instrText>
      </w:r>
      <w:r>
        <w:rPr>
          <w:rStyle w:val="13"/>
          <w:lang/>
        </w:rPr>
        <w:instrText xml:space="preserve"> </w:instrText>
      </w:r>
      <w:r>
        <w:rPr>
          <w:rStyle w:val="13"/>
          <w:lang/>
        </w:rPr>
        <w:fldChar w:fldCharType="separate"/>
      </w:r>
      <w:r>
        <w:rPr>
          <w:rStyle w:val="13"/>
          <w:b/>
          <w:bCs/>
          <w:lang/>
        </w:rPr>
        <w:t xml:space="preserve">6.1 </w:t>
      </w:r>
      <w:r>
        <w:rPr>
          <w:rStyle w:val="13"/>
          <w:rFonts w:hint="eastAsia"/>
          <w:b/>
          <w:bCs/>
          <w:lang/>
        </w:rPr>
        <w:t>审计报告基本信息</w:t>
      </w:r>
      <w:r>
        <w:rPr>
          <w:lang/>
        </w:rPr>
        <w:tab/>
      </w:r>
      <w:r>
        <w:rPr>
          <w:lang/>
        </w:rPr>
        <w:fldChar w:fldCharType="begin"/>
      </w:r>
      <w:r>
        <w:rPr>
          <w:lang/>
        </w:rPr>
        <w:instrText xml:space="preserve"> PAGEREF _Toc4172370 \h </w:instrText>
      </w:r>
      <w:r>
        <w:rPr>
          <w:lang/>
        </w:rPr>
        <w:fldChar w:fldCharType="separate"/>
      </w:r>
      <w:r>
        <w:rPr>
          <w:lang/>
        </w:rPr>
        <w:t>15</w:t>
      </w:r>
      <w:r>
        <w:rPr>
          <w:lang/>
        </w:rPr>
        <w:fldChar w:fldCharType="end"/>
      </w:r>
      <w:r>
        <w:rPr>
          <w:rStyle w:val="13"/>
          <w:lang/>
        </w:rPr>
        <w:fldChar w:fldCharType="end"/>
      </w:r>
    </w:p>
    <w:p>
      <w:pPr>
        <w:pStyle w:val="7"/>
        <w:tabs>
          <w:tab w:val="right" w:leader="dot" w:pos="9080"/>
        </w:tabs>
        <w:rPr>
          <w:lang/>
        </w:rPr>
      </w:pPr>
      <w:r>
        <w:rPr>
          <w:rStyle w:val="13"/>
          <w:lang/>
        </w:rPr>
        <w:fldChar w:fldCharType="begin"/>
      </w:r>
      <w:r>
        <w:rPr>
          <w:rStyle w:val="13"/>
          <w:lang/>
        </w:rPr>
        <w:instrText xml:space="preserve"> </w:instrText>
      </w:r>
      <w:r>
        <w:rPr>
          <w:lang/>
        </w:rPr>
        <w:instrText xml:space="preserve">HYPERLINK \l "_Toc4172371"</w:instrText>
      </w:r>
      <w:r>
        <w:rPr>
          <w:rStyle w:val="13"/>
          <w:lang/>
        </w:rPr>
        <w:instrText xml:space="preserve"> </w:instrText>
      </w:r>
      <w:r>
        <w:rPr>
          <w:rStyle w:val="13"/>
          <w:lang/>
        </w:rPr>
        <w:fldChar w:fldCharType="separate"/>
      </w:r>
      <w:r>
        <w:rPr>
          <w:rStyle w:val="13"/>
          <w:b/>
          <w:bCs/>
          <w:lang/>
        </w:rPr>
        <w:t xml:space="preserve">6.2 </w:t>
      </w:r>
      <w:r>
        <w:rPr>
          <w:rStyle w:val="13"/>
          <w:rFonts w:hint="eastAsia"/>
          <w:b/>
          <w:bCs/>
          <w:lang/>
        </w:rPr>
        <w:t>审计报告的基本内容</w:t>
      </w:r>
      <w:r>
        <w:rPr>
          <w:lang/>
        </w:rPr>
        <w:tab/>
      </w:r>
      <w:r>
        <w:rPr>
          <w:lang/>
        </w:rPr>
        <w:fldChar w:fldCharType="begin"/>
      </w:r>
      <w:r>
        <w:rPr>
          <w:lang/>
        </w:rPr>
        <w:instrText xml:space="preserve"> PAGEREF _Toc4172371 \h </w:instrText>
      </w:r>
      <w:r>
        <w:rPr>
          <w:lang/>
        </w:rPr>
        <w:fldChar w:fldCharType="separate"/>
      </w:r>
      <w:r>
        <w:rPr>
          <w:lang/>
        </w:rPr>
        <w:t>15</w:t>
      </w:r>
      <w:r>
        <w:rPr>
          <w:lang/>
        </w:rPr>
        <w:fldChar w:fldCharType="end"/>
      </w:r>
      <w:r>
        <w:rPr>
          <w:rStyle w:val="13"/>
          <w:lang/>
        </w:rPr>
        <w:fldChar w:fldCharType="end"/>
      </w:r>
    </w:p>
    <w:p>
      <w:pPr>
        <w:pStyle w:val="6"/>
        <w:tabs>
          <w:tab w:val="right" w:leader="dot" w:pos="9080"/>
        </w:tabs>
        <w:rPr>
          <w:lang/>
        </w:rPr>
      </w:pPr>
      <w:r>
        <w:rPr>
          <w:rStyle w:val="13"/>
          <w:lang/>
        </w:rPr>
        <w:fldChar w:fldCharType="begin"/>
      </w:r>
      <w:r>
        <w:rPr>
          <w:rStyle w:val="13"/>
          <w:lang/>
        </w:rPr>
        <w:instrText xml:space="preserve"> </w:instrText>
      </w:r>
      <w:r>
        <w:rPr>
          <w:lang/>
        </w:rPr>
        <w:instrText xml:space="preserve">HYPERLINK \l "_Toc4172372"</w:instrText>
      </w:r>
      <w:r>
        <w:rPr>
          <w:rStyle w:val="13"/>
          <w:lang/>
        </w:rPr>
        <w:instrText xml:space="preserve"> </w:instrText>
      </w:r>
      <w:r>
        <w:rPr>
          <w:rStyle w:val="13"/>
          <w:lang/>
        </w:rPr>
        <w:fldChar w:fldCharType="separate"/>
      </w:r>
      <w:r>
        <w:rPr>
          <w:rStyle w:val="13"/>
          <w:b/>
          <w:lang/>
        </w:rPr>
        <w:t xml:space="preserve">§7  </w:t>
      </w:r>
      <w:r>
        <w:rPr>
          <w:rStyle w:val="13"/>
          <w:rFonts w:hint="eastAsia"/>
          <w:b/>
          <w:lang/>
        </w:rPr>
        <w:t>年度财务报表</w:t>
      </w:r>
      <w:r>
        <w:rPr>
          <w:lang/>
        </w:rPr>
        <w:tab/>
      </w:r>
      <w:r>
        <w:rPr>
          <w:lang/>
        </w:rPr>
        <w:fldChar w:fldCharType="begin"/>
      </w:r>
      <w:r>
        <w:rPr>
          <w:lang/>
        </w:rPr>
        <w:instrText xml:space="preserve"> PAGEREF _Toc4172372 \h </w:instrText>
      </w:r>
      <w:r>
        <w:rPr>
          <w:lang/>
        </w:rPr>
        <w:fldChar w:fldCharType="separate"/>
      </w:r>
      <w:r>
        <w:rPr>
          <w:lang/>
        </w:rPr>
        <w:t>17</w:t>
      </w:r>
      <w:r>
        <w:rPr>
          <w:lang/>
        </w:rPr>
        <w:fldChar w:fldCharType="end"/>
      </w:r>
      <w:r>
        <w:rPr>
          <w:rStyle w:val="13"/>
          <w:lang/>
        </w:rPr>
        <w:fldChar w:fldCharType="end"/>
      </w:r>
    </w:p>
    <w:p>
      <w:pPr>
        <w:pStyle w:val="7"/>
        <w:tabs>
          <w:tab w:val="right" w:leader="dot" w:pos="9080"/>
        </w:tabs>
        <w:rPr>
          <w:lang/>
        </w:rPr>
      </w:pPr>
      <w:r>
        <w:rPr>
          <w:rStyle w:val="13"/>
          <w:lang/>
        </w:rPr>
        <w:fldChar w:fldCharType="begin"/>
      </w:r>
      <w:r>
        <w:rPr>
          <w:rStyle w:val="13"/>
          <w:lang/>
        </w:rPr>
        <w:instrText xml:space="preserve"> </w:instrText>
      </w:r>
      <w:r>
        <w:rPr>
          <w:lang/>
        </w:rPr>
        <w:instrText xml:space="preserve">HYPERLINK \l "_Toc4172373"</w:instrText>
      </w:r>
      <w:r>
        <w:rPr>
          <w:rStyle w:val="13"/>
          <w:lang/>
        </w:rPr>
        <w:instrText xml:space="preserve"> </w:instrText>
      </w:r>
      <w:r>
        <w:rPr>
          <w:rStyle w:val="13"/>
          <w:lang/>
        </w:rPr>
        <w:fldChar w:fldCharType="separate"/>
      </w:r>
      <w:r>
        <w:rPr>
          <w:rStyle w:val="13"/>
          <w:b/>
          <w:bCs/>
          <w:lang/>
        </w:rPr>
        <w:t xml:space="preserve">7.1 </w:t>
      </w:r>
      <w:r>
        <w:rPr>
          <w:rStyle w:val="13"/>
          <w:rFonts w:hint="eastAsia"/>
          <w:b/>
          <w:bCs/>
          <w:lang/>
        </w:rPr>
        <w:t>资产负债表</w:t>
      </w:r>
      <w:r>
        <w:rPr>
          <w:lang/>
        </w:rPr>
        <w:tab/>
      </w:r>
      <w:r>
        <w:rPr>
          <w:lang/>
        </w:rPr>
        <w:fldChar w:fldCharType="begin"/>
      </w:r>
      <w:r>
        <w:rPr>
          <w:lang/>
        </w:rPr>
        <w:instrText xml:space="preserve"> PAGEREF _Toc4172373 \h </w:instrText>
      </w:r>
      <w:r>
        <w:rPr>
          <w:lang/>
        </w:rPr>
        <w:fldChar w:fldCharType="separate"/>
      </w:r>
      <w:r>
        <w:rPr>
          <w:lang/>
        </w:rPr>
        <w:t>17</w:t>
      </w:r>
      <w:r>
        <w:rPr>
          <w:lang/>
        </w:rPr>
        <w:fldChar w:fldCharType="end"/>
      </w:r>
      <w:r>
        <w:rPr>
          <w:rStyle w:val="13"/>
          <w:lang/>
        </w:rPr>
        <w:fldChar w:fldCharType="end"/>
      </w:r>
    </w:p>
    <w:p>
      <w:pPr>
        <w:pStyle w:val="7"/>
        <w:tabs>
          <w:tab w:val="right" w:leader="dot" w:pos="9080"/>
        </w:tabs>
        <w:rPr>
          <w:lang/>
        </w:rPr>
      </w:pPr>
      <w:r>
        <w:rPr>
          <w:rStyle w:val="13"/>
          <w:lang/>
        </w:rPr>
        <w:fldChar w:fldCharType="begin"/>
      </w:r>
      <w:r>
        <w:rPr>
          <w:rStyle w:val="13"/>
          <w:lang/>
        </w:rPr>
        <w:instrText xml:space="preserve"> </w:instrText>
      </w:r>
      <w:r>
        <w:rPr>
          <w:lang/>
        </w:rPr>
        <w:instrText xml:space="preserve">HYPERLINK \l "_Toc4172374"</w:instrText>
      </w:r>
      <w:r>
        <w:rPr>
          <w:rStyle w:val="13"/>
          <w:lang/>
        </w:rPr>
        <w:instrText xml:space="preserve"> </w:instrText>
      </w:r>
      <w:r>
        <w:rPr>
          <w:rStyle w:val="13"/>
          <w:lang/>
        </w:rPr>
        <w:fldChar w:fldCharType="separate"/>
      </w:r>
      <w:r>
        <w:rPr>
          <w:rStyle w:val="13"/>
          <w:b/>
          <w:bCs/>
          <w:lang/>
        </w:rPr>
        <w:t xml:space="preserve">7.2 </w:t>
      </w:r>
      <w:r>
        <w:rPr>
          <w:rStyle w:val="13"/>
          <w:rFonts w:hint="eastAsia"/>
          <w:b/>
          <w:bCs/>
          <w:lang/>
        </w:rPr>
        <w:t>利润表</w:t>
      </w:r>
      <w:r>
        <w:rPr>
          <w:lang/>
        </w:rPr>
        <w:tab/>
      </w:r>
      <w:r>
        <w:rPr>
          <w:lang/>
        </w:rPr>
        <w:fldChar w:fldCharType="begin"/>
      </w:r>
      <w:r>
        <w:rPr>
          <w:lang/>
        </w:rPr>
        <w:instrText xml:space="preserve"> PAGEREF _Toc4172374 \h </w:instrText>
      </w:r>
      <w:r>
        <w:rPr>
          <w:lang/>
        </w:rPr>
        <w:fldChar w:fldCharType="separate"/>
      </w:r>
      <w:r>
        <w:rPr>
          <w:lang/>
        </w:rPr>
        <w:t>19</w:t>
      </w:r>
      <w:r>
        <w:rPr>
          <w:lang/>
        </w:rPr>
        <w:fldChar w:fldCharType="end"/>
      </w:r>
      <w:r>
        <w:rPr>
          <w:rStyle w:val="13"/>
          <w:lang/>
        </w:rPr>
        <w:fldChar w:fldCharType="end"/>
      </w:r>
    </w:p>
    <w:p>
      <w:pPr>
        <w:pStyle w:val="7"/>
        <w:tabs>
          <w:tab w:val="right" w:leader="dot" w:pos="9080"/>
        </w:tabs>
        <w:rPr>
          <w:lang/>
        </w:rPr>
      </w:pPr>
      <w:r>
        <w:rPr>
          <w:rStyle w:val="13"/>
          <w:lang/>
        </w:rPr>
        <w:fldChar w:fldCharType="begin"/>
      </w:r>
      <w:r>
        <w:rPr>
          <w:rStyle w:val="13"/>
          <w:lang/>
        </w:rPr>
        <w:instrText xml:space="preserve"> </w:instrText>
      </w:r>
      <w:r>
        <w:rPr>
          <w:lang/>
        </w:rPr>
        <w:instrText xml:space="preserve">HYPERLINK \l "_Toc4172375"</w:instrText>
      </w:r>
      <w:r>
        <w:rPr>
          <w:rStyle w:val="13"/>
          <w:lang/>
        </w:rPr>
        <w:instrText xml:space="preserve"> </w:instrText>
      </w:r>
      <w:r>
        <w:rPr>
          <w:rStyle w:val="13"/>
          <w:lang/>
        </w:rPr>
        <w:fldChar w:fldCharType="separate"/>
      </w:r>
      <w:r>
        <w:rPr>
          <w:rStyle w:val="13"/>
          <w:b/>
          <w:bCs/>
          <w:lang/>
        </w:rPr>
        <w:t xml:space="preserve">7.3 </w:t>
      </w:r>
      <w:r>
        <w:rPr>
          <w:rStyle w:val="13"/>
          <w:rFonts w:hint="eastAsia"/>
          <w:b/>
          <w:bCs/>
          <w:lang/>
        </w:rPr>
        <w:t>所有者权益（基金净值）变动表</w:t>
      </w:r>
      <w:r>
        <w:rPr>
          <w:lang/>
        </w:rPr>
        <w:tab/>
      </w:r>
      <w:r>
        <w:rPr>
          <w:lang/>
        </w:rPr>
        <w:fldChar w:fldCharType="begin"/>
      </w:r>
      <w:r>
        <w:rPr>
          <w:lang/>
        </w:rPr>
        <w:instrText xml:space="preserve"> PAGEREF _Toc4172375 \h </w:instrText>
      </w:r>
      <w:r>
        <w:rPr>
          <w:lang/>
        </w:rPr>
        <w:fldChar w:fldCharType="separate"/>
      </w:r>
      <w:r>
        <w:rPr>
          <w:lang/>
        </w:rPr>
        <w:t>21</w:t>
      </w:r>
      <w:r>
        <w:rPr>
          <w:lang/>
        </w:rPr>
        <w:fldChar w:fldCharType="end"/>
      </w:r>
      <w:r>
        <w:rPr>
          <w:rStyle w:val="13"/>
          <w:lang/>
        </w:rPr>
        <w:fldChar w:fldCharType="end"/>
      </w:r>
    </w:p>
    <w:p>
      <w:pPr>
        <w:pStyle w:val="7"/>
        <w:tabs>
          <w:tab w:val="right" w:leader="dot" w:pos="9080"/>
        </w:tabs>
        <w:rPr>
          <w:lang/>
        </w:rPr>
      </w:pPr>
      <w:r>
        <w:rPr>
          <w:rStyle w:val="13"/>
          <w:lang/>
        </w:rPr>
        <w:fldChar w:fldCharType="begin"/>
      </w:r>
      <w:r>
        <w:rPr>
          <w:rStyle w:val="13"/>
          <w:lang/>
        </w:rPr>
        <w:instrText xml:space="preserve"> </w:instrText>
      </w:r>
      <w:r>
        <w:rPr>
          <w:lang/>
        </w:rPr>
        <w:instrText xml:space="preserve">HYPERLINK \l "_Toc4172376"</w:instrText>
      </w:r>
      <w:r>
        <w:rPr>
          <w:rStyle w:val="13"/>
          <w:lang/>
        </w:rPr>
        <w:instrText xml:space="preserve"> </w:instrText>
      </w:r>
      <w:r>
        <w:rPr>
          <w:rStyle w:val="13"/>
          <w:lang/>
        </w:rPr>
        <w:fldChar w:fldCharType="separate"/>
      </w:r>
      <w:r>
        <w:rPr>
          <w:rStyle w:val="13"/>
          <w:b/>
          <w:bCs/>
          <w:lang/>
        </w:rPr>
        <w:t xml:space="preserve">7.4 </w:t>
      </w:r>
      <w:r>
        <w:rPr>
          <w:rStyle w:val="13"/>
          <w:rFonts w:hint="eastAsia"/>
          <w:b/>
          <w:bCs/>
          <w:lang/>
        </w:rPr>
        <w:t>报表附注</w:t>
      </w:r>
      <w:r>
        <w:rPr>
          <w:lang/>
        </w:rPr>
        <w:tab/>
      </w:r>
      <w:r>
        <w:rPr>
          <w:lang/>
        </w:rPr>
        <w:fldChar w:fldCharType="begin"/>
      </w:r>
      <w:r>
        <w:rPr>
          <w:lang/>
        </w:rPr>
        <w:instrText xml:space="preserve"> PAGEREF _Toc4172376 \h </w:instrText>
      </w:r>
      <w:r>
        <w:rPr>
          <w:lang/>
        </w:rPr>
        <w:fldChar w:fldCharType="separate"/>
      </w:r>
      <w:r>
        <w:rPr>
          <w:lang/>
        </w:rPr>
        <w:t>23</w:t>
      </w:r>
      <w:r>
        <w:rPr>
          <w:lang/>
        </w:rPr>
        <w:fldChar w:fldCharType="end"/>
      </w:r>
      <w:r>
        <w:rPr>
          <w:rStyle w:val="13"/>
          <w:lang/>
        </w:rPr>
        <w:fldChar w:fldCharType="end"/>
      </w:r>
    </w:p>
    <w:p>
      <w:pPr>
        <w:pStyle w:val="6"/>
        <w:tabs>
          <w:tab w:val="right" w:leader="dot" w:pos="9080"/>
        </w:tabs>
        <w:rPr>
          <w:lang/>
        </w:rPr>
      </w:pPr>
      <w:r>
        <w:rPr>
          <w:rStyle w:val="13"/>
          <w:lang/>
        </w:rPr>
        <w:fldChar w:fldCharType="begin"/>
      </w:r>
      <w:r>
        <w:rPr>
          <w:rStyle w:val="13"/>
          <w:lang/>
        </w:rPr>
        <w:instrText xml:space="preserve"> </w:instrText>
      </w:r>
      <w:r>
        <w:rPr>
          <w:lang/>
        </w:rPr>
        <w:instrText xml:space="preserve">HYPERLINK \l "_Toc4172377"</w:instrText>
      </w:r>
      <w:r>
        <w:rPr>
          <w:rStyle w:val="13"/>
          <w:lang/>
        </w:rPr>
        <w:instrText xml:space="preserve"> </w:instrText>
      </w:r>
      <w:r>
        <w:rPr>
          <w:rStyle w:val="13"/>
          <w:lang/>
        </w:rPr>
        <w:fldChar w:fldCharType="separate"/>
      </w:r>
      <w:r>
        <w:rPr>
          <w:rStyle w:val="13"/>
          <w:b/>
          <w:lang/>
        </w:rPr>
        <w:t xml:space="preserve">§8 </w:t>
      </w:r>
      <w:r>
        <w:rPr>
          <w:rStyle w:val="13"/>
          <w:rFonts w:hint="eastAsia"/>
          <w:b/>
          <w:lang/>
        </w:rPr>
        <w:t>投资组合报告</w:t>
      </w:r>
      <w:r>
        <w:rPr>
          <w:lang/>
        </w:rPr>
        <w:tab/>
      </w:r>
      <w:r>
        <w:rPr>
          <w:lang/>
        </w:rPr>
        <w:fldChar w:fldCharType="begin"/>
      </w:r>
      <w:r>
        <w:rPr>
          <w:lang/>
        </w:rPr>
        <w:instrText xml:space="preserve"> PAGEREF _Toc4172377 \h </w:instrText>
      </w:r>
      <w:r>
        <w:rPr>
          <w:lang/>
        </w:rPr>
        <w:fldChar w:fldCharType="separate"/>
      </w:r>
      <w:r>
        <w:rPr>
          <w:lang/>
        </w:rPr>
        <w:t>47</w:t>
      </w:r>
      <w:r>
        <w:rPr>
          <w:lang/>
        </w:rPr>
        <w:fldChar w:fldCharType="end"/>
      </w:r>
      <w:r>
        <w:rPr>
          <w:rStyle w:val="13"/>
          <w:lang/>
        </w:rPr>
        <w:fldChar w:fldCharType="end"/>
      </w:r>
    </w:p>
    <w:p>
      <w:pPr>
        <w:pStyle w:val="7"/>
        <w:tabs>
          <w:tab w:val="right" w:leader="dot" w:pos="9080"/>
        </w:tabs>
        <w:rPr>
          <w:lang/>
        </w:rPr>
      </w:pPr>
      <w:r>
        <w:rPr>
          <w:rStyle w:val="13"/>
          <w:lang/>
        </w:rPr>
        <w:fldChar w:fldCharType="begin"/>
      </w:r>
      <w:r>
        <w:rPr>
          <w:rStyle w:val="13"/>
          <w:lang/>
        </w:rPr>
        <w:instrText xml:space="preserve"> </w:instrText>
      </w:r>
      <w:r>
        <w:rPr>
          <w:lang/>
        </w:rPr>
        <w:instrText xml:space="preserve">HYPERLINK \l "_Toc4172378"</w:instrText>
      </w:r>
      <w:r>
        <w:rPr>
          <w:rStyle w:val="13"/>
          <w:lang/>
        </w:rPr>
        <w:instrText xml:space="preserve"> </w:instrText>
      </w:r>
      <w:r>
        <w:rPr>
          <w:rStyle w:val="13"/>
          <w:lang/>
        </w:rPr>
        <w:fldChar w:fldCharType="separate"/>
      </w:r>
      <w:r>
        <w:rPr>
          <w:rStyle w:val="13"/>
          <w:b/>
          <w:bCs/>
          <w:lang/>
        </w:rPr>
        <w:t xml:space="preserve">8.1 </w:t>
      </w:r>
      <w:r>
        <w:rPr>
          <w:rStyle w:val="13"/>
          <w:rFonts w:hint="eastAsia"/>
          <w:b/>
          <w:bCs/>
          <w:lang/>
        </w:rPr>
        <w:t>期末基金资产组合情况</w:t>
      </w:r>
      <w:r>
        <w:rPr>
          <w:lang/>
        </w:rPr>
        <w:tab/>
      </w:r>
      <w:r>
        <w:rPr>
          <w:lang/>
        </w:rPr>
        <w:fldChar w:fldCharType="begin"/>
      </w:r>
      <w:r>
        <w:rPr>
          <w:lang/>
        </w:rPr>
        <w:instrText xml:space="preserve"> PAGEREF _Toc4172378 \h </w:instrText>
      </w:r>
      <w:r>
        <w:rPr>
          <w:lang/>
        </w:rPr>
        <w:fldChar w:fldCharType="separate"/>
      </w:r>
      <w:r>
        <w:rPr>
          <w:lang/>
        </w:rPr>
        <w:t>47</w:t>
      </w:r>
      <w:r>
        <w:rPr>
          <w:lang/>
        </w:rPr>
        <w:fldChar w:fldCharType="end"/>
      </w:r>
      <w:r>
        <w:rPr>
          <w:rStyle w:val="13"/>
          <w:lang/>
        </w:rPr>
        <w:fldChar w:fldCharType="end"/>
      </w:r>
    </w:p>
    <w:p>
      <w:pPr>
        <w:pStyle w:val="7"/>
        <w:tabs>
          <w:tab w:val="right" w:leader="dot" w:pos="9080"/>
        </w:tabs>
        <w:rPr>
          <w:lang/>
        </w:rPr>
      </w:pPr>
      <w:r>
        <w:rPr>
          <w:rStyle w:val="13"/>
          <w:lang/>
        </w:rPr>
        <w:fldChar w:fldCharType="begin"/>
      </w:r>
      <w:r>
        <w:rPr>
          <w:rStyle w:val="13"/>
          <w:lang/>
        </w:rPr>
        <w:instrText xml:space="preserve"> </w:instrText>
      </w:r>
      <w:r>
        <w:rPr>
          <w:lang/>
        </w:rPr>
        <w:instrText xml:space="preserve">HYPERLINK \l "_Toc4172379"</w:instrText>
      </w:r>
      <w:r>
        <w:rPr>
          <w:rStyle w:val="13"/>
          <w:lang/>
        </w:rPr>
        <w:instrText xml:space="preserve"> </w:instrText>
      </w:r>
      <w:r>
        <w:rPr>
          <w:rStyle w:val="13"/>
          <w:lang/>
        </w:rPr>
        <w:fldChar w:fldCharType="separate"/>
      </w:r>
      <w:r>
        <w:rPr>
          <w:rStyle w:val="13"/>
          <w:b/>
          <w:bCs/>
          <w:lang/>
        </w:rPr>
        <w:t xml:space="preserve">8.2 </w:t>
      </w:r>
      <w:r>
        <w:rPr>
          <w:rStyle w:val="13"/>
          <w:rFonts w:hint="eastAsia"/>
          <w:b/>
          <w:bCs/>
          <w:lang/>
        </w:rPr>
        <w:t>报告期末按行业分类的股票投资组合</w:t>
      </w:r>
      <w:r>
        <w:rPr>
          <w:lang/>
        </w:rPr>
        <w:tab/>
      </w:r>
      <w:r>
        <w:rPr>
          <w:lang/>
        </w:rPr>
        <w:fldChar w:fldCharType="begin"/>
      </w:r>
      <w:r>
        <w:rPr>
          <w:lang/>
        </w:rPr>
        <w:instrText xml:space="preserve"> PAGEREF _Toc4172379 \h </w:instrText>
      </w:r>
      <w:r>
        <w:rPr>
          <w:lang/>
        </w:rPr>
        <w:fldChar w:fldCharType="separate"/>
      </w:r>
      <w:r>
        <w:rPr>
          <w:lang/>
        </w:rPr>
        <w:t>47</w:t>
      </w:r>
      <w:r>
        <w:rPr>
          <w:lang/>
        </w:rPr>
        <w:fldChar w:fldCharType="end"/>
      </w:r>
      <w:r>
        <w:rPr>
          <w:rStyle w:val="13"/>
          <w:lang/>
        </w:rPr>
        <w:fldChar w:fldCharType="end"/>
      </w:r>
    </w:p>
    <w:p>
      <w:pPr>
        <w:pStyle w:val="7"/>
        <w:tabs>
          <w:tab w:val="right" w:leader="dot" w:pos="9080"/>
        </w:tabs>
        <w:rPr>
          <w:lang/>
        </w:rPr>
      </w:pPr>
      <w:r>
        <w:rPr>
          <w:rStyle w:val="13"/>
          <w:lang/>
        </w:rPr>
        <w:fldChar w:fldCharType="begin"/>
      </w:r>
      <w:r>
        <w:rPr>
          <w:rStyle w:val="13"/>
          <w:lang/>
        </w:rPr>
        <w:instrText xml:space="preserve"> </w:instrText>
      </w:r>
      <w:r>
        <w:rPr>
          <w:lang/>
        </w:rPr>
        <w:instrText xml:space="preserve">HYPERLINK \l "_Toc4172380"</w:instrText>
      </w:r>
      <w:r>
        <w:rPr>
          <w:rStyle w:val="13"/>
          <w:lang/>
        </w:rPr>
        <w:instrText xml:space="preserve"> </w:instrText>
      </w:r>
      <w:r>
        <w:rPr>
          <w:rStyle w:val="13"/>
          <w:lang/>
        </w:rPr>
        <w:fldChar w:fldCharType="separate"/>
      </w:r>
      <w:r>
        <w:rPr>
          <w:rStyle w:val="13"/>
          <w:b/>
          <w:bCs/>
          <w:lang/>
        </w:rPr>
        <w:t xml:space="preserve">8.3 </w:t>
      </w:r>
      <w:r>
        <w:rPr>
          <w:rStyle w:val="13"/>
          <w:rFonts w:hint="eastAsia"/>
          <w:b/>
          <w:bCs/>
          <w:lang/>
        </w:rPr>
        <w:t>期末按公允价值占基金资产净值比例大小排序的所有股票投资明细</w:t>
      </w:r>
      <w:r>
        <w:rPr>
          <w:lang/>
        </w:rPr>
        <w:tab/>
      </w:r>
      <w:r>
        <w:rPr>
          <w:lang/>
        </w:rPr>
        <w:fldChar w:fldCharType="begin"/>
      </w:r>
      <w:r>
        <w:rPr>
          <w:lang/>
        </w:rPr>
        <w:instrText xml:space="preserve"> PAGEREF _Toc4172380 \h </w:instrText>
      </w:r>
      <w:r>
        <w:rPr>
          <w:lang/>
        </w:rPr>
        <w:fldChar w:fldCharType="separate"/>
      </w:r>
      <w:r>
        <w:rPr>
          <w:lang/>
        </w:rPr>
        <w:t>48</w:t>
      </w:r>
      <w:r>
        <w:rPr>
          <w:lang/>
        </w:rPr>
        <w:fldChar w:fldCharType="end"/>
      </w:r>
      <w:r>
        <w:rPr>
          <w:rStyle w:val="13"/>
          <w:lang/>
        </w:rPr>
        <w:fldChar w:fldCharType="end"/>
      </w:r>
    </w:p>
    <w:p>
      <w:pPr>
        <w:pStyle w:val="7"/>
        <w:tabs>
          <w:tab w:val="right" w:leader="dot" w:pos="9080"/>
        </w:tabs>
        <w:rPr>
          <w:lang/>
        </w:rPr>
      </w:pPr>
      <w:r>
        <w:rPr>
          <w:rStyle w:val="13"/>
          <w:lang/>
        </w:rPr>
        <w:fldChar w:fldCharType="begin"/>
      </w:r>
      <w:r>
        <w:rPr>
          <w:rStyle w:val="13"/>
          <w:lang/>
        </w:rPr>
        <w:instrText xml:space="preserve"> </w:instrText>
      </w:r>
      <w:r>
        <w:rPr>
          <w:lang/>
        </w:rPr>
        <w:instrText xml:space="preserve">HYPERLINK \l "_Toc4172381"</w:instrText>
      </w:r>
      <w:r>
        <w:rPr>
          <w:rStyle w:val="13"/>
          <w:lang/>
        </w:rPr>
        <w:instrText xml:space="preserve"> </w:instrText>
      </w:r>
      <w:r>
        <w:rPr>
          <w:rStyle w:val="13"/>
          <w:lang/>
        </w:rPr>
        <w:fldChar w:fldCharType="separate"/>
      </w:r>
      <w:r>
        <w:rPr>
          <w:rStyle w:val="13"/>
          <w:b/>
          <w:bCs/>
          <w:lang/>
        </w:rPr>
        <w:t xml:space="preserve">8.4 </w:t>
      </w:r>
      <w:r>
        <w:rPr>
          <w:rStyle w:val="13"/>
          <w:rFonts w:hint="eastAsia"/>
          <w:b/>
          <w:bCs/>
          <w:lang/>
        </w:rPr>
        <w:t>报告期内股票投资组合的重大变动</w:t>
      </w:r>
      <w:r>
        <w:rPr>
          <w:lang/>
        </w:rPr>
        <w:tab/>
      </w:r>
      <w:r>
        <w:rPr>
          <w:lang/>
        </w:rPr>
        <w:fldChar w:fldCharType="begin"/>
      </w:r>
      <w:r>
        <w:rPr>
          <w:lang/>
        </w:rPr>
        <w:instrText xml:space="preserve"> PAGEREF _Toc4172381 \h </w:instrText>
      </w:r>
      <w:r>
        <w:rPr>
          <w:lang/>
        </w:rPr>
        <w:fldChar w:fldCharType="separate"/>
      </w:r>
      <w:r>
        <w:rPr>
          <w:lang/>
        </w:rPr>
        <w:t>49</w:t>
      </w:r>
      <w:r>
        <w:rPr>
          <w:lang/>
        </w:rPr>
        <w:fldChar w:fldCharType="end"/>
      </w:r>
      <w:r>
        <w:rPr>
          <w:rStyle w:val="13"/>
          <w:lang/>
        </w:rPr>
        <w:fldChar w:fldCharType="end"/>
      </w:r>
    </w:p>
    <w:p>
      <w:pPr>
        <w:pStyle w:val="7"/>
        <w:tabs>
          <w:tab w:val="right" w:leader="dot" w:pos="9080"/>
        </w:tabs>
        <w:rPr>
          <w:lang/>
        </w:rPr>
      </w:pPr>
      <w:r>
        <w:rPr>
          <w:rStyle w:val="13"/>
          <w:lang/>
        </w:rPr>
        <w:fldChar w:fldCharType="begin"/>
      </w:r>
      <w:r>
        <w:rPr>
          <w:rStyle w:val="13"/>
          <w:lang/>
        </w:rPr>
        <w:instrText xml:space="preserve"> </w:instrText>
      </w:r>
      <w:r>
        <w:rPr>
          <w:lang/>
        </w:rPr>
        <w:instrText xml:space="preserve">HYPERLINK \l "_Toc4172382"</w:instrText>
      </w:r>
      <w:r>
        <w:rPr>
          <w:rStyle w:val="13"/>
          <w:lang/>
        </w:rPr>
        <w:instrText xml:space="preserve"> </w:instrText>
      </w:r>
      <w:r>
        <w:rPr>
          <w:rStyle w:val="13"/>
          <w:lang/>
        </w:rPr>
        <w:fldChar w:fldCharType="separate"/>
      </w:r>
      <w:r>
        <w:rPr>
          <w:rStyle w:val="13"/>
          <w:b/>
          <w:bCs/>
          <w:lang/>
        </w:rPr>
        <w:t xml:space="preserve">8.5 </w:t>
      </w:r>
      <w:r>
        <w:rPr>
          <w:rStyle w:val="13"/>
          <w:rFonts w:hint="eastAsia"/>
          <w:b/>
          <w:bCs/>
          <w:lang/>
        </w:rPr>
        <w:t>期末按债券品种分类的债券投资组合</w:t>
      </w:r>
      <w:r>
        <w:rPr>
          <w:lang/>
        </w:rPr>
        <w:tab/>
      </w:r>
      <w:r>
        <w:rPr>
          <w:lang/>
        </w:rPr>
        <w:fldChar w:fldCharType="begin"/>
      </w:r>
      <w:r>
        <w:rPr>
          <w:lang/>
        </w:rPr>
        <w:instrText xml:space="preserve"> PAGEREF _Toc4172382 \h </w:instrText>
      </w:r>
      <w:r>
        <w:rPr>
          <w:lang/>
        </w:rPr>
        <w:fldChar w:fldCharType="separate"/>
      </w:r>
      <w:r>
        <w:rPr>
          <w:lang/>
        </w:rPr>
        <w:t>51</w:t>
      </w:r>
      <w:r>
        <w:rPr>
          <w:lang/>
        </w:rPr>
        <w:fldChar w:fldCharType="end"/>
      </w:r>
      <w:r>
        <w:rPr>
          <w:rStyle w:val="13"/>
          <w:lang/>
        </w:rPr>
        <w:fldChar w:fldCharType="end"/>
      </w:r>
    </w:p>
    <w:p>
      <w:pPr>
        <w:pStyle w:val="7"/>
        <w:tabs>
          <w:tab w:val="right" w:leader="dot" w:pos="9080"/>
        </w:tabs>
        <w:rPr>
          <w:lang/>
        </w:rPr>
      </w:pPr>
      <w:r>
        <w:rPr>
          <w:rStyle w:val="13"/>
          <w:lang/>
        </w:rPr>
        <w:fldChar w:fldCharType="begin"/>
      </w:r>
      <w:r>
        <w:rPr>
          <w:rStyle w:val="13"/>
          <w:lang/>
        </w:rPr>
        <w:instrText xml:space="preserve"> </w:instrText>
      </w:r>
      <w:r>
        <w:rPr>
          <w:lang/>
        </w:rPr>
        <w:instrText xml:space="preserve">HYPERLINK \l "_Toc4172383"</w:instrText>
      </w:r>
      <w:r>
        <w:rPr>
          <w:rStyle w:val="13"/>
          <w:lang/>
        </w:rPr>
        <w:instrText xml:space="preserve"> </w:instrText>
      </w:r>
      <w:r>
        <w:rPr>
          <w:rStyle w:val="13"/>
          <w:lang/>
        </w:rPr>
        <w:fldChar w:fldCharType="separate"/>
      </w:r>
      <w:r>
        <w:rPr>
          <w:rStyle w:val="13"/>
          <w:b/>
          <w:bCs/>
          <w:lang/>
        </w:rPr>
        <w:t xml:space="preserve">8.6 </w:t>
      </w:r>
      <w:r>
        <w:rPr>
          <w:rStyle w:val="13"/>
          <w:rFonts w:hint="eastAsia"/>
          <w:b/>
          <w:bCs/>
          <w:lang/>
        </w:rPr>
        <w:t>期末按公允价值占基金资产净值比例大小排序的前五名债券投资明细</w:t>
      </w:r>
      <w:r>
        <w:rPr>
          <w:lang/>
        </w:rPr>
        <w:tab/>
      </w:r>
      <w:r>
        <w:rPr>
          <w:lang/>
        </w:rPr>
        <w:fldChar w:fldCharType="begin"/>
      </w:r>
      <w:r>
        <w:rPr>
          <w:lang/>
        </w:rPr>
        <w:instrText xml:space="preserve"> PAGEREF _Toc4172383 \h </w:instrText>
      </w:r>
      <w:r>
        <w:rPr>
          <w:lang/>
        </w:rPr>
        <w:fldChar w:fldCharType="separate"/>
      </w:r>
      <w:r>
        <w:rPr>
          <w:lang/>
        </w:rPr>
        <w:t>51</w:t>
      </w:r>
      <w:r>
        <w:rPr>
          <w:lang/>
        </w:rPr>
        <w:fldChar w:fldCharType="end"/>
      </w:r>
      <w:r>
        <w:rPr>
          <w:rStyle w:val="13"/>
          <w:lang/>
        </w:rPr>
        <w:fldChar w:fldCharType="end"/>
      </w:r>
    </w:p>
    <w:p>
      <w:pPr>
        <w:pStyle w:val="7"/>
        <w:tabs>
          <w:tab w:val="right" w:leader="dot" w:pos="9080"/>
        </w:tabs>
        <w:rPr>
          <w:lang/>
        </w:rPr>
      </w:pPr>
      <w:r>
        <w:rPr>
          <w:rStyle w:val="13"/>
          <w:lang/>
        </w:rPr>
        <w:fldChar w:fldCharType="begin"/>
      </w:r>
      <w:r>
        <w:rPr>
          <w:rStyle w:val="13"/>
          <w:lang/>
        </w:rPr>
        <w:instrText xml:space="preserve"> </w:instrText>
      </w:r>
      <w:r>
        <w:rPr>
          <w:lang/>
        </w:rPr>
        <w:instrText xml:space="preserve">HYPERLINK \l "_Toc4172384"</w:instrText>
      </w:r>
      <w:r>
        <w:rPr>
          <w:rStyle w:val="13"/>
          <w:lang/>
        </w:rPr>
        <w:instrText xml:space="preserve"> </w:instrText>
      </w:r>
      <w:r>
        <w:rPr>
          <w:rStyle w:val="13"/>
          <w:lang/>
        </w:rPr>
        <w:fldChar w:fldCharType="separate"/>
      </w:r>
      <w:r>
        <w:rPr>
          <w:rStyle w:val="13"/>
          <w:b/>
          <w:bCs/>
          <w:lang/>
        </w:rPr>
        <w:t xml:space="preserve">8.7 </w:t>
      </w:r>
      <w:r>
        <w:rPr>
          <w:rStyle w:val="13"/>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_Toc4172384 \h </w:instrText>
      </w:r>
      <w:r>
        <w:rPr>
          <w:lang/>
        </w:rPr>
        <w:fldChar w:fldCharType="separate"/>
      </w:r>
      <w:r>
        <w:rPr>
          <w:lang/>
        </w:rPr>
        <w:t>51</w:t>
      </w:r>
      <w:r>
        <w:rPr>
          <w:lang/>
        </w:rPr>
        <w:fldChar w:fldCharType="end"/>
      </w:r>
      <w:r>
        <w:rPr>
          <w:rStyle w:val="13"/>
          <w:lang/>
        </w:rPr>
        <w:fldChar w:fldCharType="end"/>
      </w:r>
    </w:p>
    <w:p>
      <w:pPr>
        <w:pStyle w:val="7"/>
        <w:tabs>
          <w:tab w:val="right" w:leader="dot" w:pos="9080"/>
        </w:tabs>
        <w:rPr>
          <w:lang/>
        </w:rPr>
      </w:pPr>
      <w:r>
        <w:rPr>
          <w:rStyle w:val="13"/>
          <w:lang/>
        </w:rPr>
        <w:fldChar w:fldCharType="begin"/>
      </w:r>
      <w:r>
        <w:rPr>
          <w:rStyle w:val="13"/>
          <w:lang/>
        </w:rPr>
        <w:instrText xml:space="preserve"> </w:instrText>
      </w:r>
      <w:r>
        <w:rPr>
          <w:lang/>
        </w:rPr>
        <w:instrText xml:space="preserve">HYPERLINK \l "_Toc4172385"</w:instrText>
      </w:r>
      <w:r>
        <w:rPr>
          <w:rStyle w:val="13"/>
          <w:lang/>
        </w:rPr>
        <w:instrText xml:space="preserve"> </w:instrText>
      </w:r>
      <w:r>
        <w:rPr>
          <w:rStyle w:val="13"/>
          <w:lang/>
        </w:rPr>
        <w:fldChar w:fldCharType="separate"/>
      </w:r>
      <w:r>
        <w:rPr>
          <w:rStyle w:val="13"/>
          <w:b/>
          <w:bCs/>
          <w:lang/>
        </w:rPr>
        <w:t xml:space="preserve">8.8 </w:t>
      </w:r>
      <w:r>
        <w:rPr>
          <w:rStyle w:val="13"/>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_Toc4172385 \h </w:instrText>
      </w:r>
      <w:r>
        <w:rPr>
          <w:lang/>
        </w:rPr>
        <w:fldChar w:fldCharType="separate"/>
      </w:r>
      <w:r>
        <w:rPr>
          <w:lang/>
        </w:rPr>
        <w:t>51</w:t>
      </w:r>
      <w:r>
        <w:rPr>
          <w:lang/>
        </w:rPr>
        <w:fldChar w:fldCharType="end"/>
      </w:r>
      <w:r>
        <w:rPr>
          <w:rStyle w:val="13"/>
          <w:lang/>
        </w:rPr>
        <w:fldChar w:fldCharType="end"/>
      </w:r>
    </w:p>
    <w:p>
      <w:pPr>
        <w:pStyle w:val="7"/>
        <w:tabs>
          <w:tab w:val="right" w:leader="dot" w:pos="9080"/>
        </w:tabs>
        <w:rPr>
          <w:lang/>
        </w:rPr>
      </w:pPr>
      <w:r>
        <w:rPr>
          <w:rStyle w:val="13"/>
          <w:lang/>
        </w:rPr>
        <w:fldChar w:fldCharType="begin"/>
      </w:r>
      <w:r>
        <w:rPr>
          <w:rStyle w:val="13"/>
          <w:lang/>
        </w:rPr>
        <w:instrText xml:space="preserve"> </w:instrText>
      </w:r>
      <w:r>
        <w:rPr>
          <w:lang/>
        </w:rPr>
        <w:instrText xml:space="preserve">HYPERLINK \l "_Toc4172386"</w:instrText>
      </w:r>
      <w:r>
        <w:rPr>
          <w:rStyle w:val="13"/>
          <w:lang/>
        </w:rPr>
        <w:instrText xml:space="preserve"> </w:instrText>
      </w:r>
      <w:r>
        <w:rPr>
          <w:rStyle w:val="13"/>
          <w:lang/>
        </w:rPr>
        <w:fldChar w:fldCharType="separate"/>
      </w:r>
      <w:r>
        <w:rPr>
          <w:rStyle w:val="13"/>
          <w:b/>
          <w:bCs/>
          <w:lang/>
        </w:rPr>
        <w:t xml:space="preserve">8.9 </w:t>
      </w:r>
      <w:r>
        <w:rPr>
          <w:rStyle w:val="13"/>
          <w:rFonts w:hint="eastAsia"/>
          <w:b/>
          <w:bCs/>
          <w:lang/>
        </w:rPr>
        <w:t>期末按公允价值占基金资产净值比例大小排序的前五名权证投资明细</w:t>
      </w:r>
      <w:r>
        <w:rPr>
          <w:lang/>
        </w:rPr>
        <w:tab/>
      </w:r>
      <w:r>
        <w:rPr>
          <w:lang/>
        </w:rPr>
        <w:fldChar w:fldCharType="begin"/>
      </w:r>
      <w:r>
        <w:rPr>
          <w:lang/>
        </w:rPr>
        <w:instrText xml:space="preserve"> PAGEREF _Toc4172386 \h </w:instrText>
      </w:r>
      <w:r>
        <w:rPr>
          <w:lang/>
        </w:rPr>
        <w:fldChar w:fldCharType="separate"/>
      </w:r>
      <w:r>
        <w:rPr>
          <w:lang/>
        </w:rPr>
        <w:t>51</w:t>
      </w:r>
      <w:r>
        <w:rPr>
          <w:lang/>
        </w:rPr>
        <w:fldChar w:fldCharType="end"/>
      </w:r>
      <w:r>
        <w:rPr>
          <w:rStyle w:val="13"/>
          <w:lang/>
        </w:rPr>
        <w:fldChar w:fldCharType="end"/>
      </w:r>
    </w:p>
    <w:p>
      <w:pPr>
        <w:pStyle w:val="7"/>
        <w:tabs>
          <w:tab w:val="right" w:leader="dot" w:pos="9080"/>
        </w:tabs>
        <w:rPr>
          <w:lang/>
        </w:rPr>
      </w:pPr>
      <w:r>
        <w:rPr>
          <w:rStyle w:val="13"/>
          <w:lang/>
        </w:rPr>
        <w:fldChar w:fldCharType="begin"/>
      </w:r>
      <w:r>
        <w:rPr>
          <w:rStyle w:val="13"/>
          <w:lang/>
        </w:rPr>
        <w:instrText xml:space="preserve"> </w:instrText>
      </w:r>
      <w:r>
        <w:rPr>
          <w:lang/>
        </w:rPr>
        <w:instrText xml:space="preserve">HYPERLINK \l "_Toc4172387"</w:instrText>
      </w:r>
      <w:r>
        <w:rPr>
          <w:rStyle w:val="13"/>
          <w:lang/>
        </w:rPr>
        <w:instrText xml:space="preserve"> </w:instrText>
      </w:r>
      <w:r>
        <w:rPr>
          <w:rStyle w:val="13"/>
          <w:lang/>
        </w:rPr>
        <w:fldChar w:fldCharType="separate"/>
      </w:r>
      <w:r>
        <w:rPr>
          <w:rStyle w:val="13"/>
          <w:b/>
          <w:bCs/>
          <w:lang/>
        </w:rPr>
        <w:t xml:space="preserve">8.10 </w:t>
      </w:r>
      <w:r>
        <w:rPr>
          <w:rStyle w:val="13"/>
          <w:rFonts w:hint="eastAsia"/>
          <w:b/>
          <w:bCs/>
          <w:lang/>
        </w:rPr>
        <w:t>报告期末本基金投资的股指期货交易情况说明</w:t>
      </w:r>
      <w:r>
        <w:rPr>
          <w:lang/>
        </w:rPr>
        <w:tab/>
      </w:r>
      <w:r>
        <w:rPr>
          <w:lang/>
        </w:rPr>
        <w:fldChar w:fldCharType="begin"/>
      </w:r>
      <w:r>
        <w:rPr>
          <w:lang/>
        </w:rPr>
        <w:instrText xml:space="preserve"> PAGEREF _Toc4172387 \h </w:instrText>
      </w:r>
      <w:r>
        <w:rPr>
          <w:lang/>
        </w:rPr>
        <w:fldChar w:fldCharType="separate"/>
      </w:r>
      <w:r>
        <w:rPr>
          <w:lang/>
        </w:rPr>
        <w:t>51</w:t>
      </w:r>
      <w:r>
        <w:rPr>
          <w:lang/>
        </w:rPr>
        <w:fldChar w:fldCharType="end"/>
      </w:r>
      <w:r>
        <w:rPr>
          <w:rStyle w:val="13"/>
          <w:lang/>
        </w:rPr>
        <w:fldChar w:fldCharType="end"/>
      </w:r>
    </w:p>
    <w:p>
      <w:pPr>
        <w:pStyle w:val="7"/>
        <w:tabs>
          <w:tab w:val="right" w:leader="dot" w:pos="9080"/>
        </w:tabs>
        <w:rPr>
          <w:lang/>
        </w:rPr>
      </w:pPr>
      <w:r>
        <w:rPr>
          <w:rStyle w:val="13"/>
          <w:lang/>
        </w:rPr>
        <w:fldChar w:fldCharType="begin"/>
      </w:r>
      <w:r>
        <w:rPr>
          <w:rStyle w:val="13"/>
          <w:lang/>
        </w:rPr>
        <w:instrText xml:space="preserve"> </w:instrText>
      </w:r>
      <w:r>
        <w:rPr>
          <w:lang/>
        </w:rPr>
        <w:instrText xml:space="preserve">HYPERLINK \l "_Toc4172388"</w:instrText>
      </w:r>
      <w:r>
        <w:rPr>
          <w:rStyle w:val="13"/>
          <w:lang/>
        </w:rPr>
        <w:instrText xml:space="preserve"> </w:instrText>
      </w:r>
      <w:r>
        <w:rPr>
          <w:rStyle w:val="13"/>
          <w:lang/>
        </w:rPr>
        <w:fldChar w:fldCharType="separate"/>
      </w:r>
      <w:r>
        <w:rPr>
          <w:rStyle w:val="13"/>
          <w:b/>
          <w:bCs/>
          <w:lang/>
        </w:rPr>
        <w:t xml:space="preserve">8.11 </w:t>
      </w:r>
      <w:r>
        <w:rPr>
          <w:rStyle w:val="13"/>
          <w:rFonts w:hint="eastAsia"/>
          <w:b/>
          <w:bCs/>
          <w:lang/>
        </w:rPr>
        <w:t>报告期末本基金投资的国债期货交易情况说明</w:t>
      </w:r>
      <w:r>
        <w:rPr>
          <w:lang/>
        </w:rPr>
        <w:tab/>
      </w:r>
      <w:r>
        <w:rPr>
          <w:lang/>
        </w:rPr>
        <w:fldChar w:fldCharType="begin"/>
      </w:r>
      <w:r>
        <w:rPr>
          <w:lang/>
        </w:rPr>
        <w:instrText xml:space="preserve"> PAGEREF _Toc4172388 \h </w:instrText>
      </w:r>
      <w:r>
        <w:rPr>
          <w:lang/>
        </w:rPr>
        <w:fldChar w:fldCharType="separate"/>
      </w:r>
      <w:r>
        <w:rPr>
          <w:lang/>
        </w:rPr>
        <w:t>52</w:t>
      </w:r>
      <w:r>
        <w:rPr>
          <w:lang/>
        </w:rPr>
        <w:fldChar w:fldCharType="end"/>
      </w:r>
      <w:r>
        <w:rPr>
          <w:rStyle w:val="13"/>
          <w:lang/>
        </w:rPr>
        <w:fldChar w:fldCharType="end"/>
      </w:r>
    </w:p>
    <w:p>
      <w:pPr>
        <w:pStyle w:val="7"/>
        <w:tabs>
          <w:tab w:val="right" w:leader="dot" w:pos="9080"/>
        </w:tabs>
        <w:rPr>
          <w:lang/>
        </w:rPr>
      </w:pPr>
      <w:r>
        <w:rPr>
          <w:rStyle w:val="13"/>
          <w:lang/>
        </w:rPr>
        <w:fldChar w:fldCharType="begin"/>
      </w:r>
      <w:r>
        <w:rPr>
          <w:rStyle w:val="13"/>
          <w:lang/>
        </w:rPr>
        <w:instrText xml:space="preserve"> </w:instrText>
      </w:r>
      <w:r>
        <w:rPr>
          <w:lang/>
        </w:rPr>
        <w:instrText xml:space="preserve">HYPERLINK \l "_Toc4172389"</w:instrText>
      </w:r>
      <w:r>
        <w:rPr>
          <w:rStyle w:val="13"/>
          <w:lang/>
        </w:rPr>
        <w:instrText xml:space="preserve"> </w:instrText>
      </w:r>
      <w:r>
        <w:rPr>
          <w:rStyle w:val="13"/>
          <w:lang/>
        </w:rPr>
        <w:fldChar w:fldCharType="separate"/>
      </w:r>
      <w:r>
        <w:rPr>
          <w:rStyle w:val="13"/>
          <w:b/>
          <w:bCs/>
          <w:lang/>
        </w:rPr>
        <w:t xml:space="preserve">8.12 </w:t>
      </w:r>
      <w:r>
        <w:rPr>
          <w:rStyle w:val="13"/>
          <w:rFonts w:hint="eastAsia"/>
          <w:b/>
          <w:bCs/>
          <w:lang/>
        </w:rPr>
        <w:t>投资组合报告附注</w:t>
      </w:r>
      <w:r>
        <w:rPr>
          <w:lang/>
        </w:rPr>
        <w:tab/>
      </w:r>
      <w:r>
        <w:rPr>
          <w:lang/>
        </w:rPr>
        <w:fldChar w:fldCharType="begin"/>
      </w:r>
      <w:r>
        <w:rPr>
          <w:lang/>
        </w:rPr>
        <w:instrText xml:space="preserve"> PAGEREF _Toc4172389 \h </w:instrText>
      </w:r>
      <w:r>
        <w:rPr>
          <w:lang/>
        </w:rPr>
        <w:fldChar w:fldCharType="separate"/>
      </w:r>
      <w:r>
        <w:rPr>
          <w:lang/>
        </w:rPr>
        <w:t>52</w:t>
      </w:r>
      <w:r>
        <w:rPr>
          <w:lang/>
        </w:rPr>
        <w:fldChar w:fldCharType="end"/>
      </w:r>
      <w:r>
        <w:rPr>
          <w:rStyle w:val="13"/>
          <w:lang/>
        </w:rPr>
        <w:fldChar w:fldCharType="end"/>
      </w:r>
    </w:p>
    <w:p>
      <w:pPr>
        <w:pStyle w:val="6"/>
        <w:tabs>
          <w:tab w:val="right" w:leader="dot" w:pos="9080"/>
        </w:tabs>
        <w:rPr>
          <w:lang/>
        </w:rPr>
      </w:pPr>
      <w:r>
        <w:rPr>
          <w:rStyle w:val="13"/>
          <w:lang/>
        </w:rPr>
        <w:fldChar w:fldCharType="begin"/>
      </w:r>
      <w:r>
        <w:rPr>
          <w:rStyle w:val="13"/>
          <w:lang/>
        </w:rPr>
        <w:instrText xml:space="preserve"> </w:instrText>
      </w:r>
      <w:r>
        <w:rPr>
          <w:lang/>
        </w:rPr>
        <w:instrText xml:space="preserve">HYPERLINK \l "_Toc4172390"</w:instrText>
      </w:r>
      <w:r>
        <w:rPr>
          <w:rStyle w:val="13"/>
          <w:lang/>
        </w:rPr>
        <w:instrText xml:space="preserve"> </w:instrText>
      </w:r>
      <w:r>
        <w:rPr>
          <w:rStyle w:val="13"/>
          <w:lang/>
        </w:rPr>
        <w:fldChar w:fldCharType="separate"/>
      </w:r>
      <w:r>
        <w:rPr>
          <w:rStyle w:val="13"/>
          <w:b/>
          <w:lang/>
        </w:rPr>
        <w:t xml:space="preserve">§9  </w:t>
      </w:r>
      <w:r>
        <w:rPr>
          <w:rStyle w:val="13"/>
          <w:rFonts w:hint="eastAsia"/>
          <w:b/>
          <w:lang/>
        </w:rPr>
        <w:t>基金份额持有人信息</w:t>
      </w:r>
      <w:r>
        <w:rPr>
          <w:lang/>
        </w:rPr>
        <w:tab/>
      </w:r>
      <w:r>
        <w:rPr>
          <w:lang/>
        </w:rPr>
        <w:fldChar w:fldCharType="begin"/>
      </w:r>
      <w:r>
        <w:rPr>
          <w:lang/>
        </w:rPr>
        <w:instrText xml:space="preserve"> PAGEREF _Toc4172390 \h </w:instrText>
      </w:r>
      <w:r>
        <w:rPr>
          <w:lang/>
        </w:rPr>
        <w:fldChar w:fldCharType="separate"/>
      </w:r>
      <w:r>
        <w:rPr>
          <w:lang/>
        </w:rPr>
        <w:t>53</w:t>
      </w:r>
      <w:r>
        <w:rPr>
          <w:lang/>
        </w:rPr>
        <w:fldChar w:fldCharType="end"/>
      </w:r>
      <w:r>
        <w:rPr>
          <w:rStyle w:val="13"/>
          <w:lang/>
        </w:rPr>
        <w:fldChar w:fldCharType="end"/>
      </w:r>
    </w:p>
    <w:p>
      <w:pPr>
        <w:pStyle w:val="7"/>
        <w:tabs>
          <w:tab w:val="right" w:leader="dot" w:pos="9080"/>
        </w:tabs>
        <w:rPr>
          <w:lang/>
        </w:rPr>
      </w:pPr>
      <w:r>
        <w:rPr>
          <w:rStyle w:val="13"/>
          <w:lang/>
        </w:rPr>
        <w:fldChar w:fldCharType="begin"/>
      </w:r>
      <w:r>
        <w:rPr>
          <w:rStyle w:val="13"/>
          <w:lang/>
        </w:rPr>
        <w:instrText xml:space="preserve"> </w:instrText>
      </w:r>
      <w:r>
        <w:rPr>
          <w:lang/>
        </w:rPr>
        <w:instrText xml:space="preserve">HYPERLINK \l "_Toc4172391"</w:instrText>
      </w:r>
      <w:r>
        <w:rPr>
          <w:rStyle w:val="13"/>
          <w:lang/>
        </w:rPr>
        <w:instrText xml:space="preserve"> </w:instrText>
      </w:r>
      <w:r>
        <w:rPr>
          <w:rStyle w:val="13"/>
          <w:lang/>
        </w:rPr>
        <w:fldChar w:fldCharType="separate"/>
      </w:r>
      <w:r>
        <w:rPr>
          <w:rStyle w:val="13"/>
          <w:b/>
          <w:bCs/>
          <w:lang/>
        </w:rPr>
        <w:t xml:space="preserve">9.1 </w:t>
      </w:r>
      <w:r>
        <w:rPr>
          <w:rStyle w:val="13"/>
          <w:rFonts w:hint="eastAsia"/>
          <w:b/>
          <w:bCs/>
          <w:lang/>
        </w:rPr>
        <w:t>期末基金份额持有人户数及持有人结构</w:t>
      </w:r>
      <w:r>
        <w:rPr>
          <w:lang/>
        </w:rPr>
        <w:tab/>
      </w:r>
      <w:r>
        <w:rPr>
          <w:lang/>
        </w:rPr>
        <w:fldChar w:fldCharType="begin"/>
      </w:r>
      <w:r>
        <w:rPr>
          <w:lang/>
        </w:rPr>
        <w:instrText xml:space="preserve"> PAGEREF _Toc4172391 \h </w:instrText>
      </w:r>
      <w:r>
        <w:rPr>
          <w:lang/>
        </w:rPr>
        <w:fldChar w:fldCharType="separate"/>
      </w:r>
      <w:r>
        <w:rPr>
          <w:lang/>
        </w:rPr>
        <w:t>53</w:t>
      </w:r>
      <w:r>
        <w:rPr>
          <w:lang/>
        </w:rPr>
        <w:fldChar w:fldCharType="end"/>
      </w:r>
      <w:r>
        <w:rPr>
          <w:rStyle w:val="13"/>
          <w:lang/>
        </w:rPr>
        <w:fldChar w:fldCharType="end"/>
      </w:r>
    </w:p>
    <w:p>
      <w:pPr>
        <w:pStyle w:val="7"/>
        <w:tabs>
          <w:tab w:val="right" w:leader="dot" w:pos="9080"/>
        </w:tabs>
        <w:rPr>
          <w:lang/>
        </w:rPr>
      </w:pPr>
      <w:r>
        <w:rPr>
          <w:rStyle w:val="13"/>
          <w:lang/>
        </w:rPr>
        <w:fldChar w:fldCharType="begin"/>
      </w:r>
      <w:r>
        <w:rPr>
          <w:rStyle w:val="13"/>
          <w:lang/>
        </w:rPr>
        <w:instrText xml:space="preserve"> </w:instrText>
      </w:r>
      <w:r>
        <w:rPr>
          <w:lang/>
        </w:rPr>
        <w:instrText xml:space="preserve">HYPERLINK \l "_Toc4172392"</w:instrText>
      </w:r>
      <w:r>
        <w:rPr>
          <w:rStyle w:val="13"/>
          <w:lang/>
        </w:rPr>
        <w:instrText xml:space="preserve"> </w:instrText>
      </w:r>
      <w:r>
        <w:rPr>
          <w:rStyle w:val="13"/>
          <w:lang/>
        </w:rPr>
        <w:fldChar w:fldCharType="separate"/>
      </w:r>
      <w:r>
        <w:rPr>
          <w:rStyle w:val="13"/>
          <w:b/>
          <w:lang/>
        </w:rPr>
        <w:t xml:space="preserve">9.2 </w:t>
      </w:r>
      <w:r>
        <w:rPr>
          <w:rStyle w:val="13"/>
          <w:rFonts w:hint="eastAsia"/>
          <w:b/>
          <w:lang/>
        </w:rPr>
        <w:t>期末基金管理人的从业人员持有本基金的情况</w:t>
      </w:r>
      <w:r>
        <w:rPr>
          <w:lang/>
        </w:rPr>
        <w:tab/>
      </w:r>
      <w:r>
        <w:rPr>
          <w:lang/>
        </w:rPr>
        <w:fldChar w:fldCharType="begin"/>
      </w:r>
      <w:r>
        <w:rPr>
          <w:lang/>
        </w:rPr>
        <w:instrText xml:space="preserve"> PAGEREF _Toc4172392 \h </w:instrText>
      </w:r>
      <w:r>
        <w:rPr>
          <w:lang/>
        </w:rPr>
        <w:fldChar w:fldCharType="separate"/>
      </w:r>
      <w:r>
        <w:rPr>
          <w:lang/>
        </w:rPr>
        <w:t>53</w:t>
      </w:r>
      <w:r>
        <w:rPr>
          <w:lang/>
        </w:rPr>
        <w:fldChar w:fldCharType="end"/>
      </w:r>
      <w:r>
        <w:rPr>
          <w:rStyle w:val="13"/>
          <w:lang/>
        </w:rPr>
        <w:fldChar w:fldCharType="end"/>
      </w:r>
    </w:p>
    <w:p>
      <w:pPr>
        <w:pStyle w:val="7"/>
        <w:tabs>
          <w:tab w:val="right" w:leader="dot" w:pos="9080"/>
        </w:tabs>
        <w:rPr>
          <w:lang/>
        </w:rPr>
      </w:pPr>
      <w:r>
        <w:rPr>
          <w:rStyle w:val="13"/>
          <w:lang/>
        </w:rPr>
        <w:fldChar w:fldCharType="begin"/>
      </w:r>
      <w:r>
        <w:rPr>
          <w:rStyle w:val="13"/>
          <w:lang/>
        </w:rPr>
        <w:instrText xml:space="preserve"> </w:instrText>
      </w:r>
      <w:r>
        <w:rPr>
          <w:lang/>
        </w:rPr>
        <w:instrText xml:space="preserve">HYPERLINK \l "_Toc4172393"</w:instrText>
      </w:r>
      <w:r>
        <w:rPr>
          <w:rStyle w:val="13"/>
          <w:lang/>
        </w:rPr>
        <w:instrText xml:space="preserve"> </w:instrText>
      </w:r>
      <w:r>
        <w:rPr>
          <w:rStyle w:val="13"/>
          <w:lang/>
        </w:rPr>
        <w:fldChar w:fldCharType="separate"/>
      </w:r>
      <w:r>
        <w:rPr>
          <w:rStyle w:val="13"/>
          <w:b/>
          <w:bCs/>
          <w:lang/>
        </w:rPr>
        <w:t xml:space="preserve">9.3 </w:t>
      </w:r>
      <w:r>
        <w:rPr>
          <w:rStyle w:val="13"/>
          <w:rFonts w:hint="eastAsia"/>
          <w:b/>
          <w:bCs/>
          <w:lang/>
        </w:rPr>
        <w:t>期末基金管理人的从业人员持有本开放式基金份额总量区间情况</w:t>
      </w:r>
      <w:r>
        <w:rPr>
          <w:lang/>
        </w:rPr>
        <w:tab/>
      </w:r>
      <w:r>
        <w:rPr>
          <w:lang/>
        </w:rPr>
        <w:fldChar w:fldCharType="begin"/>
      </w:r>
      <w:r>
        <w:rPr>
          <w:lang/>
        </w:rPr>
        <w:instrText xml:space="preserve"> PAGEREF _Toc4172393 \h </w:instrText>
      </w:r>
      <w:r>
        <w:rPr>
          <w:lang/>
        </w:rPr>
        <w:fldChar w:fldCharType="separate"/>
      </w:r>
      <w:r>
        <w:rPr>
          <w:lang/>
        </w:rPr>
        <w:t>53</w:t>
      </w:r>
      <w:r>
        <w:rPr>
          <w:lang/>
        </w:rPr>
        <w:fldChar w:fldCharType="end"/>
      </w:r>
      <w:r>
        <w:rPr>
          <w:rStyle w:val="13"/>
          <w:lang/>
        </w:rPr>
        <w:fldChar w:fldCharType="end"/>
      </w:r>
    </w:p>
    <w:p>
      <w:pPr>
        <w:pStyle w:val="6"/>
        <w:tabs>
          <w:tab w:val="right" w:leader="dot" w:pos="9080"/>
        </w:tabs>
        <w:rPr>
          <w:lang/>
        </w:rPr>
      </w:pPr>
      <w:r>
        <w:rPr>
          <w:rStyle w:val="13"/>
          <w:lang/>
        </w:rPr>
        <w:fldChar w:fldCharType="begin"/>
      </w:r>
      <w:r>
        <w:rPr>
          <w:rStyle w:val="13"/>
          <w:lang/>
        </w:rPr>
        <w:instrText xml:space="preserve"> </w:instrText>
      </w:r>
      <w:r>
        <w:rPr>
          <w:lang/>
        </w:rPr>
        <w:instrText xml:space="preserve">HYPERLINK \l "_Toc4172394"</w:instrText>
      </w:r>
      <w:r>
        <w:rPr>
          <w:rStyle w:val="13"/>
          <w:lang/>
        </w:rPr>
        <w:instrText xml:space="preserve"> </w:instrText>
      </w:r>
      <w:r>
        <w:rPr>
          <w:rStyle w:val="13"/>
          <w:lang/>
        </w:rPr>
        <w:fldChar w:fldCharType="separate"/>
      </w:r>
      <w:r>
        <w:rPr>
          <w:rStyle w:val="13"/>
          <w:b/>
          <w:lang/>
        </w:rPr>
        <w:t xml:space="preserve">§10  </w:t>
      </w:r>
      <w:r>
        <w:rPr>
          <w:rStyle w:val="13"/>
          <w:rFonts w:hint="eastAsia"/>
          <w:b/>
          <w:lang/>
        </w:rPr>
        <w:t>开放式基金份额变动</w:t>
      </w:r>
      <w:r>
        <w:rPr>
          <w:lang/>
        </w:rPr>
        <w:tab/>
      </w:r>
      <w:r>
        <w:rPr>
          <w:lang/>
        </w:rPr>
        <w:fldChar w:fldCharType="begin"/>
      </w:r>
      <w:r>
        <w:rPr>
          <w:lang/>
        </w:rPr>
        <w:instrText xml:space="preserve"> PAGEREF _Toc4172394 \h </w:instrText>
      </w:r>
      <w:r>
        <w:rPr>
          <w:lang/>
        </w:rPr>
        <w:fldChar w:fldCharType="separate"/>
      </w:r>
      <w:r>
        <w:rPr>
          <w:lang/>
        </w:rPr>
        <w:t>53</w:t>
      </w:r>
      <w:r>
        <w:rPr>
          <w:lang/>
        </w:rPr>
        <w:fldChar w:fldCharType="end"/>
      </w:r>
      <w:r>
        <w:rPr>
          <w:rStyle w:val="13"/>
          <w:lang/>
        </w:rPr>
        <w:fldChar w:fldCharType="end"/>
      </w:r>
    </w:p>
    <w:p>
      <w:pPr>
        <w:pStyle w:val="6"/>
        <w:tabs>
          <w:tab w:val="right" w:leader="dot" w:pos="9080"/>
        </w:tabs>
        <w:rPr>
          <w:lang/>
        </w:rPr>
      </w:pPr>
      <w:r>
        <w:rPr>
          <w:rStyle w:val="13"/>
          <w:lang/>
        </w:rPr>
        <w:fldChar w:fldCharType="begin"/>
      </w:r>
      <w:r>
        <w:rPr>
          <w:rStyle w:val="13"/>
          <w:lang/>
        </w:rPr>
        <w:instrText xml:space="preserve"> </w:instrText>
      </w:r>
      <w:r>
        <w:rPr>
          <w:lang/>
        </w:rPr>
        <w:instrText xml:space="preserve">HYPERLINK \l "_Toc4172395"</w:instrText>
      </w:r>
      <w:r>
        <w:rPr>
          <w:rStyle w:val="13"/>
          <w:lang/>
        </w:rPr>
        <w:instrText xml:space="preserve"> </w:instrText>
      </w:r>
      <w:r>
        <w:rPr>
          <w:rStyle w:val="13"/>
          <w:lang/>
        </w:rPr>
        <w:fldChar w:fldCharType="separate"/>
      </w:r>
      <w:r>
        <w:rPr>
          <w:rStyle w:val="13"/>
          <w:b/>
          <w:lang/>
        </w:rPr>
        <w:t xml:space="preserve">§11  </w:t>
      </w:r>
      <w:r>
        <w:rPr>
          <w:rStyle w:val="13"/>
          <w:rFonts w:hint="eastAsia"/>
          <w:b/>
          <w:lang/>
        </w:rPr>
        <w:t>重大事件揭示</w:t>
      </w:r>
      <w:r>
        <w:rPr>
          <w:lang/>
        </w:rPr>
        <w:tab/>
      </w:r>
      <w:r>
        <w:rPr>
          <w:lang/>
        </w:rPr>
        <w:fldChar w:fldCharType="begin"/>
      </w:r>
      <w:r>
        <w:rPr>
          <w:lang/>
        </w:rPr>
        <w:instrText xml:space="preserve"> PAGEREF _Toc4172395 \h </w:instrText>
      </w:r>
      <w:r>
        <w:rPr>
          <w:lang/>
        </w:rPr>
        <w:fldChar w:fldCharType="separate"/>
      </w:r>
      <w:r>
        <w:rPr>
          <w:lang/>
        </w:rPr>
        <w:t>54</w:t>
      </w:r>
      <w:r>
        <w:rPr>
          <w:lang/>
        </w:rPr>
        <w:fldChar w:fldCharType="end"/>
      </w:r>
      <w:r>
        <w:rPr>
          <w:rStyle w:val="13"/>
          <w:lang/>
        </w:rPr>
        <w:fldChar w:fldCharType="end"/>
      </w:r>
    </w:p>
    <w:p>
      <w:pPr>
        <w:pStyle w:val="7"/>
        <w:tabs>
          <w:tab w:val="right" w:leader="dot" w:pos="9080"/>
        </w:tabs>
        <w:rPr>
          <w:lang/>
        </w:rPr>
      </w:pPr>
      <w:r>
        <w:rPr>
          <w:rStyle w:val="13"/>
          <w:lang/>
        </w:rPr>
        <w:fldChar w:fldCharType="begin"/>
      </w:r>
      <w:r>
        <w:rPr>
          <w:rStyle w:val="13"/>
          <w:lang/>
        </w:rPr>
        <w:instrText xml:space="preserve"> </w:instrText>
      </w:r>
      <w:r>
        <w:rPr>
          <w:lang/>
        </w:rPr>
        <w:instrText xml:space="preserve">HYPERLINK \l "_Toc4172396"</w:instrText>
      </w:r>
      <w:r>
        <w:rPr>
          <w:rStyle w:val="13"/>
          <w:lang/>
        </w:rPr>
        <w:instrText xml:space="preserve"> </w:instrText>
      </w:r>
      <w:r>
        <w:rPr>
          <w:rStyle w:val="13"/>
          <w:lang/>
        </w:rPr>
        <w:fldChar w:fldCharType="separate"/>
      </w:r>
      <w:r>
        <w:rPr>
          <w:rStyle w:val="13"/>
          <w:b/>
          <w:bCs/>
          <w:lang/>
        </w:rPr>
        <w:t xml:space="preserve">11.1 </w:t>
      </w:r>
      <w:r>
        <w:rPr>
          <w:rStyle w:val="13"/>
          <w:rFonts w:hint="eastAsia"/>
          <w:b/>
          <w:bCs/>
          <w:lang/>
        </w:rPr>
        <w:t>基金份额持有人大会决议</w:t>
      </w:r>
      <w:r>
        <w:rPr>
          <w:lang/>
        </w:rPr>
        <w:tab/>
      </w:r>
      <w:r>
        <w:rPr>
          <w:lang/>
        </w:rPr>
        <w:fldChar w:fldCharType="begin"/>
      </w:r>
      <w:r>
        <w:rPr>
          <w:lang/>
        </w:rPr>
        <w:instrText xml:space="preserve"> PAGEREF _Toc4172396 \h </w:instrText>
      </w:r>
      <w:r>
        <w:rPr>
          <w:lang/>
        </w:rPr>
        <w:fldChar w:fldCharType="separate"/>
      </w:r>
      <w:r>
        <w:rPr>
          <w:lang/>
        </w:rPr>
        <w:t>54</w:t>
      </w:r>
      <w:r>
        <w:rPr>
          <w:lang/>
        </w:rPr>
        <w:fldChar w:fldCharType="end"/>
      </w:r>
      <w:r>
        <w:rPr>
          <w:rStyle w:val="13"/>
          <w:lang/>
        </w:rPr>
        <w:fldChar w:fldCharType="end"/>
      </w:r>
    </w:p>
    <w:p>
      <w:pPr>
        <w:pStyle w:val="7"/>
        <w:tabs>
          <w:tab w:val="right" w:leader="dot" w:pos="9080"/>
        </w:tabs>
        <w:rPr>
          <w:lang/>
        </w:rPr>
      </w:pPr>
      <w:r>
        <w:rPr>
          <w:rStyle w:val="13"/>
          <w:lang/>
        </w:rPr>
        <w:fldChar w:fldCharType="begin"/>
      </w:r>
      <w:r>
        <w:rPr>
          <w:rStyle w:val="13"/>
          <w:lang/>
        </w:rPr>
        <w:instrText xml:space="preserve"> </w:instrText>
      </w:r>
      <w:r>
        <w:rPr>
          <w:lang/>
        </w:rPr>
        <w:instrText xml:space="preserve">HYPERLINK \l "_Toc4172397"</w:instrText>
      </w:r>
      <w:r>
        <w:rPr>
          <w:rStyle w:val="13"/>
          <w:lang/>
        </w:rPr>
        <w:instrText xml:space="preserve"> </w:instrText>
      </w:r>
      <w:r>
        <w:rPr>
          <w:rStyle w:val="13"/>
          <w:lang/>
        </w:rPr>
        <w:fldChar w:fldCharType="separate"/>
      </w:r>
      <w:r>
        <w:rPr>
          <w:rStyle w:val="13"/>
          <w:b/>
          <w:bCs/>
          <w:lang/>
        </w:rPr>
        <w:t xml:space="preserve">11.2 </w:t>
      </w:r>
      <w:r>
        <w:rPr>
          <w:rStyle w:val="13"/>
          <w:rFonts w:hint="eastAsia"/>
          <w:b/>
          <w:bCs/>
          <w:lang/>
        </w:rPr>
        <w:t>基金管理人、基金托管人的专门基金托管部门的重大人事变动</w:t>
      </w:r>
      <w:r>
        <w:rPr>
          <w:lang/>
        </w:rPr>
        <w:tab/>
      </w:r>
      <w:r>
        <w:rPr>
          <w:lang/>
        </w:rPr>
        <w:fldChar w:fldCharType="begin"/>
      </w:r>
      <w:r>
        <w:rPr>
          <w:lang/>
        </w:rPr>
        <w:instrText xml:space="preserve"> PAGEREF _Toc4172397 \h </w:instrText>
      </w:r>
      <w:r>
        <w:rPr>
          <w:lang/>
        </w:rPr>
        <w:fldChar w:fldCharType="separate"/>
      </w:r>
      <w:r>
        <w:rPr>
          <w:lang/>
        </w:rPr>
        <w:t>54</w:t>
      </w:r>
      <w:r>
        <w:rPr>
          <w:lang/>
        </w:rPr>
        <w:fldChar w:fldCharType="end"/>
      </w:r>
      <w:r>
        <w:rPr>
          <w:rStyle w:val="13"/>
          <w:lang/>
        </w:rPr>
        <w:fldChar w:fldCharType="end"/>
      </w:r>
    </w:p>
    <w:p>
      <w:pPr>
        <w:pStyle w:val="7"/>
        <w:tabs>
          <w:tab w:val="right" w:leader="dot" w:pos="9080"/>
        </w:tabs>
        <w:rPr>
          <w:lang/>
        </w:rPr>
      </w:pPr>
      <w:r>
        <w:rPr>
          <w:rStyle w:val="13"/>
          <w:lang/>
        </w:rPr>
        <w:fldChar w:fldCharType="begin"/>
      </w:r>
      <w:r>
        <w:rPr>
          <w:rStyle w:val="13"/>
          <w:lang/>
        </w:rPr>
        <w:instrText xml:space="preserve"> </w:instrText>
      </w:r>
      <w:r>
        <w:rPr>
          <w:lang/>
        </w:rPr>
        <w:instrText xml:space="preserve">HYPERLINK \l "_Toc4172398"</w:instrText>
      </w:r>
      <w:r>
        <w:rPr>
          <w:rStyle w:val="13"/>
          <w:lang/>
        </w:rPr>
        <w:instrText xml:space="preserve"> </w:instrText>
      </w:r>
      <w:r>
        <w:rPr>
          <w:rStyle w:val="13"/>
          <w:lang/>
        </w:rPr>
        <w:fldChar w:fldCharType="separate"/>
      </w:r>
      <w:r>
        <w:rPr>
          <w:rStyle w:val="13"/>
          <w:b/>
          <w:bCs/>
          <w:lang/>
        </w:rPr>
        <w:t xml:space="preserve">11.3 </w:t>
      </w:r>
      <w:r>
        <w:rPr>
          <w:rStyle w:val="13"/>
          <w:rFonts w:hint="eastAsia"/>
          <w:b/>
          <w:bCs/>
          <w:lang/>
        </w:rPr>
        <w:t>涉及基金管理人、基金财产、基金托管业务的诉讼</w:t>
      </w:r>
      <w:r>
        <w:rPr>
          <w:lang/>
        </w:rPr>
        <w:tab/>
      </w:r>
      <w:r>
        <w:rPr>
          <w:lang/>
        </w:rPr>
        <w:fldChar w:fldCharType="begin"/>
      </w:r>
      <w:r>
        <w:rPr>
          <w:lang/>
        </w:rPr>
        <w:instrText xml:space="preserve"> PAGEREF _Toc4172398 \h </w:instrText>
      </w:r>
      <w:r>
        <w:rPr>
          <w:lang/>
        </w:rPr>
        <w:fldChar w:fldCharType="separate"/>
      </w:r>
      <w:r>
        <w:rPr>
          <w:lang/>
        </w:rPr>
        <w:t>54</w:t>
      </w:r>
      <w:r>
        <w:rPr>
          <w:lang/>
        </w:rPr>
        <w:fldChar w:fldCharType="end"/>
      </w:r>
      <w:r>
        <w:rPr>
          <w:rStyle w:val="13"/>
          <w:lang/>
        </w:rPr>
        <w:fldChar w:fldCharType="end"/>
      </w:r>
    </w:p>
    <w:p>
      <w:pPr>
        <w:pStyle w:val="7"/>
        <w:tabs>
          <w:tab w:val="right" w:leader="dot" w:pos="9080"/>
        </w:tabs>
        <w:rPr>
          <w:lang/>
        </w:rPr>
      </w:pPr>
      <w:r>
        <w:rPr>
          <w:rStyle w:val="13"/>
          <w:lang/>
        </w:rPr>
        <w:fldChar w:fldCharType="begin"/>
      </w:r>
      <w:r>
        <w:rPr>
          <w:rStyle w:val="13"/>
          <w:lang/>
        </w:rPr>
        <w:instrText xml:space="preserve"> </w:instrText>
      </w:r>
      <w:r>
        <w:rPr>
          <w:lang/>
        </w:rPr>
        <w:instrText xml:space="preserve">HYPERLINK \l "_Toc4172399"</w:instrText>
      </w:r>
      <w:r>
        <w:rPr>
          <w:rStyle w:val="13"/>
          <w:lang/>
        </w:rPr>
        <w:instrText xml:space="preserve"> </w:instrText>
      </w:r>
      <w:r>
        <w:rPr>
          <w:rStyle w:val="13"/>
          <w:lang/>
        </w:rPr>
        <w:fldChar w:fldCharType="separate"/>
      </w:r>
      <w:r>
        <w:rPr>
          <w:rStyle w:val="13"/>
          <w:b/>
          <w:bCs/>
          <w:lang/>
        </w:rPr>
        <w:t xml:space="preserve">11.4 </w:t>
      </w:r>
      <w:r>
        <w:rPr>
          <w:rStyle w:val="13"/>
          <w:rFonts w:hint="eastAsia"/>
          <w:b/>
          <w:bCs/>
          <w:lang/>
        </w:rPr>
        <w:t>基金投资策略的改变</w:t>
      </w:r>
      <w:r>
        <w:rPr>
          <w:lang/>
        </w:rPr>
        <w:tab/>
      </w:r>
      <w:r>
        <w:rPr>
          <w:lang/>
        </w:rPr>
        <w:fldChar w:fldCharType="begin"/>
      </w:r>
      <w:r>
        <w:rPr>
          <w:lang/>
        </w:rPr>
        <w:instrText xml:space="preserve"> PAGEREF _Toc4172399 \h </w:instrText>
      </w:r>
      <w:r>
        <w:rPr>
          <w:lang/>
        </w:rPr>
        <w:fldChar w:fldCharType="separate"/>
      </w:r>
      <w:r>
        <w:rPr>
          <w:lang/>
        </w:rPr>
        <w:t>54</w:t>
      </w:r>
      <w:r>
        <w:rPr>
          <w:lang/>
        </w:rPr>
        <w:fldChar w:fldCharType="end"/>
      </w:r>
      <w:r>
        <w:rPr>
          <w:rStyle w:val="13"/>
          <w:lang/>
        </w:rPr>
        <w:fldChar w:fldCharType="end"/>
      </w:r>
    </w:p>
    <w:p>
      <w:pPr>
        <w:pStyle w:val="7"/>
        <w:tabs>
          <w:tab w:val="right" w:leader="dot" w:pos="9080"/>
        </w:tabs>
        <w:rPr>
          <w:lang/>
        </w:rPr>
      </w:pPr>
      <w:r>
        <w:rPr>
          <w:rStyle w:val="13"/>
          <w:lang/>
        </w:rPr>
        <w:fldChar w:fldCharType="begin"/>
      </w:r>
      <w:r>
        <w:rPr>
          <w:rStyle w:val="13"/>
          <w:lang/>
        </w:rPr>
        <w:instrText xml:space="preserve"> </w:instrText>
      </w:r>
      <w:r>
        <w:rPr>
          <w:lang/>
        </w:rPr>
        <w:instrText xml:space="preserve">HYPERLINK \l "_Toc4172400"</w:instrText>
      </w:r>
      <w:r>
        <w:rPr>
          <w:rStyle w:val="13"/>
          <w:lang/>
        </w:rPr>
        <w:instrText xml:space="preserve"> </w:instrText>
      </w:r>
      <w:r>
        <w:rPr>
          <w:rStyle w:val="13"/>
          <w:lang/>
        </w:rPr>
        <w:fldChar w:fldCharType="separate"/>
      </w:r>
      <w:r>
        <w:rPr>
          <w:rStyle w:val="13"/>
          <w:b/>
          <w:bCs/>
          <w:lang/>
        </w:rPr>
        <w:t xml:space="preserve">11.5 </w:t>
      </w:r>
      <w:r>
        <w:rPr>
          <w:rStyle w:val="13"/>
          <w:rFonts w:hint="eastAsia"/>
          <w:b/>
          <w:bCs/>
          <w:lang/>
        </w:rPr>
        <w:t>为基金进行审计的会计师事务所情况</w:t>
      </w:r>
      <w:r>
        <w:rPr>
          <w:lang/>
        </w:rPr>
        <w:tab/>
      </w:r>
      <w:r>
        <w:rPr>
          <w:lang/>
        </w:rPr>
        <w:fldChar w:fldCharType="begin"/>
      </w:r>
      <w:r>
        <w:rPr>
          <w:lang/>
        </w:rPr>
        <w:instrText xml:space="preserve"> PAGEREF _Toc4172400 \h </w:instrText>
      </w:r>
      <w:r>
        <w:rPr>
          <w:lang/>
        </w:rPr>
        <w:fldChar w:fldCharType="separate"/>
      </w:r>
      <w:r>
        <w:rPr>
          <w:lang/>
        </w:rPr>
        <w:t>54</w:t>
      </w:r>
      <w:r>
        <w:rPr>
          <w:lang/>
        </w:rPr>
        <w:fldChar w:fldCharType="end"/>
      </w:r>
      <w:r>
        <w:rPr>
          <w:rStyle w:val="13"/>
          <w:lang/>
        </w:rPr>
        <w:fldChar w:fldCharType="end"/>
      </w:r>
    </w:p>
    <w:p>
      <w:pPr>
        <w:pStyle w:val="7"/>
        <w:tabs>
          <w:tab w:val="right" w:leader="dot" w:pos="9080"/>
        </w:tabs>
        <w:rPr>
          <w:lang/>
        </w:rPr>
      </w:pPr>
      <w:r>
        <w:rPr>
          <w:rStyle w:val="13"/>
          <w:lang/>
        </w:rPr>
        <w:fldChar w:fldCharType="begin"/>
      </w:r>
      <w:r>
        <w:rPr>
          <w:rStyle w:val="13"/>
          <w:lang/>
        </w:rPr>
        <w:instrText xml:space="preserve"> </w:instrText>
      </w:r>
      <w:r>
        <w:rPr>
          <w:lang/>
        </w:rPr>
        <w:instrText xml:space="preserve">HYPERLINK \l "_Toc4172401"</w:instrText>
      </w:r>
      <w:r>
        <w:rPr>
          <w:rStyle w:val="13"/>
          <w:lang/>
        </w:rPr>
        <w:instrText xml:space="preserve"> </w:instrText>
      </w:r>
      <w:r>
        <w:rPr>
          <w:rStyle w:val="13"/>
          <w:lang/>
        </w:rPr>
        <w:fldChar w:fldCharType="separate"/>
      </w:r>
      <w:r>
        <w:rPr>
          <w:rStyle w:val="13"/>
          <w:b/>
          <w:bCs/>
          <w:lang/>
        </w:rPr>
        <w:t xml:space="preserve">11.6 </w:t>
      </w:r>
      <w:r>
        <w:rPr>
          <w:rStyle w:val="13"/>
          <w:rFonts w:hint="eastAsia"/>
          <w:b/>
          <w:bCs/>
          <w:lang/>
        </w:rPr>
        <w:t>管理人、托管人及其高级管理人员受稽查或处罚等情况</w:t>
      </w:r>
      <w:r>
        <w:rPr>
          <w:lang/>
        </w:rPr>
        <w:tab/>
      </w:r>
      <w:r>
        <w:rPr>
          <w:lang/>
        </w:rPr>
        <w:fldChar w:fldCharType="begin"/>
      </w:r>
      <w:r>
        <w:rPr>
          <w:lang/>
        </w:rPr>
        <w:instrText xml:space="preserve"> PAGEREF _Toc4172401 \h </w:instrText>
      </w:r>
      <w:r>
        <w:rPr>
          <w:lang/>
        </w:rPr>
        <w:fldChar w:fldCharType="separate"/>
      </w:r>
      <w:r>
        <w:rPr>
          <w:lang/>
        </w:rPr>
        <w:t>54</w:t>
      </w:r>
      <w:r>
        <w:rPr>
          <w:lang/>
        </w:rPr>
        <w:fldChar w:fldCharType="end"/>
      </w:r>
      <w:r>
        <w:rPr>
          <w:rStyle w:val="13"/>
          <w:lang/>
        </w:rPr>
        <w:fldChar w:fldCharType="end"/>
      </w:r>
    </w:p>
    <w:p>
      <w:pPr>
        <w:pStyle w:val="7"/>
        <w:tabs>
          <w:tab w:val="right" w:leader="dot" w:pos="9080"/>
        </w:tabs>
        <w:rPr>
          <w:lang/>
        </w:rPr>
      </w:pPr>
      <w:r>
        <w:rPr>
          <w:rStyle w:val="13"/>
          <w:lang/>
        </w:rPr>
        <w:fldChar w:fldCharType="begin"/>
      </w:r>
      <w:r>
        <w:rPr>
          <w:rStyle w:val="13"/>
          <w:lang/>
        </w:rPr>
        <w:instrText xml:space="preserve"> </w:instrText>
      </w:r>
      <w:r>
        <w:rPr>
          <w:lang/>
        </w:rPr>
        <w:instrText xml:space="preserve">HYPERLINK \l "_Toc4172402"</w:instrText>
      </w:r>
      <w:r>
        <w:rPr>
          <w:rStyle w:val="13"/>
          <w:lang/>
        </w:rPr>
        <w:instrText xml:space="preserve"> </w:instrText>
      </w:r>
      <w:r>
        <w:rPr>
          <w:rStyle w:val="13"/>
          <w:lang/>
        </w:rPr>
        <w:fldChar w:fldCharType="separate"/>
      </w:r>
      <w:r>
        <w:rPr>
          <w:rStyle w:val="13"/>
          <w:b/>
          <w:bCs/>
          <w:lang/>
        </w:rPr>
        <w:t xml:space="preserve">11.7 </w:t>
      </w:r>
      <w:r>
        <w:rPr>
          <w:rStyle w:val="13"/>
          <w:rFonts w:hint="eastAsia"/>
          <w:b/>
          <w:bCs/>
          <w:lang/>
        </w:rPr>
        <w:t>基金租用证券公司交易单元的有关情况</w:t>
      </w:r>
      <w:r>
        <w:rPr>
          <w:lang/>
        </w:rPr>
        <w:tab/>
      </w:r>
      <w:r>
        <w:rPr>
          <w:lang/>
        </w:rPr>
        <w:fldChar w:fldCharType="begin"/>
      </w:r>
      <w:r>
        <w:rPr>
          <w:lang/>
        </w:rPr>
        <w:instrText xml:space="preserve"> PAGEREF _Toc4172402 \h </w:instrText>
      </w:r>
      <w:r>
        <w:rPr>
          <w:lang/>
        </w:rPr>
        <w:fldChar w:fldCharType="separate"/>
      </w:r>
      <w:r>
        <w:rPr>
          <w:lang/>
        </w:rPr>
        <w:t>54</w:t>
      </w:r>
      <w:r>
        <w:rPr>
          <w:lang/>
        </w:rPr>
        <w:fldChar w:fldCharType="end"/>
      </w:r>
      <w:r>
        <w:rPr>
          <w:rStyle w:val="13"/>
          <w:lang/>
        </w:rPr>
        <w:fldChar w:fldCharType="end"/>
      </w:r>
    </w:p>
    <w:p>
      <w:pPr>
        <w:pStyle w:val="7"/>
        <w:tabs>
          <w:tab w:val="right" w:leader="dot" w:pos="9080"/>
        </w:tabs>
        <w:rPr>
          <w:lang/>
        </w:rPr>
      </w:pPr>
      <w:r>
        <w:rPr>
          <w:rStyle w:val="13"/>
          <w:lang/>
        </w:rPr>
        <w:fldChar w:fldCharType="begin"/>
      </w:r>
      <w:r>
        <w:rPr>
          <w:rStyle w:val="13"/>
          <w:lang/>
        </w:rPr>
        <w:instrText xml:space="preserve"> </w:instrText>
      </w:r>
      <w:r>
        <w:rPr>
          <w:lang/>
        </w:rPr>
        <w:instrText xml:space="preserve">HYPERLINK \l "_Toc4172403"</w:instrText>
      </w:r>
      <w:r>
        <w:rPr>
          <w:rStyle w:val="13"/>
          <w:lang/>
        </w:rPr>
        <w:instrText xml:space="preserve"> </w:instrText>
      </w:r>
      <w:r>
        <w:rPr>
          <w:rStyle w:val="13"/>
          <w:lang/>
        </w:rPr>
        <w:fldChar w:fldCharType="separate"/>
      </w:r>
      <w:r>
        <w:rPr>
          <w:rStyle w:val="13"/>
          <w:b/>
          <w:bCs/>
          <w:lang/>
        </w:rPr>
        <w:t xml:space="preserve">11.8 </w:t>
      </w:r>
      <w:r>
        <w:rPr>
          <w:rStyle w:val="13"/>
          <w:rFonts w:hint="eastAsia"/>
          <w:b/>
          <w:bCs/>
          <w:lang/>
        </w:rPr>
        <w:t>其他重大事件</w:t>
      </w:r>
      <w:r>
        <w:rPr>
          <w:lang/>
        </w:rPr>
        <w:tab/>
      </w:r>
      <w:r>
        <w:rPr>
          <w:lang/>
        </w:rPr>
        <w:fldChar w:fldCharType="begin"/>
      </w:r>
      <w:r>
        <w:rPr>
          <w:lang/>
        </w:rPr>
        <w:instrText xml:space="preserve"> PAGEREF _Toc4172403 \h </w:instrText>
      </w:r>
      <w:r>
        <w:rPr>
          <w:lang/>
        </w:rPr>
        <w:fldChar w:fldCharType="separate"/>
      </w:r>
      <w:r>
        <w:rPr>
          <w:lang/>
        </w:rPr>
        <w:t>58</w:t>
      </w:r>
      <w:r>
        <w:rPr>
          <w:lang/>
        </w:rPr>
        <w:fldChar w:fldCharType="end"/>
      </w:r>
      <w:r>
        <w:rPr>
          <w:rStyle w:val="13"/>
          <w:lang/>
        </w:rPr>
        <w:fldChar w:fldCharType="end"/>
      </w:r>
    </w:p>
    <w:p>
      <w:pPr>
        <w:pStyle w:val="6"/>
        <w:tabs>
          <w:tab w:val="right" w:leader="dot" w:pos="9080"/>
        </w:tabs>
        <w:rPr>
          <w:lang/>
        </w:rPr>
      </w:pPr>
      <w:r>
        <w:rPr>
          <w:rStyle w:val="13"/>
          <w:lang/>
        </w:rPr>
        <w:fldChar w:fldCharType="begin"/>
      </w:r>
      <w:r>
        <w:rPr>
          <w:rStyle w:val="13"/>
          <w:lang/>
        </w:rPr>
        <w:instrText xml:space="preserve"> </w:instrText>
      </w:r>
      <w:r>
        <w:rPr>
          <w:lang/>
        </w:rPr>
        <w:instrText xml:space="preserve">HYPERLINK \l "_Toc4172404"</w:instrText>
      </w:r>
      <w:r>
        <w:rPr>
          <w:rStyle w:val="13"/>
          <w:lang/>
        </w:rPr>
        <w:instrText xml:space="preserve"> </w:instrText>
      </w:r>
      <w:r>
        <w:rPr>
          <w:rStyle w:val="13"/>
          <w:lang/>
        </w:rPr>
        <w:fldChar w:fldCharType="separate"/>
      </w:r>
      <w:r>
        <w:rPr>
          <w:rStyle w:val="13"/>
          <w:b/>
          <w:lang/>
        </w:rPr>
        <w:t xml:space="preserve">§12  </w:t>
      </w:r>
      <w:r>
        <w:rPr>
          <w:rStyle w:val="13"/>
          <w:rFonts w:hint="eastAsia"/>
          <w:b/>
          <w:lang/>
        </w:rPr>
        <w:t>影响投资者决策的其他重要信息</w:t>
      </w:r>
      <w:r>
        <w:rPr>
          <w:lang/>
        </w:rPr>
        <w:tab/>
      </w:r>
      <w:r>
        <w:rPr>
          <w:lang/>
        </w:rPr>
        <w:fldChar w:fldCharType="begin"/>
      </w:r>
      <w:r>
        <w:rPr>
          <w:lang/>
        </w:rPr>
        <w:instrText xml:space="preserve"> PAGEREF _Toc4172404 \h </w:instrText>
      </w:r>
      <w:r>
        <w:rPr>
          <w:lang/>
        </w:rPr>
        <w:fldChar w:fldCharType="separate"/>
      </w:r>
      <w:r>
        <w:rPr>
          <w:lang/>
        </w:rPr>
        <w:t>61</w:t>
      </w:r>
      <w:r>
        <w:rPr>
          <w:lang/>
        </w:rPr>
        <w:fldChar w:fldCharType="end"/>
      </w:r>
      <w:r>
        <w:rPr>
          <w:rStyle w:val="13"/>
          <w:lang/>
        </w:rPr>
        <w:fldChar w:fldCharType="end"/>
      </w:r>
    </w:p>
    <w:p>
      <w:pPr>
        <w:pStyle w:val="7"/>
        <w:tabs>
          <w:tab w:val="right" w:leader="dot" w:pos="9080"/>
        </w:tabs>
        <w:rPr>
          <w:lang/>
        </w:rPr>
      </w:pPr>
      <w:r>
        <w:rPr>
          <w:rStyle w:val="13"/>
          <w:lang/>
        </w:rPr>
        <w:fldChar w:fldCharType="begin"/>
      </w:r>
      <w:r>
        <w:rPr>
          <w:rStyle w:val="13"/>
          <w:lang/>
        </w:rPr>
        <w:instrText xml:space="preserve"> </w:instrText>
      </w:r>
      <w:r>
        <w:rPr>
          <w:lang/>
        </w:rPr>
        <w:instrText xml:space="preserve">HYPERLINK \l "_Toc4172405"</w:instrText>
      </w:r>
      <w:r>
        <w:rPr>
          <w:rStyle w:val="13"/>
          <w:lang/>
        </w:rPr>
        <w:instrText xml:space="preserve"> </w:instrText>
      </w:r>
      <w:r>
        <w:rPr>
          <w:rStyle w:val="13"/>
          <w:lang/>
        </w:rPr>
        <w:fldChar w:fldCharType="separate"/>
      </w:r>
      <w:r>
        <w:rPr>
          <w:rStyle w:val="13"/>
          <w:b/>
          <w:bCs/>
          <w:lang/>
        </w:rPr>
        <w:t xml:space="preserve">12.1 </w:t>
      </w:r>
      <w:r>
        <w:rPr>
          <w:rStyle w:val="13"/>
          <w:rFonts w:hint="eastAsia"/>
          <w:b/>
          <w:bCs/>
          <w:lang/>
        </w:rPr>
        <w:t>报告期内单一投资者持有基金份额比例达到或超过</w:t>
      </w:r>
      <w:r>
        <w:rPr>
          <w:rStyle w:val="13"/>
          <w:b/>
          <w:bCs/>
          <w:lang/>
        </w:rPr>
        <w:t>20%</w:t>
      </w:r>
      <w:r>
        <w:rPr>
          <w:rStyle w:val="13"/>
          <w:rFonts w:hint="eastAsia"/>
          <w:b/>
          <w:bCs/>
          <w:lang/>
        </w:rPr>
        <w:t>的情况</w:t>
      </w:r>
      <w:r>
        <w:rPr>
          <w:lang/>
        </w:rPr>
        <w:tab/>
      </w:r>
      <w:r>
        <w:rPr>
          <w:lang/>
        </w:rPr>
        <w:fldChar w:fldCharType="begin"/>
      </w:r>
      <w:r>
        <w:rPr>
          <w:lang/>
        </w:rPr>
        <w:instrText xml:space="preserve"> PAGEREF _Toc4172405 \h </w:instrText>
      </w:r>
      <w:r>
        <w:rPr>
          <w:lang/>
        </w:rPr>
        <w:fldChar w:fldCharType="separate"/>
      </w:r>
      <w:r>
        <w:rPr>
          <w:lang/>
        </w:rPr>
        <w:t>61</w:t>
      </w:r>
      <w:r>
        <w:rPr>
          <w:lang/>
        </w:rPr>
        <w:fldChar w:fldCharType="end"/>
      </w:r>
      <w:r>
        <w:rPr>
          <w:rStyle w:val="13"/>
          <w:lang/>
        </w:rPr>
        <w:fldChar w:fldCharType="end"/>
      </w:r>
    </w:p>
    <w:p>
      <w:pPr>
        <w:pStyle w:val="7"/>
        <w:tabs>
          <w:tab w:val="right" w:leader="dot" w:pos="9080"/>
        </w:tabs>
        <w:rPr>
          <w:lang/>
        </w:rPr>
      </w:pPr>
      <w:r>
        <w:rPr>
          <w:rStyle w:val="13"/>
          <w:lang/>
        </w:rPr>
        <w:fldChar w:fldCharType="begin"/>
      </w:r>
      <w:r>
        <w:rPr>
          <w:rStyle w:val="13"/>
          <w:lang/>
        </w:rPr>
        <w:instrText xml:space="preserve"> </w:instrText>
      </w:r>
      <w:r>
        <w:rPr>
          <w:lang/>
        </w:rPr>
        <w:instrText xml:space="preserve">HYPERLINK \l "_Toc4172406"</w:instrText>
      </w:r>
      <w:r>
        <w:rPr>
          <w:rStyle w:val="13"/>
          <w:lang/>
        </w:rPr>
        <w:instrText xml:space="preserve"> </w:instrText>
      </w:r>
      <w:r>
        <w:rPr>
          <w:rStyle w:val="13"/>
          <w:lang/>
        </w:rPr>
        <w:fldChar w:fldCharType="separate"/>
      </w:r>
      <w:r>
        <w:rPr>
          <w:rStyle w:val="13"/>
          <w:b/>
          <w:bCs/>
          <w:lang/>
        </w:rPr>
        <w:t xml:space="preserve">12.2 </w:t>
      </w:r>
      <w:r>
        <w:rPr>
          <w:rStyle w:val="13"/>
          <w:rFonts w:hint="eastAsia"/>
          <w:b/>
          <w:bCs/>
          <w:lang/>
        </w:rPr>
        <w:t>影响投资者决策的其他重要信息</w:t>
      </w:r>
      <w:r>
        <w:rPr>
          <w:lang/>
        </w:rPr>
        <w:tab/>
      </w:r>
      <w:r>
        <w:rPr>
          <w:lang/>
        </w:rPr>
        <w:fldChar w:fldCharType="begin"/>
      </w:r>
      <w:r>
        <w:rPr>
          <w:lang/>
        </w:rPr>
        <w:instrText xml:space="preserve"> PAGEREF _Toc4172406 \h </w:instrText>
      </w:r>
      <w:r>
        <w:rPr>
          <w:lang/>
        </w:rPr>
        <w:fldChar w:fldCharType="separate"/>
      </w:r>
      <w:r>
        <w:rPr>
          <w:lang/>
        </w:rPr>
        <w:t>61</w:t>
      </w:r>
      <w:r>
        <w:rPr>
          <w:lang/>
        </w:rPr>
        <w:fldChar w:fldCharType="end"/>
      </w:r>
      <w:r>
        <w:rPr>
          <w:rStyle w:val="13"/>
          <w:lang/>
        </w:rPr>
        <w:fldChar w:fldCharType="end"/>
      </w:r>
    </w:p>
    <w:p>
      <w:pPr>
        <w:pStyle w:val="6"/>
        <w:tabs>
          <w:tab w:val="right" w:leader="dot" w:pos="9080"/>
        </w:tabs>
        <w:rPr>
          <w:lang/>
        </w:rPr>
      </w:pPr>
      <w:r>
        <w:rPr>
          <w:rStyle w:val="13"/>
          <w:lang/>
        </w:rPr>
        <w:fldChar w:fldCharType="begin"/>
      </w:r>
      <w:r>
        <w:rPr>
          <w:rStyle w:val="13"/>
          <w:lang/>
        </w:rPr>
        <w:instrText xml:space="preserve"> </w:instrText>
      </w:r>
      <w:r>
        <w:rPr>
          <w:lang/>
        </w:rPr>
        <w:instrText xml:space="preserve">HYPERLINK \l "_Toc4172407"</w:instrText>
      </w:r>
      <w:r>
        <w:rPr>
          <w:rStyle w:val="13"/>
          <w:lang/>
        </w:rPr>
        <w:instrText xml:space="preserve"> </w:instrText>
      </w:r>
      <w:r>
        <w:rPr>
          <w:rStyle w:val="13"/>
          <w:lang/>
        </w:rPr>
        <w:fldChar w:fldCharType="separate"/>
      </w:r>
      <w:r>
        <w:rPr>
          <w:rStyle w:val="13"/>
          <w:b/>
          <w:lang/>
        </w:rPr>
        <w:t xml:space="preserve">§13  </w:t>
      </w:r>
      <w:r>
        <w:rPr>
          <w:rStyle w:val="13"/>
          <w:rFonts w:hint="eastAsia"/>
          <w:b/>
          <w:lang/>
        </w:rPr>
        <w:t>备查文件目录</w:t>
      </w:r>
      <w:r>
        <w:rPr>
          <w:lang/>
        </w:rPr>
        <w:tab/>
      </w:r>
      <w:r>
        <w:rPr>
          <w:lang/>
        </w:rPr>
        <w:fldChar w:fldCharType="begin"/>
      </w:r>
      <w:r>
        <w:rPr>
          <w:lang/>
        </w:rPr>
        <w:instrText xml:space="preserve"> PAGEREF _Toc4172407 \h </w:instrText>
      </w:r>
      <w:r>
        <w:rPr>
          <w:lang/>
        </w:rPr>
        <w:fldChar w:fldCharType="separate"/>
      </w:r>
      <w:r>
        <w:rPr>
          <w:lang/>
        </w:rPr>
        <w:t>61</w:t>
      </w:r>
      <w:r>
        <w:rPr>
          <w:lang/>
        </w:rPr>
        <w:fldChar w:fldCharType="end"/>
      </w:r>
      <w:r>
        <w:rPr>
          <w:rStyle w:val="13"/>
          <w:lang/>
        </w:rPr>
        <w:fldChar w:fldCharType="end"/>
      </w:r>
    </w:p>
    <w:p>
      <w:pPr>
        <w:pStyle w:val="7"/>
        <w:tabs>
          <w:tab w:val="right" w:leader="dot" w:pos="9080"/>
        </w:tabs>
        <w:rPr>
          <w:lang/>
        </w:rPr>
      </w:pPr>
      <w:r>
        <w:rPr>
          <w:rStyle w:val="13"/>
          <w:lang/>
        </w:rPr>
        <w:fldChar w:fldCharType="begin"/>
      </w:r>
      <w:r>
        <w:rPr>
          <w:rStyle w:val="13"/>
          <w:lang/>
        </w:rPr>
        <w:instrText xml:space="preserve"> </w:instrText>
      </w:r>
      <w:r>
        <w:rPr>
          <w:lang/>
        </w:rPr>
        <w:instrText xml:space="preserve">HYPERLINK \l "_Toc4172408"</w:instrText>
      </w:r>
      <w:r>
        <w:rPr>
          <w:rStyle w:val="13"/>
          <w:lang/>
        </w:rPr>
        <w:instrText xml:space="preserve"> </w:instrText>
      </w:r>
      <w:r>
        <w:rPr>
          <w:rStyle w:val="13"/>
          <w:lang/>
        </w:rPr>
        <w:fldChar w:fldCharType="separate"/>
      </w:r>
      <w:r>
        <w:rPr>
          <w:rStyle w:val="13"/>
          <w:b/>
          <w:bCs/>
          <w:lang/>
        </w:rPr>
        <w:t xml:space="preserve">13.1 </w:t>
      </w:r>
      <w:r>
        <w:rPr>
          <w:rStyle w:val="13"/>
          <w:rFonts w:hint="eastAsia"/>
          <w:b/>
          <w:bCs/>
          <w:lang/>
        </w:rPr>
        <w:t>备查文件目录</w:t>
      </w:r>
      <w:r>
        <w:rPr>
          <w:lang/>
        </w:rPr>
        <w:tab/>
      </w:r>
      <w:r>
        <w:rPr>
          <w:lang/>
        </w:rPr>
        <w:fldChar w:fldCharType="begin"/>
      </w:r>
      <w:r>
        <w:rPr>
          <w:lang/>
        </w:rPr>
        <w:instrText xml:space="preserve"> PAGEREF _Toc4172408 \h </w:instrText>
      </w:r>
      <w:r>
        <w:rPr>
          <w:lang/>
        </w:rPr>
        <w:fldChar w:fldCharType="separate"/>
      </w:r>
      <w:r>
        <w:rPr>
          <w:lang/>
        </w:rPr>
        <w:t>61</w:t>
      </w:r>
      <w:r>
        <w:rPr>
          <w:lang/>
        </w:rPr>
        <w:fldChar w:fldCharType="end"/>
      </w:r>
      <w:r>
        <w:rPr>
          <w:rStyle w:val="13"/>
          <w:lang/>
        </w:rPr>
        <w:fldChar w:fldCharType="end"/>
      </w:r>
    </w:p>
    <w:p>
      <w:pPr>
        <w:pStyle w:val="7"/>
        <w:tabs>
          <w:tab w:val="right" w:leader="dot" w:pos="9080"/>
        </w:tabs>
        <w:rPr>
          <w:lang/>
        </w:rPr>
      </w:pPr>
      <w:r>
        <w:rPr>
          <w:rStyle w:val="13"/>
          <w:lang/>
        </w:rPr>
        <w:fldChar w:fldCharType="begin"/>
      </w:r>
      <w:r>
        <w:rPr>
          <w:rStyle w:val="13"/>
          <w:lang/>
        </w:rPr>
        <w:instrText xml:space="preserve"> </w:instrText>
      </w:r>
      <w:r>
        <w:rPr>
          <w:lang/>
        </w:rPr>
        <w:instrText xml:space="preserve">HYPERLINK \l "_Toc4172409"</w:instrText>
      </w:r>
      <w:r>
        <w:rPr>
          <w:rStyle w:val="13"/>
          <w:lang/>
        </w:rPr>
        <w:instrText xml:space="preserve"> </w:instrText>
      </w:r>
      <w:r>
        <w:rPr>
          <w:rStyle w:val="13"/>
          <w:lang/>
        </w:rPr>
        <w:fldChar w:fldCharType="separate"/>
      </w:r>
      <w:r>
        <w:rPr>
          <w:rStyle w:val="13"/>
          <w:b/>
          <w:bCs/>
          <w:lang/>
        </w:rPr>
        <w:t xml:space="preserve">13.2 </w:t>
      </w:r>
      <w:r>
        <w:rPr>
          <w:rStyle w:val="13"/>
          <w:rFonts w:hint="eastAsia"/>
          <w:b/>
          <w:bCs/>
          <w:lang/>
        </w:rPr>
        <w:t>存放地点</w:t>
      </w:r>
      <w:r>
        <w:rPr>
          <w:lang/>
        </w:rPr>
        <w:tab/>
      </w:r>
      <w:r>
        <w:rPr>
          <w:lang/>
        </w:rPr>
        <w:fldChar w:fldCharType="begin"/>
      </w:r>
      <w:r>
        <w:rPr>
          <w:lang/>
        </w:rPr>
        <w:instrText xml:space="preserve"> PAGEREF _Toc4172409 \h </w:instrText>
      </w:r>
      <w:r>
        <w:rPr>
          <w:lang/>
        </w:rPr>
        <w:fldChar w:fldCharType="separate"/>
      </w:r>
      <w:r>
        <w:rPr>
          <w:lang/>
        </w:rPr>
        <w:t>61</w:t>
      </w:r>
      <w:r>
        <w:rPr>
          <w:lang/>
        </w:rPr>
        <w:fldChar w:fldCharType="end"/>
      </w:r>
      <w:r>
        <w:rPr>
          <w:rStyle w:val="13"/>
          <w:lang/>
        </w:rPr>
        <w:fldChar w:fldCharType="end"/>
      </w:r>
    </w:p>
    <w:p>
      <w:pPr>
        <w:pStyle w:val="7"/>
        <w:tabs>
          <w:tab w:val="right" w:leader="dot" w:pos="9080"/>
        </w:tabs>
        <w:rPr>
          <w:lang/>
        </w:rPr>
      </w:pPr>
      <w:r>
        <w:rPr>
          <w:rStyle w:val="13"/>
          <w:lang/>
        </w:rPr>
        <w:fldChar w:fldCharType="begin"/>
      </w:r>
      <w:r>
        <w:rPr>
          <w:rStyle w:val="13"/>
          <w:lang/>
        </w:rPr>
        <w:instrText xml:space="preserve"> </w:instrText>
      </w:r>
      <w:r>
        <w:rPr>
          <w:lang/>
        </w:rPr>
        <w:instrText xml:space="preserve">HYPERLINK \l "_Toc4172410"</w:instrText>
      </w:r>
      <w:r>
        <w:rPr>
          <w:rStyle w:val="13"/>
          <w:lang/>
        </w:rPr>
        <w:instrText xml:space="preserve"> </w:instrText>
      </w:r>
      <w:r>
        <w:rPr>
          <w:rStyle w:val="13"/>
          <w:lang/>
        </w:rPr>
        <w:fldChar w:fldCharType="separate"/>
      </w:r>
      <w:r>
        <w:rPr>
          <w:rStyle w:val="13"/>
          <w:b/>
          <w:bCs/>
          <w:lang/>
        </w:rPr>
        <w:t xml:space="preserve">13.3 </w:t>
      </w:r>
      <w:r>
        <w:rPr>
          <w:rStyle w:val="13"/>
          <w:rFonts w:hint="eastAsia"/>
          <w:b/>
          <w:bCs/>
          <w:lang/>
        </w:rPr>
        <w:t>查阅方式</w:t>
      </w:r>
      <w:r>
        <w:rPr>
          <w:lang/>
        </w:rPr>
        <w:tab/>
      </w:r>
      <w:r>
        <w:rPr>
          <w:lang/>
        </w:rPr>
        <w:fldChar w:fldCharType="begin"/>
      </w:r>
      <w:r>
        <w:rPr>
          <w:lang/>
        </w:rPr>
        <w:instrText xml:space="preserve"> PAGEREF _Toc4172410 \h </w:instrText>
      </w:r>
      <w:r>
        <w:rPr>
          <w:lang/>
        </w:rPr>
        <w:fldChar w:fldCharType="separate"/>
      </w:r>
      <w:r>
        <w:rPr>
          <w:lang/>
        </w:rPr>
        <w:t>62</w:t>
      </w:r>
      <w:r>
        <w:rPr>
          <w:lang/>
        </w:rPr>
        <w:fldChar w:fldCharType="end"/>
      </w:r>
      <w:r>
        <w:rPr>
          <w:rStyle w:val="13"/>
          <w:lang/>
        </w:rPr>
        <w:fldChar w:fldCharType="end"/>
      </w:r>
    </w:p>
    <w:p>
      <w:pPr>
        <w:pStyle w:val="16"/>
        <w:rPr>
          <w:rFonts w:hint="eastAsia"/>
        </w:rPr>
      </w:pPr>
      <w:r>
        <w:rPr>
          <w:rFonts w:ascii="Times New Roman" w:hAnsi="Times New Roman"/>
        </w:rPr>
        <w:fldChar w:fldCharType="end"/>
      </w:r>
      <w:r>
        <w:rPr>
          <w:rFonts w:ascii="Times New Roman" w:hAnsi="Times New Roman"/>
        </w:rPr>
        <w:br w:type="page"/>
      </w:r>
      <w:bookmarkStart w:id="3" w:name="_Toc4172345"/>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7"/>
        <w:rPr>
          <w:rFonts w:hint="eastAsia"/>
        </w:rPr>
      </w:pPr>
      <w:bookmarkStart w:id="4" w:name="_Toc4172346"/>
      <w:r>
        <w:rPr>
          <w:rFonts w:hint="eastAsia"/>
          <w:b/>
          <w:bCs/>
        </w:rPr>
        <w:t>2.1 基金基本情况</w:t>
      </w:r>
      <w:bookmarkEnd w:id="4"/>
    </w:p>
    <w:tbl>
      <w:tblPr>
        <w:tblStyle w:val="10"/>
        <w:tblW w:w="9120" w:type="dxa"/>
        <w:tblInd w:w="108" w:type="dxa"/>
        <w:tblLayout w:type="autofit"/>
        <w:tblCellMar>
          <w:top w:w="0" w:type="dxa"/>
          <w:left w:w="108" w:type="dxa"/>
          <w:bottom w:w="0" w:type="dxa"/>
          <w:right w:w="108" w:type="dxa"/>
        </w:tblCellMar>
      </w:tblPr>
      <w:tblGrid>
        <w:gridCol w:w="3249"/>
        <w:gridCol w:w="5871"/>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基金名称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创金合信优选回报灵活配置混合型证券投资基金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创金合信优选回报混合</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基金主代码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005076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基金运作方式</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基金合同生效日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2017年09月27日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基金管理人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基金托管人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报告期末基金份额总额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392,914,844.06份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基金合同存续期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不定期</w:t>
            </w:r>
          </w:p>
        </w:tc>
      </w:tr>
    </w:tbl>
    <w:p>
      <w:pPr>
        <w:widowControl/>
        <w:jc w:val="left"/>
        <w:rPr>
          <w:rFonts w:hint="eastAsia" w:ascii="宋体" w:hAnsi="宋体" w:cs="宋体"/>
          <w:kern w:val="0"/>
          <w:sz w:val="24"/>
          <w:szCs w:val="24"/>
        </w:rPr>
      </w:pPr>
    </w:p>
    <w:p>
      <w:pPr>
        <w:pStyle w:val="17"/>
        <w:rPr>
          <w:rFonts w:hint="eastAsia"/>
        </w:rPr>
      </w:pPr>
      <w:bookmarkStart w:id="5" w:name="_Toc4172347"/>
      <w:r>
        <w:rPr>
          <w:rFonts w:hint="eastAsia"/>
          <w:b/>
          <w:bCs/>
        </w:rPr>
        <w:t>2.2 基金产品说明</w:t>
      </w:r>
      <w:bookmarkEnd w:id="5"/>
    </w:p>
    <w:tbl>
      <w:tblPr>
        <w:tblStyle w:val="10"/>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spacing w:before="0"/>
              <w:ind w:left="0" w:firstLine="480"/>
              <w:rPr>
                <w:rFonts w:hint="eastAsia"/>
              </w:rPr>
            </w:pPr>
            <w:r>
              <w:rPr>
                <w:rFonts w:hint="eastAsia"/>
              </w:rPr>
              <w:t>本基金在严格控制基金资产净值下行风险的基础上，追求基金资产净值的长期稳健增长。</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spacing w:before="0"/>
              <w:ind w:left="0" w:firstLine="480"/>
              <w:rPr>
                <w:rFonts w:hint="eastAsia"/>
              </w:rPr>
            </w:pPr>
            <w:r>
              <w:rPr>
                <w:rFonts w:hint="eastAsia"/>
              </w:rPr>
              <w:t>在大类资产配置上，本基金将通过对宏观经济环境、财政政策、货币政策、产业政策的分析和预测，判断宏观经济所处的经济周期及运行趋势，结合对资金供求状况、股票债券市场的估值水平以及市场情绪的分析，评估各类别资产的风险收益特征，并加以分析比较，采用定性和定量相结合的方法，形成对不同类别资产表现的预测，确定基金资产在股票、债券及货币市场工具等资产类别间的配置比例。</w:t>
            </w:r>
          </w:p>
          <w:p>
            <w:pPr>
              <w:pStyle w:val="23"/>
              <w:wordWrap w:val="0"/>
              <w:spacing w:before="0"/>
              <w:ind w:left="0" w:firstLine="480"/>
              <w:rPr>
                <w:rFonts w:hint="eastAsia"/>
              </w:rPr>
            </w:pPr>
            <w:r>
              <w:rPr>
                <w:rFonts w:hint="eastAsia"/>
              </w:rPr>
              <w:t>本基金将密切关注市场整体风险的变化以及各类别资产的风险收益的相对变化趋势，在严格控制基金风险敞口的前提下，根据敞口大小和资产风险水平动态调整各大类资产之间的配置比例，力争提高基金收益。</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spacing w:before="0"/>
              <w:ind w:left="0" w:firstLine="480"/>
              <w:rPr>
                <w:rFonts w:hint="eastAsia"/>
              </w:rPr>
            </w:pPr>
            <w:r>
              <w:rPr>
                <w:rFonts w:hint="eastAsia"/>
              </w:rPr>
              <w:t>沪深300指数收益率*30%+中债综合指数收益率*70%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spacing w:before="0"/>
              <w:ind w:left="0" w:firstLine="480"/>
              <w:rPr>
                <w:rFonts w:hint="eastAsia"/>
              </w:rPr>
            </w:pPr>
            <w:r>
              <w:rPr>
                <w:rFonts w:hint="eastAsia"/>
              </w:rPr>
              <w:t>本基金为混合型基金，其预期风险和预期收益水平高于债券型基金及货币市场基金，低于股票型基金。</w:t>
            </w:r>
          </w:p>
        </w:tc>
      </w:tr>
    </w:tbl>
    <w:p>
      <w:pPr>
        <w:widowControl/>
        <w:jc w:val="left"/>
        <w:rPr>
          <w:rFonts w:hint="eastAsia" w:ascii="宋体" w:hAnsi="宋体" w:cs="宋体"/>
          <w:kern w:val="0"/>
          <w:sz w:val="24"/>
          <w:szCs w:val="24"/>
        </w:rPr>
      </w:pPr>
    </w:p>
    <w:p>
      <w:pPr>
        <w:pStyle w:val="17"/>
        <w:rPr>
          <w:rFonts w:hint="eastAsia"/>
        </w:rPr>
      </w:pPr>
      <w:bookmarkStart w:id="6" w:name="_Toc4172348"/>
      <w:r>
        <w:rPr>
          <w:rFonts w:hint="eastAsia"/>
          <w:b/>
          <w:bCs/>
        </w:rPr>
        <w:t>2.3 基金管理人和基金托管人</w:t>
      </w:r>
      <w:bookmarkEnd w:id="6"/>
    </w:p>
    <w:tbl>
      <w:tblPr>
        <w:tblStyle w:val="10"/>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郭明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010-66105799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custody@icbc.com.cn</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95588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010-66105798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深圳市前海深港合作区前湾一路1号201室（入驻深圳市前海商务秘书有限公司）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100140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易会满</w:t>
            </w:r>
          </w:p>
        </w:tc>
      </w:tr>
    </w:tbl>
    <w:p>
      <w:pPr>
        <w:widowControl/>
        <w:jc w:val="left"/>
        <w:rPr>
          <w:rFonts w:hint="eastAsia" w:ascii="宋体" w:hAnsi="宋体" w:cs="宋体"/>
          <w:kern w:val="0"/>
          <w:sz w:val="24"/>
          <w:szCs w:val="24"/>
        </w:rPr>
      </w:pPr>
    </w:p>
    <w:p>
      <w:pPr>
        <w:pStyle w:val="17"/>
        <w:rPr>
          <w:rFonts w:hint="eastAsia"/>
        </w:rPr>
      </w:pPr>
      <w:bookmarkStart w:id="7" w:name="_Toc4172349"/>
      <w:r>
        <w:rPr>
          <w:rFonts w:hint="eastAsia"/>
          <w:b/>
          <w:bCs/>
        </w:rPr>
        <w:t>2.4 信息披露方式</w:t>
      </w:r>
      <w:bookmarkEnd w:id="7"/>
    </w:p>
    <w:tbl>
      <w:tblPr>
        <w:tblStyle w:val="10"/>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中国证券报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深圳市福田中心区福华一路115号投行大厦15层</w:t>
            </w:r>
          </w:p>
        </w:tc>
      </w:tr>
    </w:tbl>
    <w:p>
      <w:pPr>
        <w:pStyle w:val="23"/>
        <w:rPr>
          <w:rFonts w:hint="eastAsia"/>
        </w:rPr>
      </w:pPr>
      <w:r>
        <w:rPr>
          <w:rFonts w:hint="eastAsia"/>
        </w:rPr>
        <w:t>注：本基金自2019年1月19日起信息披露报纸由《中国证券报》、《证券时报》变更为《中国证券报》。</w:t>
      </w:r>
    </w:p>
    <w:p>
      <w:pPr>
        <w:widowControl/>
        <w:jc w:val="left"/>
        <w:rPr>
          <w:rFonts w:hint="eastAsia" w:ascii="宋体" w:hAnsi="宋体" w:cs="宋体"/>
          <w:kern w:val="0"/>
          <w:sz w:val="24"/>
          <w:szCs w:val="24"/>
        </w:rPr>
      </w:pPr>
    </w:p>
    <w:p>
      <w:pPr>
        <w:pStyle w:val="17"/>
        <w:rPr>
          <w:rFonts w:hint="eastAsia"/>
        </w:rPr>
      </w:pPr>
      <w:bookmarkStart w:id="8" w:name="_Toc4172350"/>
      <w:r>
        <w:rPr>
          <w:rFonts w:hint="eastAsia"/>
          <w:b/>
          <w:bCs/>
        </w:rPr>
        <w:t>2.5 其他相关资料</w:t>
      </w:r>
      <w:bookmarkEnd w:id="8"/>
    </w:p>
    <w:tbl>
      <w:tblPr>
        <w:tblStyle w:val="10"/>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16"/>
        <w:rPr>
          <w:rFonts w:hint="eastAsia"/>
        </w:rPr>
      </w:pPr>
      <w:bookmarkStart w:id="9" w:name="_Toc4172351"/>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7"/>
        <w:rPr>
          <w:rFonts w:hint="eastAsia"/>
        </w:rPr>
      </w:pPr>
      <w:bookmarkStart w:id="10" w:name="_Toc4172352"/>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10"/>
        <w:tblW w:w="9045" w:type="dxa"/>
        <w:tblInd w:w="108" w:type="dxa"/>
        <w:tblLayout w:type="autofit"/>
        <w:tblCellMar>
          <w:top w:w="0" w:type="dxa"/>
          <w:left w:w="108" w:type="dxa"/>
          <w:bottom w:w="0" w:type="dxa"/>
          <w:right w:w="108" w:type="dxa"/>
        </w:tblCellMar>
      </w:tblPr>
      <w:tblGrid>
        <w:gridCol w:w="3111"/>
        <w:gridCol w:w="1508"/>
        <w:gridCol w:w="4426"/>
      </w:tblGrid>
      <w:tr>
        <w:tblPrEx>
          <w:tblCellMar>
            <w:top w:w="0" w:type="dxa"/>
            <w:left w:w="108" w:type="dxa"/>
            <w:bottom w:w="0" w:type="dxa"/>
            <w:right w:w="108" w:type="dxa"/>
          </w:tblCellMar>
        </w:tblPrEx>
        <w:trPr>
          <w:wBefore w:w="0" w:type="auto"/>
        </w:trPr>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3.1.1 期间数据和指标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2018年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2017年09月27日（基金合同生效日）-2017年12月31日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-8,760,967.93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5,191,063.39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-44,382,024.54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1,131,964.06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-0.0973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0.0016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3.1.2 期末数据和指标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2018年末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2017年末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-38,816,936.73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940,195.25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-0.0988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0.0015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354,097,907.33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632,318,805.36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0.9012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1.0015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3.1.3 累计期末指标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2018年末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2017年末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0.15%</w:t>
            </w:r>
          </w:p>
        </w:tc>
      </w:tr>
    </w:tbl>
    <w:p>
      <w:pPr>
        <w:pStyle w:val="23"/>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4.本基金合同生效日为2017年9月27日,上年度可比期间的相关数据和指标按实际存续期计算。</w:t>
      </w:r>
    </w:p>
    <w:p>
      <w:pPr>
        <w:widowControl/>
        <w:jc w:val="left"/>
        <w:rPr>
          <w:rFonts w:hint="eastAsia" w:ascii="宋体" w:hAnsi="宋体" w:cs="宋体"/>
          <w:kern w:val="0"/>
          <w:sz w:val="24"/>
          <w:szCs w:val="24"/>
        </w:rPr>
      </w:pPr>
    </w:p>
    <w:p>
      <w:pPr>
        <w:pStyle w:val="17"/>
        <w:rPr>
          <w:rFonts w:hint="eastAsia"/>
        </w:rPr>
      </w:pPr>
      <w:bookmarkStart w:id="11" w:name="_Toc4172353"/>
      <w:r>
        <w:rPr>
          <w:rFonts w:hint="eastAsia"/>
          <w:b/>
          <w:bCs/>
        </w:rPr>
        <w:t>3.2 基金净值表现</w:t>
      </w:r>
      <w:bookmarkEnd w:id="11"/>
    </w:p>
    <w:p>
      <w:pPr>
        <w:pStyle w:val="18"/>
        <w:rPr>
          <w:rFonts w:hint="eastAsia"/>
        </w:rPr>
      </w:pPr>
      <w:r>
        <w:rPr>
          <w:rFonts w:hint="eastAsia"/>
          <w:b/>
          <w:bCs/>
        </w:rPr>
        <w:t>3.2.1 基金份额净值增长率及其与同期业绩比较基准收益率的比较</w:t>
      </w:r>
    </w:p>
    <w:tbl>
      <w:tblPr>
        <w:tblStyle w:val="10"/>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-4.01%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0.31%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0.18%</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-10.01%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0.52%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-4.88%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-5.13%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0.12%</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0.09%</w:t>
            </w:r>
          </w:p>
        </w:tc>
      </w:tr>
    </w:tbl>
    <w:p>
      <w:pPr>
        <w:widowControl/>
        <w:jc w:val="left"/>
        <w:rPr>
          <w:rFonts w:hint="eastAsia" w:ascii="宋体" w:hAnsi="宋体" w:cs="宋体"/>
          <w:kern w:val="0"/>
          <w:sz w:val="24"/>
          <w:szCs w:val="24"/>
        </w:rPr>
      </w:pPr>
    </w:p>
    <w:p>
      <w:pPr>
        <w:pStyle w:val="18"/>
        <w:rPr>
          <w:rFonts w:hint="eastAsia"/>
        </w:rPr>
      </w:pPr>
      <w:r>
        <w:rPr>
          <w:rFonts w:hint="eastAsia"/>
          <w:b/>
          <w:bCs/>
        </w:rPr>
        <w:t>3.2.2 自基金合同生效以来基金份额累计净值增长率变动及其与同期业绩比较基准收益率变动的比较</w:t>
      </w:r>
    </w:p>
    <w:p>
      <w:pPr>
        <w:pStyle w:val="20"/>
        <w:rPr>
          <w:rFonts w:hint="eastAsia"/>
        </w:rPr>
      </w:pPr>
      <w:r>
        <w:rPr>
          <w:rFonts w:hAnsi="Calibri"/>
          <w:color w:val="000000"/>
          <w:lang/>
        </w:rPr>
        <w:pict>
          <v:shape id="_x0000_i1025" o:spt="75" alt="D:\fcsc\HSFA\Bin\Bin\MOD\TMP\CN_50990000_005076_FB010010_20190002_1.jpg" type="#_x0000_t75" style="height:286.5pt;width:441pt;" filled="f" stroked="f" coordsize="21600,21600">
            <v:path/>
            <v:fill on="f" focussize="0,0"/>
            <v:stroke on="f"/>
            <v:imagedata r:id="rId7" grayscale="f" bilevel="f" o:title="CN_50990000_005076_FB010010_20190002_1"/>
            <o:lock v:ext="edit" grouping="f" rotation="f" aspectratio="t"/>
            <w10:wrap type="none"/>
            <w10:anchorlock/>
          </v:shape>
        </w:pict>
      </w:r>
    </w:p>
    <w:p>
      <w:pPr>
        <w:pStyle w:val="23"/>
        <w:rPr>
          <w:rFonts w:hint="eastAsia"/>
        </w:rPr>
      </w:pPr>
      <w:r>
        <w:rPr>
          <w:rFonts w:hint="eastAsia"/>
        </w:rPr>
        <w:t>注：本基金的合同生效日为2017年9月27日，本基金在6个月建仓期结束时，各项资产配置比例符合合同规定。</w:t>
      </w:r>
    </w:p>
    <w:p>
      <w:pPr>
        <w:widowControl/>
        <w:jc w:val="left"/>
        <w:rPr>
          <w:rFonts w:hint="eastAsia" w:ascii="宋体" w:hAnsi="宋体" w:cs="宋体"/>
          <w:kern w:val="0"/>
          <w:sz w:val="24"/>
          <w:szCs w:val="24"/>
        </w:rPr>
      </w:pPr>
    </w:p>
    <w:p>
      <w:pPr>
        <w:pStyle w:val="18"/>
        <w:rPr>
          <w:rFonts w:hint="eastAsia"/>
        </w:rPr>
      </w:pPr>
      <w:r>
        <w:rPr>
          <w:rFonts w:hint="eastAsia"/>
          <w:b/>
          <w:bCs/>
        </w:rPr>
        <w:t>3.2.3 自基金合同生效以来基金每年净值增长率及其与同期业绩比较基准收益率的比较</w:t>
      </w:r>
    </w:p>
    <w:p>
      <w:pPr>
        <w:pStyle w:val="20"/>
        <w:rPr>
          <w:rFonts w:hint="eastAsia"/>
        </w:rPr>
      </w:pPr>
      <w:r>
        <w:rPr>
          <w:rFonts w:hAnsi="Calibri"/>
          <w:color w:val="000000"/>
          <w:lang/>
        </w:rPr>
        <w:pict>
          <v:shape id="_x0000_i1026" o:spt="75" alt="D:\fcsc\HSFA\Bin\Bin\MOD\TMP\CN_50990000_005076_FB010010_20190002_3.jpg" type="#_x0000_t75" style="height:286.5pt;width:441pt;" filled="f" stroked="f" coordsize="21600,21600">
            <v:path/>
            <v:fill on="f" focussize="0,0"/>
            <v:stroke on="f"/>
            <v:imagedata r:id="rId8" grayscale="f" bilevel="f" o:title="CN_50990000_005076_FB010010_20190002_3"/>
            <o:lock v:ext="edit" grouping="f" rotation="f" aspectratio="t"/>
            <w10:wrap type="none"/>
            <w10:anchorlock/>
          </v:shape>
        </w:pict>
      </w:r>
    </w:p>
    <w:p>
      <w:pPr>
        <w:widowControl/>
        <w:jc w:val="left"/>
        <w:rPr>
          <w:rFonts w:hint="eastAsia" w:ascii="宋体" w:hAnsi="宋体" w:cs="宋体"/>
          <w:kern w:val="0"/>
          <w:sz w:val="24"/>
          <w:szCs w:val="24"/>
        </w:rPr>
      </w:pPr>
    </w:p>
    <w:p>
      <w:pPr>
        <w:pStyle w:val="17"/>
        <w:rPr>
          <w:rFonts w:hint="eastAsia"/>
        </w:rPr>
      </w:pPr>
      <w:bookmarkStart w:id="12" w:name="_Toc4172354"/>
      <w:r>
        <w:rPr>
          <w:rFonts w:hint="eastAsia" w:hAnsi="Calibri"/>
          <w:b/>
          <w:color w:val="000000"/>
        </w:rPr>
        <w:t>3.3 过去三年基金的利润分配情况</w:t>
      </w:r>
      <w:bookmarkEnd w:id="12"/>
    </w:p>
    <w:p>
      <w:pPr>
        <w:pStyle w:val="23"/>
        <w:rPr>
          <w:rFonts w:hint="eastAsia"/>
        </w:rPr>
      </w:pPr>
      <w:r>
        <w:rPr>
          <w:rFonts w:hint="eastAsia"/>
        </w:rPr>
        <w:t>本基金自基金合同生效日（2017年9月27日）至本报告期末未发生利润分配。</w:t>
      </w:r>
    </w:p>
    <w:p>
      <w:pPr>
        <w:widowControl/>
        <w:jc w:val="left"/>
        <w:rPr>
          <w:rFonts w:hint="eastAsia" w:ascii="宋体" w:hAnsi="宋体" w:cs="宋体"/>
          <w:kern w:val="0"/>
          <w:sz w:val="24"/>
          <w:szCs w:val="24"/>
        </w:rPr>
      </w:pPr>
    </w:p>
    <w:p>
      <w:pPr>
        <w:pStyle w:val="16"/>
        <w:rPr>
          <w:rFonts w:hint="eastAsia"/>
        </w:rPr>
      </w:pPr>
      <w:bookmarkStart w:id="13" w:name="_Toc4172355"/>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7"/>
        <w:rPr>
          <w:rFonts w:hint="eastAsia"/>
        </w:rPr>
      </w:pPr>
      <w:bookmarkStart w:id="14" w:name="_Toc4172356"/>
      <w:r>
        <w:rPr>
          <w:rFonts w:hint="eastAsia"/>
          <w:b/>
          <w:bCs/>
        </w:rPr>
        <w:t>4.1 基金管理人及基金经理情况</w:t>
      </w:r>
      <w:bookmarkEnd w:id="14"/>
    </w:p>
    <w:p>
      <w:pPr>
        <w:pStyle w:val="18"/>
        <w:rPr>
          <w:rFonts w:hint="eastAsia"/>
        </w:rPr>
      </w:pPr>
      <w:r>
        <w:rPr>
          <w:rFonts w:hint="eastAsia"/>
          <w:b/>
          <w:bCs/>
        </w:rPr>
        <w:t>4.1.1 基金管理人及其管理基金的经验</w:t>
      </w:r>
    </w:p>
    <w:p>
      <w:pPr>
        <w:pStyle w:val="23"/>
        <w:spacing w:before="0"/>
        <w:ind w:left="0" w:firstLine="480"/>
        <w:rPr>
          <w:rFonts w:hint="eastAsia"/>
        </w:rPr>
      </w:pPr>
      <w:r>
        <w:rPr>
          <w:rFonts w:hint="eastAsia"/>
        </w:rPr>
        <w:t>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p>
    <w:p>
      <w:pPr>
        <w:pStyle w:val="23"/>
        <w:spacing w:before="0"/>
        <w:ind w:left="0" w:firstLine="480"/>
        <w:rPr>
          <w:rFonts w:hint="eastAsia"/>
        </w:rPr>
      </w:pPr>
      <w:r>
        <w:rPr>
          <w:rFonts w:hint="eastAsia"/>
        </w:rPr>
        <w:t>公司始终坚持"客户利益至上"，致力于为客户实现长期稳定的投资回报，做客户投资理财的亲密伙伴。</w:t>
      </w:r>
    </w:p>
    <w:p>
      <w:pPr>
        <w:pStyle w:val="23"/>
        <w:spacing w:before="0"/>
        <w:ind w:left="0" w:firstLine="480"/>
        <w:rPr>
          <w:rFonts w:hint="eastAsia"/>
        </w:rPr>
      </w:pPr>
      <w:r>
        <w:rPr>
          <w:rFonts w:hint="eastAsia"/>
        </w:rPr>
        <w:t>报告期内，本公司共发行11只公募基金。截至2018年12月31日，本公司共管理39只公募基金，其中混合型产品9只、指数型产品8只、债券型产品12只、股票型产品9只、货币型产品1只；管理的公募基金规模约150.47亿元。</w:t>
      </w:r>
    </w:p>
    <w:p>
      <w:pPr>
        <w:widowControl/>
        <w:jc w:val="left"/>
        <w:rPr>
          <w:rFonts w:hint="eastAsia" w:ascii="宋体" w:hAnsi="宋体" w:cs="宋体"/>
          <w:kern w:val="0"/>
          <w:sz w:val="24"/>
          <w:szCs w:val="24"/>
        </w:rPr>
      </w:pPr>
    </w:p>
    <w:p>
      <w:pPr>
        <w:pStyle w:val="18"/>
        <w:rPr>
          <w:rFonts w:hint="eastAsia"/>
        </w:rPr>
      </w:pPr>
      <w:r>
        <w:rPr>
          <w:rFonts w:hint="eastAsia"/>
          <w:b/>
          <w:bCs/>
        </w:rPr>
        <w:t>4.1.2 基金经理（或基金经理小组）及基金经理助理简介</w:t>
      </w:r>
    </w:p>
    <w:tbl>
      <w:tblPr>
        <w:tblStyle w:val="10"/>
        <w:tblW w:w="0" w:type="auto"/>
        <w:tblInd w:w="108" w:type="dxa"/>
        <w:tblLayout w:type="autofit"/>
        <w:tblCellMar>
          <w:top w:w="0" w:type="dxa"/>
          <w:left w:w="108" w:type="dxa"/>
          <w:bottom w:w="0" w:type="dxa"/>
          <w:right w:w="108" w:type="dxa"/>
        </w:tblCellMar>
      </w:tblPr>
      <w:tblGrid>
        <w:gridCol w:w="920"/>
        <w:gridCol w:w="2943"/>
        <w:gridCol w:w="920"/>
        <w:gridCol w:w="920"/>
        <w:gridCol w:w="552"/>
        <w:gridCol w:w="2943"/>
      </w:tblGrid>
      <w:tr>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姓名</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职务</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任本基金的基金经理（助理）期限</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证券从业年限</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任职日期</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陈玉辉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本基金基金经理、投资一部总监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2017-09-27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陈玉辉先生，中国国籍，经济学硕士，2003年6月加入新疆证券有限责任公司，从事石化行业研究；2005年度获中央电视台、中国证券报联合评选的首届"全国十佳证券分析师"。2006年1月加入东方证券股份有限公司研究所，任化工行业研究员。2008年3月加入招商基金管理有限公司，历任研究部副总监、总监，并于2012年11月14日至2015年4月10日担任招商大盘蓝筹股票型证券投资基金的基金经理。2015年7月任创金合信基金管理有限公司投资一部总监、基金经理。</w:t>
            </w:r>
          </w:p>
        </w:tc>
      </w:tr>
    </w:tbl>
    <w:p>
      <w:pPr>
        <w:pStyle w:val="23"/>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widowControl/>
        <w:jc w:val="left"/>
        <w:rPr>
          <w:rFonts w:hint="eastAsia" w:ascii="宋体" w:hAnsi="宋体" w:cs="宋体"/>
          <w:kern w:val="0"/>
          <w:sz w:val="24"/>
          <w:szCs w:val="24"/>
        </w:rPr>
      </w:pPr>
    </w:p>
    <w:p>
      <w:pPr>
        <w:pStyle w:val="17"/>
        <w:rPr>
          <w:rFonts w:hint="eastAsia"/>
        </w:rPr>
      </w:pPr>
      <w:bookmarkStart w:id="15" w:name="_Toc4172357"/>
      <w:r>
        <w:rPr>
          <w:rFonts w:hint="eastAsia" w:hAnsi="Calibri"/>
          <w:b/>
          <w:color w:val="000000"/>
        </w:rPr>
        <w:t>4.2 管理人对报告期内本基金运作遵规守信情况的说明</w:t>
      </w:r>
      <w:bookmarkEnd w:id="15"/>
    </w:p>
    <w:p>
      <w:pPr>
        <w:pStyle w:val="23"/>
        <w:spacing w:before="0"/>
        <w:ind w:left="0" w:firstLine="480"/>
        <w:rPr>
          <w:rFonts w:hint="eastAsia" w:hAnsi="Calibri"/>
          <w:color w:val="000000"/>
        </w:rPr>
      </w:pPr>
      <w:r>
        <w:rPr>
          <w:rFonts w:hint="eastAsia" w:hAnsi="Calibri"/>
          <w:color w:val="000000"/>
        </w:rPr>
        <w:t>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p>
    <w:p>
      <w:pPr>
        <w:widowControl/>
        <w:jc w:val="left"/>
        <w:rPr>
          <w:rFonts w:hint="eastAsia" w:ascii="宋体" w:hAnsi="宋体" w:cs="宋体"/>
          <w:kern w:val="0"/>
          <w:sz w:val="24"/>
          <w:szCs w:val="24"/>
        </w:rPr>
      </w:pPr>
    </w:p>
    <w:p>
      <w:pPr>
        <w:pStyle w:val="17"/>
        <w:rPr>
          <w:rFonts w:hint="eastAsia"/>
        </w:rPr>
      </w:pPr>
      <w:bookmarkStart w:id="16" w:name="_Toc4172358"/>
      <w:r>
        <w:rPr>
          <w:rFonts w:hint="eastAsia" w:hAnsi="Calibri"/>
          <w:b/>
          <w:color w:val="000000"/>
        </w:rPr>
        <w:t>4.3 管理人对报告期内公平交易情况的专项说明</w:t>
      </w:r>
      <w:bookmarkEnd w:id="16"/>
    </w:p>
    <w:p>
      <w:pPr>
        <w:pStyle w:val="18"/>
        <w:rPr>
          <w:rFonts w:hint="eastAsia"/>
        </w:rPr>
      </w:pPr>
      <w:r>
        <w:rPr>
          <w:rFonts w:hint="eastAsia" w:hAnsi="Calibri"/>
          <w:b/>
          <w:color w:val="000000"/>
        </w:rPr>
        <w:t>4.3.1 公平交易制度和控制方法</w:t>
      </w:r>
    </w:p>
    <w:p>
      <w:pPr>
        <w:pStyle w:val="23"/>
        <w:spacing w:before="0"/>
        <w:ind w:left="0" w:firstLine="480"/>
        <w:rPr>
          <w:rFonts w:hint="eastAsia" w:hAnsi="Calibri"/>
          <w:color w:val="000000"/>
        </w:rPr>
      </w:pPr>
      <w:r>
        <w:rPr>
          <w:rFonts w:hint="eastAsia" w:hAnsi="Calibri"/>
          <w:color w:val="000000"/>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pStyle w:val="23"/>
        <w:spacing w:before="0"/>
        <w:ind w:left="0" w:firstLine="480"/>
        <w:rPr>
          <w:rFonts w:hint="eastAsia" w:hAnsi="Calibri"/>
          <w:color w:val="000000"/>
        </w:rPr>
      </w:pPr>
      <w:r>
        <w:rPr>
          <w:rFonts w:hint="eastAsia" w:hAnsi="Calibri"/>
          <w:color w:val="000000"/>
        </w:rPr>
        <w:t>1、授权、研究分析与投资决策的内部控制</w:t>
      </w:r>
    </w:p>
    <w:p>
      <w:pPr>
        <w:pStyle w:val="23"/>
        <w:spacing w:before="0"/>
        <w:ind w:left="0" w:firstLine="480"/>
        <w:rPr>
          <w:rFonts w:hint="eastAsia" w:hAnsi="Calibri"/>
          <w:color w:val="000000"/>
        </w:rPr>
      </w:pPr>
      <w:r>
        <w:rPr>
          <w:rFonts w:hint="eastAsia" w:hAnsi="Calibri"/>
          <w:color w:val="000000"/>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pStyle w:val="23"/>
        <w:spacing w:before="0"/>
        <w:ind w:left="0" w:firstLine="480"/>
        <w:rPr>
          <w:rFonts w:hint="eastAsia" w:hAnsi="Calibri"/>
          <w:color w:val="000000"/>
        </w:rPr>
      </w:pPr>
      <w:r>
        <w:rPr>
          <w:rFonts w:hint="eastAsia" w:hAnsi="Calibri"/>
          <w:color w:val="000000"/>
        </w:rPr>
        <w:t>2、交易执行的内部控制</w:t>
      </w:r>
    </w:p>
    <w:p>
      <w:pPr>
        <w:pStyle w:val="23"/>
        <w:spacing w:before="0"/>
        <w:ind w:left="0" w:firstLine="480"/>
        <w:rPr>
          <w:rFonts w:hint="eastAsia" w:hAnsi="Calibri"/>
          <w:color w:val="000000"/>
        </w:rPr>
      </w:pPr>
      <w:r>
        <w:rPr>
          <w:rFonts w:hint="eastAsia" w:hAnsi="Calibri"/>
          <w:color w:val="000000"/>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pStyle w:val="23"/>
        <w:spacing w:before="0"/>
        <w:ind w:left="0" w:firstLine="480"/>
        <w:rPr>
          <w:rFonts w:hint="eastAsia" w:hAnsi="Calibri"/>
          <w:color w:val="000000"/>
        </w:rPr>
      </w:pPr>
      <w:r>
        <w:rPr>
          <w:rFonts w:hint="eastAsia" w:hAnsi="Calibri"/>
          <w:color w:val="000000"/>
        </w:rPr>
        <w:t>3、交易指令分配的控制</w:t>
      </w:r>
    </w:p>
    <w:p>
      <w:pPr>
        <w:pStyle w:val="23"/>
        <w:spacing w:before="0"/>
        <w:ind w:left="0" w:firstLine="480"/>
        <w:rPr>
          <w:rFonts w:hint="eastAsia" w:hAnsi="Calibri"/>
          <w:color w:val="000000"/>
        </w:rPr>
      </w:pPr>
      <w:r>
        <w:rPr>
          <w:rFonts w:hint="eastAsia" w:hAnsi="Calibri"/>
          <w:color w:val="000000"/>
        </w:rPr>
        <w:t>所有投资对象的投资指令必须经由交易室总监或其授权人审核后分配至交易员执行。</w:t>
      </w:r>
    </w:p>
    <w:p>
      <w:pPr>
        <w:pStyle w:val="23"/>
        <w:spacing w:before="0"/>
        <w:ind w:left="0" w:firstLine="480"/>
        <w:rPr>
          <w:rFonts w:hint="eastAsia" w:hAnsi="Calibri"/>
          <w:color w:val="000000"/>
        </w:rPr>
      </w:pPr>
      <w:r>
        <w:rPr>
          <w:rFonts w:hint="eastAsia" w:hAnsi="Calibri"/>
          <w:color w:val="000000"/>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pStyle w:val="23"/>
        <w:spacing w:before="0"/>
        <w:ind w:left="0" w:firstLine="480"/>
        <w:rPr>
          <w:rFonts w:hint="eastAsia" w:hAnsi="Calibri"/>
          <w:color w:val="000000"/>
        </w:rPr>
      </w:pPr>
      <w:r>
        <w:rPr>
          <w:rFonts w:hint="eastAsia" w:hAnsi="Calibri"/>
          <w:color w:val="000000"/>
        </w:rPr>
        <w:t>4、公平交易监控</w:t>
      </w:r>
    </w:p>
    <w:p>
      <w:pPr>
        <w:pStyle w:val="23"/>
        <w:spacing w:before="0"/>
        <w:ind w:left="0" w:firstLine="480"/>
        <w:rPr>
          <w:rFonts w:hint="eastAsia"/>
        </w:rPr>
      </w:pPr>
      <w:r>
        <w:rPr>
          <w:rFonts w:hint="eastAsia" w:hAnsi="Calibri"/>
          <w:color w:val="000000"/>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8"/>
        <w:rPr>
          <w:rFonts w:hint="eastAsia"/>
        </w:rPr>
      </w:pPr>
      <w:r>
        <w:rPr>
          <w:rFonts w:hint="eastAsia" w:hAnsi="Calibri"/>
          <w:b/>
          <w:color w:val="000000"/>
        </w:rPr>
        <w:t>4.3.2 公平交易制度的执行情况</w:t>
      </w:r>
    </w:p>
    <w:p>
      <w:pPr>
        <w:pStyle w:val="23"/>
        <w:spacing w:before="0"/>
        <w:ind w:left="0" w:firstLine="480"/>
        <w:rPr>
          <w:rFonts w:hint="eastAsia"/>
        </w:rPr>
      </w:pPr>
      <w:r>
        <w:rPr>
          <w:rFonts w:hint="eastAsia" w:hAnsi="Calibri"/>
          <w:color w:val="000000"/>
        </w:rPr>
        <w:t>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8"/>
        <w:rPr>
          <w:rFonts w:hint="eastAsia"/>
        </w:rPr>
      </w:pPr>
      <w:r>
        <w:rPr>
          <w:rFonts w:hint="eastAsia" w:hAnsi="Calibri"/>
          <w:b/>
          <w:color w:val="000000"/>
        </w:rPr>
        <w:t>4.3.3 异常交易行为的专项说明</w:t>
      </w:r>
    </w:p>
    <w:p>
      <w:pPr>
        <w:pStyle w:val="23"/>
        <w:spacing w:before="0"/>
        <w:ind w:left="0" w:firstLine="480"/>
        <w:rPr>
          <w:rFonts w:hint="eastAsia"/>
        </w:rPr>
      </w:pPr>
      <w:r>
        <w:rPr>
          <w:rFonts w:hint="eastAsia" w:hAnsi="Calibri"/>
          <w:color w:val="000000"/>
        </w:rPr>
        <w:t>本报告期内，未发现本基金有可能导致不公平交易和利益输送的异常交易。</w:t>
      </w:r>
    </w:p>
    <w:p>
      <w:pPr>
        <w:widowControl/>
        <w:jc w:val="left"/>
        <w:rPr>
          <w:rFonts w:hint="eastAsia" w:ascii="宋体" w:hAnsi="宋体" w:cs="宋体"/>
          <w:kern w:val="0"/>
          <w:sz w:val="24"/>
          <w:szCs w:val="24"/>
        </w:rPr>
      </w:pPr>
    </w:p>
    <w:p>
      <w:pPr>
        <w:pStyle w:val="17"/>
        <w:rPr>
          <w:rFonts w:hint="eastAsia"/>
        </w:rPr>
      </w:pPr>
      <w:bookmarkStart w:id="17" w:name="_Toc4172359"/>
      <w:r>
        <w:rPr>
          <w:rFonts w:hint="eastAsia" w:hAnsi="Calibri"/>
          <w:b/>
          <w:color w:val="000000"/>
        </w:rPr>
        <w:t>4.4 管理人对报告期内基金的投资策略和业绩表现的说明</w:t>
      </w:r>
      <w:bookmarkEnd w:id="17"/>
    </w:p>
    <w:p>
      <w:pPr>
        <w:pStyle w:val="18"/>
        <w:rPr>
          <w:rFonts w:hint="eastAsia"/>
        </w:rPr>
      </w:pPr>
      <w:r>
        <w:rPr>
          <w:rFonts w:hint="eastAsia" w:hAnsi="Calibri"/>
          <w:b/>
          <w:color w:val="000000"/>
        </w:rPr>
        <w:t>4.4.1 报告期内基金投资策略和运作分析</w:t>
      </w:r>
    </w:p>
    <w:p>
      <w:pPr>
        <w:pStyle w:val="23"/>
        <w:spacing w:before="0"/>
        <w:ind w:left="0" w:firstLine="480"/>
        <w:rPr>
          <w:rFonts w:hint="eastAsia"/>
        </w:rPr>
      </w:pPr>
      <w:r>
        <w:rPr>
          <w:rFonts w:hint="eastAsia" w:hAnsi="Calibri"/>
          <w:color w:val="000000"/>
        </w:rPr>
        <w:t>2018年市场呈现普跌走势，上证50、沪深300、中证2000、创业板指等代表性大中小市值风格年度跌幅均达到20%以上，中小板指数跌幅达到38%。如上一年度策略所述，2018年保持了相对防御的仓位和配置策略，基金组合全年维持了低市净率、低市值、国企股风格配置。</w:t>
      </w:r>
    </w:p>
    <w:p>
      <w:pPr>
        <w:widowControl/>
        <w:jc w:val="left"/>
        <w:rPr>
          <w:rFonts w:hint="eastAsia" w:ascii="宋体" w:hAnsi="宋体" w:cs="宋体"/>
          <w:kern w:val="0"/>
          <w:sz w:val="24"/>
          <w:szCs w:val="24"/>
        </w:rPr>
      </w:pPr>
    </w:p>
    <w:p>
      <w:pPr>
        <w:pStyle w:val="18"/>
        <w:rPr>
          <w:rFonts w:hint="eastAsia"/>
        </w:rPr>
      </w:pPr>
      <w:r>
        <w:rPr>
          <w:rFonts w:hint="eastAsia" w:hAnsi="Calibri"/>
          <w:b/>
          <w:color w:val="000000"/>
        </w:rPr>
        <w:t>4.4.2 报告期内基金的业绩表现</w:t>
      </w:r>
    </w:p>
    <w:p>
      <w:pPr>
        <w:pStyle w:val="23"/>
        <w:spacing w:before="0"/>
        <w:ind w:left="0" w:firstLine="480"/>
        <w:rPr>
          <w:rFonts w:hint="eastAsia"/>
        </w:rPr>
      </w:pPr>
      <w:r>
        <w:rPr>
          <w:rFonts w:hint="eastAsia" w:hAnsi="Calibri"/>
          <w:color w:val="000000"/>
        </w:rPr>
        <w:t>截至报告期末创金合信优选回报混合基金份额净值为0.9012元，本报告期内，基金份额净值增长率为-10.01%，同期业绩比较基准收益率为-4.88%。</w:t>
      </w:r>
    </w:p>
    <w:p>
      <w:pPr>
        <w:widowControl/>
        <w:jc w:val="left"/>
        <w:rPr>
          <w:rFonts w:hint="eastAsia" w:ascii="宋体" w:hAnsi="宋体" w:cs="宋体"/>
          <w:kern w:val="0"/>
          <w:sz w:val="24"/>
          <w:szCs w:val="24"/>
        </w:rPr>
      </w:pPr>
    </w:p>
    <w:p>
      <w:pPr>
        <w:pStyle w:val="17"/>
        <w:rPr>
          <w:rFonts w:hint="eastAsia"/>
        </w:rPr>
      </w:pPr>
      <w:bookmarkStart w:id="18" w:name="_Toc4172360"/>
      <w:r>
        <w:rPr>
          <w:rFonts w:hint="eastAsia" w:hAnsi="Calibri"/>
          <w:b/>
          <w:color w:val="000000"/>
        </w:rPr>
        <w:t>4.5 管理人对宏观经济、证券市场及行业走势的简要展望</w:t>
      </w:r>
      <w:bookmarkEnd w:id="18"/>
    </w:p>
    <w:p>
      <w:pPr>
        <w:pStyle w:val="23"/>
        <w:spacing w:before="0"/>
        <w:ind w:left="0" w:firstLine="480"/>
        <w:rPr>
          <w:rFonts w:hint="eastAsia" w:hAnsi="Calibri"/>
          <w:color w:val="000000"/>
        </w:rPr>
      </w:pPr>
      <w:r>
        <w:rPr>
          <w:rFonts w:hint="eastAsia" w:hAnsi="Calibri"/>
          <w:color w:val="000000"/>
        </w:rPr>
        <w:t>作为三年去杠杆任务的第一年，股票市场2018年提前反映了各领域信用扩张透支和未来的信用内、外生紧缩在实体领域的预期。随着未来两年去杠杆金融政策的深化，实体各领域将陆续确认周期性波动的影响。在以房地产为首的各类资产价格跟随股票市场出现显著下跌前，信用周期仍将处于收缩初始阶段，在此之前应当警惕未来可能出现的资产价格连锁反应，等待信用周期性波动预期兑现和其它资产领域靴子陆续落地。</w:t>
      </w:r>
    </w:p>
    <w:p>
      <w:pPr>
        <w:pStyle w:val="23"/>
        <w:spacing w:before="0"/>
        <w:ind w:left="0" w:firstLine="480"/>
        <w:rPr>
          <w:rFonts w:hint="eastAsia"/>
        </w:rPr>
      </w:pPr>
      <w:r>
        <w:rPr>
          <w:rFonts w:hint="eastAsia" w:hAnsi="Calibri"/>
          <w:color w:val="000000"/>
        </w:rPr>
        <w:t>在国内三年去杠杆宏观政策和国际美元加息缩表、贸易环境恶化影响下，市场出现整体性机会的概率较小，可能阶段性出现局部板块、主题性活跃行情。未来投资中仍然坚持底线思维，将风险和回撤控制放在重要位置，预防市场趋势陷阱、估值陷阱和流动性陷阱。以相对低仓位控制系统性风险和预留逢低买入的仓位机会，组合策略上采取大/小市值、高/低贝塔结合的哑铃型策略，个股方面坚持"三低"选股策略，采取逢低买入向下风险小、低估值、低涨幅个股的类看涨期权补仓策略，重点关注国家关于国企尽快降杠杆政策导向下国企改革个性化基本面反转机会。</w:t>
      </w:r>
    </w:p>
    <w:p>
      <w:pPr>
        <w:widowControl/>
        <w:jc w:val="left"/>
        <w:rPr>
          <w:rFonts w:hint="eastAsia" w:ascii="宋体" w:hAnsi="宋体" w:cs="宋体"/>
          <w:kern w:val="0"/>
          <w:sz w:val="24"/>
          <w:szCs w:val="24"/>
        </w:rPr>
      </w:pPr>
    </w:p>
    <w:p>
      <w:pPr>
        <w:pStyle w:val="17"/>
        <w:rPr>
          <w:rFonts w:hint="eastAsia"/>
        </w:rPr>
      </w:pPr>
      <w:bookmarkStart w:id="19" w:name="_Toc4172361"/>
      <w:r>
        <w:rPr>
          <w:rFonts w:hint="eastAsia" w:hAnsi="Calibri"/>
          <w:b/>
          <w:color w:val="000000"/>
        </w:rPr>
        <w:t>4.6 管理人内部有关本基金的监察稽核工作情况</w:t>
      </w:r>
      <w:bookmarkEnd w:id="19"/>
    </w:p>
    <w:p>
      <w:pPr>
        <w:pStyle w:val="23"/>
        <w:spacing w:before="0"/>
        <w:ind w:left="0" w:firstLine="480"/>
        <w:rPr>
          <w:rFonts w:hint="eastAsia"/>
        </w:rPr>
      </w:pPr>
      <w:r>
        <w:rPr>
          <w:rFonts w:hint="eastAsia"/>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pStyle w:val="23"/>
        <w:spacing w:before="0"/>
        <w:ind w:left="0" w:firstLine="480"/>
        <w:rPr>
          <w:rFonts w:hint="eastAsia"/>
        </w:rPr>
      </w:pPr>
      <w:r>
        <w:rPr>
          <w:rFonts w:hint="eastAsia"/>
        </w:rPr>
        <w:t>本报告期内，本基金管理人的主要内部监察稽核工作如下：</w:t>
      </w:r>
    </w:p>
    <w:p>
      <w:pPr>
        <w:pStyle w:val="23"/>
        <w:spacing w:before="0"/>
        <w:ind w:left="0" w:firstLine="480"/>
        <w:rPr>
          <w:rFonts w:hint="eastAsia"/>
        </w:rPr>
      </w:pPr>
      <w:r>
        <w:rPr>
          <w:rFonts w:hint="eastAsia"/>
        </w:rPr>
        <w:t>（1）开展全面自查工作，排查各项业务活动中存在的问题或潜在的风险隐患，制定整改计划，并督促按计划完成整改；</w:t>
      </w:r>
    </w:p>
    <w:p>
      <w:pPr>
        <w:pStyle w:val="23"/>
        <w:spacing w:before="0"/>
        <w:ind w:left="0" w:firstLine="480"/>
        <w:rPr>
          <w:rFonts w:hint="eastAsia"/>
        </w:rPr>
      </w:pPr>
      <w:r>
        <w:rPr>
          <w:rFonts w:hint="eastAsia"/>
        </w:rPr>
        <w:t>（2）开展公司专项稽核工作，了解合规风险现状、发现薄弱环节，并持续督导改进；</w:t>
      </w:r>
    </w:p>
    <w:p>
      <w:pPr>
        <w:pStyle w:val="23"/>
        <w:spacing w:before="0"/>
        <w:ind w:left="0" w:firstLine="480"/>
        <w:rPr>
          <w:rFonts w:hint="eastAsia"/>
        </w:rPr>
      </w:pPr>
      <w:r>
        <w:rPr>
          <w:rFonts w:hint="eastAsia"/>
        </w:rPr>
        <w:t>（3）强化合规法务工作。严格审核公司业务、产品及其合同等法律文件，解读最新的法律法规，发布合规提示或警示，举办合规培训；</w:t>
      </w:r>
    </w:p>
    <w:p>
      <w:pPr>
        <w:pStyle w:val="23"/>
        <w:spacing w:before="0"/>
        <w:ind w:left="0" w:firstLine="480"/>
        <w:rPr>
          <w:rFonts w:hint="eastAsia"/>
        </w:rPr>
      </w:pPr>
      <w:r>
        <w:rPr>
          <w:rFonts w:hint="eastAsia"/>
        </w:rPr>
        <w:t>（4）建立健全全面风险管理体系。全面梳理各业务部门的职责与权限，理顺工作流程；同时加强权限管理，健全事前、事中和事后的风险管理体系；</w:t>
      </w:r>
    </w:p>
    <w:p>
      <w:pPr>
        <w:pStyle w:val="23"/>
        <w:spacing w:before="0"/>
        <w:ind w:left="0" w:firstLine="480"/>
        <w:rPr>
          <w:rFonts w:hint="eastAsia"/>
        </w:rPr>
      </w:pPr>
      <w:r>
        <w:rPr>
          <w:rFonts w:hint="eastAsia"/>
        </w:rPr>
        <w:t>（5）完善信息披露工作。修订完善《信息披露制度》等制度，建立统一规范信息披露流程，明确各部门信息披露的职责分工，及时履行信息披露工作；</w:t>
      </w:r>
    </w:p>
    <w:p>
      <w:pPr>
        <w:pStyle w:val="23"/>
        <w:spacing w:before="0"/>
        <w:ind w:left="0" w:firstLine="480"/>
        <w:rPr>
          <w:rFonts w:hint="eastAsia"/>
        </w:rPr>
      </w:pPr>
      <w:r>
        <w:rPr>
          <w:rFonts w:hint="eastAsia"/>
        </w:rPr>
        <w:t>（6）加强关联交易管理。修订《关联交易管理制度》，履行关联交易决策审批程序；</w:t>
      </w:r>
    </w:p>
    <w:p>
      <w:pPr>
        <w:pStyle w:val="23"/>
        <w:spacing w:before="0"/>
        <w:ind w:left="0" w:firstLine="480"/>
        <w:rPr>
          <w:rFonts w:hint="eastAsia"/>
        </w:rPr>
      </w:pPr>
      <w:r>
        <w:rPr>
          <w:rFonts w:hint="eastAsia"/>
        </w:rPr>
        <w:t>（7）建立内幕交易防控机制。公司建立了《内幕交易防控管理办法》，定期开展关于防止内幕交易的合规培训，严防内幕信息传递和内幕交易发生；</w:t>
      </w:r>
    </w:p>
    <w:p>
      <w:pPr>
        <w:pStyle w:val="23"/>
        <w:spacing w:before="0"/>
        <w:ind w:left="0" w:firstLine="480"/>
        <w:rPr>
          <w:rFonts w:hint="eastAsia"/>
        </w:rPr>
      </w:pPr>
      <w:r>
        <w:rPr>
          <w:rFonts w:hint="eastAsia"/>
        </w:rPr>
        <w:t>（8）建立健全公平交易与异常交易管理机制。严格按照法律法规以及公司《公平交易制度》、《异常交易监控与管理制度》的要求，对所管理的不同投资组合之间发生的同向交易和反向交易进行监控，严格禁止同一投资组合在同一交易日内进行反向交易及其他可能导致不公平交易和利益输送的交易行为；</w:t>
      </w:r>
    </w:p>
    <w:p>
      <w:pPr>
        <w:pStyle w:val="23"/>
        <w:spacing w:before="0"/>
        <w:ind w:left="0" w:firstLine="480"/>
        <w:rPr>
          <w:rFonts w:hint="eastAsia"/>
        </w:rPr>
      </w:pPr>
      <w:r>
        <w:rPr>
          <w:rFonts w:hint="eastAsia"/>
        </w:rPr>
        <w:t>（9）建立员工投资行为管理机制，规范员工的证券投资行为。</w:t>
      </w:r>
    </w:p>
    <w:p>
      <w:pPr>
        <w:pStyle w:val="23"/>
        <w:spacing w:before="0"/>
        <w:ind w:left="0" w:firstLine="480"/>
        <w:rPr>
          <w:rFonts w:hint="eastAsia"/>
        </w:rPr>
      </w:pPr>
      <w:r>
        <w:rPr>
          <w:rFonts w:hint="eastAsia"/>
        </w:rPr>
        <w:t>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7"/>
        <w:rPr>
          <w:rFonts w:hint="eastAsia"/>
        </w:rPr>
      </w:pPr>
      <w:bookmarkStart w:id="20" w:name="_Toc4172362"/>
      <w:r>
        <w:rPr>
          <w:rFonts w:hint="eastAsia" w:hAnsi="Calibri"/>
          <w:b/>
          <w:color w:val="000000"/>
        </w:rPr>
        <w:t>4.7 管理人对报告期内基金估值程序等事项的说明</w:t>
      </w:r>
      <w:bookmarkEnd w:id="20"/>
    </w:p>
    <w:p>
      <w:pPr>
        <w:pStyle w:val="23"/>
        <w:spacing w:before="0"/>
        <w:ind w:left="0" w:firstLine="480"/>
        <w:rPr>
          <w:rFonts w:hint="eastAsia"/>
        </w:rPr>
      </w:pPr>
      <w:r>
        <w:rPr>
          <w:rFonts w:hint="eastAsia"/>
        </w:rPr>
        <w:t>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p>
    <w:p>
      <w:pPr>
        <w:pStyle w:val="23"/>
        <w:spacing w:before="0"/>
        <w:ind w:left="0" w:firstLine="480"/>
        <w:rPr>
          <w:rFonts w:hint="eastAsia"/>
        </w:rPr>
      </w:pPr>
      <w:r>
        <w:rPr>
          <w:rFonts w:hint="eastAsia"/>
        </w:rPr>
        <w:t>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7"/>
        <w:rPr>
          <w:rFonts w:hint="eastAsia"/>
        </w:rPr>
      </w:pPr>
      <w:bookmarkStart w:id="21" w:name="_Toc4172363"/>
      <w:r>
        <w:rPr>
          <w:rFonts w:hint="eastAsia"/>
          <w:b/>
          <w:bCs/>
        </w:rPr>
        <w:t>4.8 管理人对报告期内基金利润分配情况的说明</w:t>
      </w:r>
      <w:bookmarkEnd w:id="21"/>
    </w:p>
    <w:p>
      <w:pPr>
        <w:pStyle w:val="23"/>
        <w:spacing w:before="0"/>
        <w:ind w:left="0" w:firstLine="480"/>
        <w:rPr>
          <w:rFonts w:hint="eastAsia"/>
        </w:rPr>
      </w:pPr>
      <w:r>
        <w:rPr>
          <w:rFonts w:hint="eastAsia"/>
        </w:rPr>
        <w:t>在符合有关基金分红条件的前提下，本基金每年收益分配次数最多为12次，若基金在每季度最后一个交易日日终，基金份额净值高于1.100元（含）且每份基金份额可供分配利润金额高于0.05元（含），则以该交易日为基金收益分配基准日，由基金管理人确定权益登记日，对权益登记日日终登记在册的基金份额持有人进行收益分配。</w:t>
      </w:r>
    </w:p>
    <w:p>
      <w:pPr>
        <w:pStyle w:val="23"/>
        <w:spacing w:before="0"/>
        <w:ind w:left="0" w:firstLine="480"/>
        <w:rPr>
          <w:rFonts w:hint="eastAsia"/>
        </w:rPr>
      </w:pPr>
      <w:r>
        <w:rPr>
          <w:rFonts w:hint="eastAsia"/>
        </w:rPr>
        <w:t>本报告期内，本基金未进行利润分配，符合合同约定。</w:t>
      </w:r>
    </w:p>
    <w:p>
      <w:pPr>
        <w:widowControl/>
        <w:jc w:val="left"/>
        <w:rPr>
          <w:rFonts w:hint="eastAsia" w:ascii="宋体" w:hAnsi="宋体" w:cs="宋体"/>
          <w:kern w:val="0"/>
          <w:sz w:val="24"/>
          <w:szCs w:val="24"/>
        </w:rPr>
      </w:pPr>
    </w:p>
    <w:p>
      <w:pPr>
        <w:pStyle w:val="17"/>
        <w:rPr>
          <w:rFonts w:hint="eastAsia"/>
        </w:rPr>
      </w:pPr>
      <w:bookmarkStart w:id="22" w:name="_Toc4172364"/>
      <w:r>
        <w:rPr>
          <w:rFonts w:hint="eastAsia"/>
          <w:b/>
          <w:bCs/>
        </w:rPr>
        <w:t>4.9 报告期内管理人对本基金持有人数或基金资产净值预警情形的说明</w:t>
      </w:r>
      <w:bookmarkEnd w:id="22"/>
    </w:p>
    <w:p>
      <w:pPr>
        <w:pStyle w:val="23"/>
        <w:spacing w:before="0"/>
        <w:ind w:left="0" w:firstLine="480"/>
        <w:rPr>
          <w:rFonts w:hint="eastAsia"/>
        </w:rPr>
      </w:pPr>
      <w:r>
        <w:rPr>
          <w:rFonts w:hint="eastAsia"/>
        </w:rPr>
        <w:t>本基金本报告期未出现连续二十个工作日基金份额持有人数量不满二百人或者基金资产净值低于五千万元的情形。</w:t>
      </w:r>
    </w:p>
    <w:p>
      <w:pPr>
        <w:widowControl/>
        <w:jc w:val="left"/>
        <w:rPr>
          <w:rFonts w:hint="eastAsia" w:ascii="宋体" w:hAnsi="宋体" w:cs="宋体"/>
          <w:kern w:val="0"/>
          <w:sz w:val="24"/>
          <w:szCs w:val="24"/>
        </w:rPr>
      </w:pPr>
    </w:p>
    <w:p>
      <w:pPr>
        <w:pStyle w:val="16"/>
        <w:rPr>
          <w:rFonts w:hint="eastAsia"/>
        </w:rPr>
      </w:pPr>
      <w:bookmarkStart w:id="23" w:name="_Toc4172365"/>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7"/>
        <w:rPr>
          <w:rFonts w:hint="eastAsia"/>
        </w:rPr>
      </w:pPr>
      <w:bookmarkStart w:id="24" w:name="_Toc4172366"/>
      <w:r>
        <w:rPr>
          <w:rFonts w:hint="eastAsia"/>
          <w:b/>
          <w:bCs/>
        </w:rPr>
        <w:t>5.1 报告期内本基金托管人遵规守信情况声明</w:t>
      </w:r>
      <w:bookmarkEnd w:id="24"/>
    </w:p>
    <w:p>
      <w:pPr>
        <w:pStyle w:val="23"/>
        <w:spacing w:before="0"/>
        <w:ind w:left="0" w:firstLine="480"/>
        <w:rPr>
          <w:rFonts w:hint="eastAsia"/>
        </w:rPr>
      </w:pPr>
      <w:r>
        <w:rPr>
          <w:rFonts w:hint="eastAsia"/>
        </w:rPr>
        <w:t>本报告期内，本基金托管人在对创金合信优选回报灵活配置混合型证券投资基金的托管过程中，严格遵守《证券投资基金法》及其他法律法规和基金合同的有关规定，不存在任何损害基金份额持有人利益的行为，完全尽职尽责地履行了基金托管人应尽的义务。</w:t>
      </w:r>
    </w:p>
    <w:p>
      <w:pPr>
        <w:widowControl/>
        <w:jc w:val="left"/>
        <w:rPr>
          <w:rFonts w:hint="eastAsia" w:ascii="宋体" w:hAnsi="宋体" w:cs="宋体"/>
          <w:kern w:val="0"/>
          <w:sz w:val="24"/>
          <w:szCs w:val="24"/>
        </w:rPr>
      </w:pPr>
    </w:p>
    <w:p>
      <w:pPr>
        <w:pStyle w:val="17"/>
        <w:rPr>
          <w:rFonts w:hint="eastAsia"/>
        </w:rPr>
      </w:pPr>
      <w:bookmarkStart w:id="25" w:name="_Toc4172367"/>
      <w:r>
        <w:rPr>
          <w:rFonts w:hint="eastAsia"/>
          <w:b/>
          <w:bCs/>
        </w:rPr>
        <w:t>5.2 托管人对报告期内本基金投资运作遵规守信、净值计算、利润分配等情况的说明</w:t>
      </w:r>
      <w:bookmarkEnd w:id="25"/>
    </w:p>
    <w:p>
      <w:pPr>
        <w:pStyle w:val="23"/>
        <w:spacing w:before="0"/>
        <w:ind w:left="0" w:firstLine="480"/>
        <w:rPr>
          <w:rFonts w:hint="eastAsia"/>
        </w:rPr>
      </w:pPr>
      <w:r>
        <w:rPr>
          <w:rFonts w:hint="eastAsia"/>
        </w:rPr>
        <w:t>本报告期内，创金合信优选回报灵活配置混合型证券投资基金的管理人--创金合信基金管理有限公司在创金合信优选回报灵活配置混合型证券投资基金的投资运作、基金资产净值计算、基金份额申购赎回价格计算、基金费用开支等问题上，不存在任何损害基金份额持有人利益的行为，在各重要方面的运作严格按照基金合同的规定进行。本报告期内，创金合信优选回报灵活配置混合型证券投资基金未进行利润分配。</w:t>
      </w:r>
    </w:p>
    <w:p>
      <w:pPr>
        <w:widowControl/>
        <w:jc w:val="left"/>
        <w:rPr>
          <w:rFonts w:hint="eastAsia" w:ascii="宋体" w:hAnsi="宋体" w:cs="宋体"/>
          <w:kern w:val="0"/>
          <w:sz w:val="24"/>
          <w:szCs w:val="24"/>
        </w:rPr>
      </w:pPr>
    </w:p>
    <w:p>
      <w:pPr>
        <w:pStyle w:val="17"/>
        <w:rPr>
          <w:rFonts w:hint="eastAsia"/>
        </w:rPr>
      </w:pPr>
      <w:bookmarkStart w:id="26" w:name="_Toc4172368"/>
      <w:r>
        <w:rPr>
          <w:rFonts w:hint="eastAsia"/>
          <w:b/>
          <w:bCs/>
        </w:rPr>
        <w:t>5.3 托管人对本年度报告中财务信息等内容的真实、准确和完整发表意见</w:t>
      </w:r>
      <w:bookmarkEnd w:id="26"/>
    </w:p>
    <w:p>
      <w:pPr>
        <w:pStyle w:val="23"/>
        <w:spacing w:before="0"/>
        <w:ind w:left="0" w:firstLine="480"/>
        <w:rPr>
          <w:rFonts w:hint="eastAsia"/>
        </w:rPr>
      </w:pPr>
      <w:r>
        <w:rPr>
          <w:rFonts w:hint="eastAsia"/>
        </w:rPr>
        <w:t>本托管人依法对创金合信基金管理有限公司编制和披露的创金合信优选回报灵活配置混合型证券投资基金2018年年度报告中财务指标、净值表现、利润分配情况、财务会计报告、投资组合报告等内容进行了核查，以上内容真实、准确和完整。</w:t>
      </w:r>
    </w:p>
    <w:p>
      <w:pPr>
        <w:widowControl/>
        <w:jc w:val="left"/>
        <w:rPr>
          <w:rFonts w:hint="eastAsia" w:ascii="宋体" w:hAnsi="宋体" w:cs="宋体"/>
          <w:kern w:val="0"/>
          <w:sz w:val="24"/>
          <w:szCs w:val="24"/>
        </w:rPr>
      </w:pPr>
    </w:p>
    <w:p>
      <w:pPr>
        <w:pStyle w:val="16"/>
        <w:rPr>
          <w:rFonts w:hint="eastAsia"/>
        </w:rPr>
      </w:pPr>
      <w:bookmarkStart w:id="27" w:name="_Toc4172369"/>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7"/>
        <w:rPr>
          <w:rFonts w:hint="eastAsia"/>
        </w:rPr>
      </w:pPr>
      <w:bookmarkStart w:id="28" w:name="_Toc4172370"/>
      <w:r>
        <w:rPr>
          <w:rFonts w:hint="eastAsia"/>
          <w:b/>
          <w:bCs/>
        </w:rPr>
        <w:t>6.1 审计报告基本信息</w:t>
      </w:r>
      <w:bookmarkEnd w:id="28"/>
    </w:p>
    <w:tbl>
      <w:tblPr>
        <w:tblStyle w:val="10"/>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普华永道中天审字(2019)第24779号</w:t>
            </w:r>
          </w:p>
        </w:tc>
      </w:tr>
    </w:tbl>
    <w:p>
      <w:pPr>
        <w:widowControl/>
        <w:jc w:val="left"/>
        <w:rPr>
          <w:rFonts w:hint="eastAsia" w:ascii="宋体" w:hAnsi="宋体" w:cs="宋体"/>
          <w:kern w:val="0"/>
          <w:sz w:val="24"/>
          <w:szCs w:val="24"/>
        </w:rPr>
      </w:pPr>
    </w:p>
    <w:p>
      <w:pPr>
        <w:pStyle w:val="17"/>
        <w:rPr>
          <w:rFonts w:hint="eastAsia"/>
        </w:rPr>
      </w:pPr>
      <w:bookmarkStart w:id="29" w:name="_Toc4172371"/>
      <w:r>
        <w:rPr>
          <w:rFonts w:hint="eastAsia"/>
          <w:b/>
          <w:bCs/>
        </w:rPr>
        <w:t>6.2 审计报告的基本内容</w:t>
      </w:r>
      <w:bookmarkEnd w:id="29"/>
    </w:p>
    <w:tbl>
      <w:tblPr>
        <w:tblStyle w:val="10"/>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创金合信优选回报灵活配置混合型证券投资基金全体基金份额持有人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(一) 我们审计的内容 我们审计了创金合信优选回报灵活配置混合型证券投资基金(以下简称“ 创金合信优选回报混合基金 ”)的财务报表，包括2018年12月31日的资产负债表，2018年度的利润表和所有者权益(基金净值)变动表以及财务报表附注。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优选回报混合基金2018年12月31日的财务状况以及2018年度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按照中国注册会计师职业道德守则，我们独立于创金合信优选回报混合基金，并履行了职业道德方面的其他责任。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创金合信优选回报混合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优选回报混合基金的持续经营能力，披露与持续经营相关的事项(如适用)，并运用持续经营假设，除非基金管理人管理层计划清算创金合信优选回报混合基金、终止运营或别无其他现实的选择。 基金管理人治理层负责监督创金合信优选回报混合基金的财务报告过程。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优选回报混合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优选回报混合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16"/>
        <w:rPr>
          <w:rFonts w:hint="eastAsia"/>
        </w:rPr>
      </w:pPr>
      <w:bookmarkStart w:id="30" w:name="_Toc4172372"/>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7"/>
        <w:rPr>
          <w:rFonts w:hint="eastAsia"/>
        </w:rPr>
      </w:pPr>
      <w:bookmarkStart w:id="31" w:name="_Toc4172373"/>
      <w:r>
        <w:rPr>
          <w:rFonts w:hint="eastAsia"/>
          <w:b/>
          <w:bCs/>
        </w:rPr>
        <w:t>7.1 资产负债表</w:t>
      </w:r>
      <w:bookmarkEnd w:id="31"/>
    </w:p>
    <w:p>
      <w:pPr>
        <w:pStyle w:val="20"/>
        <w:rPr>
          <w:rFonts w:hint="eastAsia"/>
        </w:rPr>
      </w:pPr>
      <w:r>
        <w:rPr>
          <w:rFonts w:hint="eastAsia"/>
        </w:rPr>
        <w:t>会计主体：创金合信优选回报灵活配置混合型证券投资基金</w:t>
      </w:r>
    </w:p>
    <w:p>
      <w:pPr>
        <w:pStyle w:val="20"/>
        <w:rPr>
          <w:rFonts w:hint="eastAsia"/>
        </w:rPr>
      </w:pPr>
      <w:r>
        <w:rPr>
          <w:rFonts w:hint="eastAsia"/>
        </w:rPr>
        <w:t>报告截止日：2018年12月31日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0"/>
        <w:tblW w:w="9120" w:type="dxa"/>
        <w:tblInd w:w="108" w:type="dxa"/>
        <w:tblLayout w:type="autofit"/>
        <w:tblCellMar>
          <w:top w:w="0" w:type="dxa"/>
          <w:left w:w="108" w:type="dxa"/>
          <w:bottom w:w="0" w:type="dxa"/>
          <w:right w:w="108" w:type="dxa"/>
        </w:tblCellMar>
      </w:tblPr>
      <w:tblGrid>
        <w:gridCol w:w="2608"/>
        <w:gridCol w:w="1363"/>
        <w:gridCol w:w="2529"/>
        <w:gridCol w:w="2620"/>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本期末 </w:t>
            </w:r>
          </w:p>
          <w:p>
            <w:pPr>
              <w:pStyle w:val="21"/>
              <w:wordWrap w:val="0"/>
              <w:rPr>
                <w:rFonts w:hint="eastAsia"/>
              </w:rPr>
            </w:pPr>
            <w:r>
              <w:rPr>
                <w:rFonts w:hint="eastAsia" w:hAnsi="Calibri"/>
                <w:color w:val="000000"/>
              </w:rPr>
              <w:t>2018年12月31日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上年度末 </w:t>
            </w:r>
          </w:p>
          <w:p>
            <w:pPr>
              <w:pStyle w:val="21"/>
              <w:wordWrap w:val="0"/>
              <w:rPr>
                <w:rFonts w:hint="eastAsia"/>
              </w:rPr>
            </w:pPr>
            <w:r>
              <w:rPr>
                <w:rFonts w:hint="eastAsia" w:hAnsi="Calibri"/>
                <w:color w:val="000000"/>
              </w:rPr>
              <w:t>2017年12月31日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46,744,009.90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61,590,100.75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13,284,987.34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54,294,336.79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58,751.79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24,715.24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154,767,328.97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117,591,348.03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154,767,328.97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117,591,348.03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410,000,000.00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140,182,272.24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-11,143.08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-153,271.05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 </w:t>
            </w:r>
          </w:p>
        </w:tc>
      </w:tr>
      <w:tr>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988.14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505.24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355,027,195.30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643,347,735.00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本期末 </w:t>
            </w:r>
          </w:p>
          <w:p>
            <w:pPr>
              <w:pStyle w:val="21"/>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上年度末 </w:t>
            </w:r>
          </w:p>
          <w:p>
            <w:pPr>
              <w:pStyle w:val="21"/>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9,230,599.44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18,694.21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623,118.00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pPr>
            <w:r>
              <w:rPr>
                <w:rFonts w:hint="eastAsia"/>
              </w:rPr>
              <w:t>462,699.01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823,810.36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77,116.52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137,301.75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90,778.23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77,536.54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280,000.00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136,563.55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929,287.97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11,028,929.64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392,914,844.06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631,378,610.11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-38,816,936.73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940,195.25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354,097,907.33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632,318,805.36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355,027,195.30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643,347,735.00</w:t>
            </w:r>
          </w:p>
        </w:tc>
      </w:tr>
    </w:tbl>
    <w:p>
      <w:pPr>
        <w:pStyle w:val="23"/>
        <w:rPr>
          <w:rFonts w:hint="eastAsia"/>
        </w:rPr>
      </w:pPr>
      <w:r>
        <w:rPr>
          <w:rFonts w:hint="eastAsia"/>
        </w:rPr>
        <w:t>注：1.报告截止日2018年12月31日，基金份额净值0.9012元，基金份额总额392,914,844.06份。</w:t>
      </w:r>
      <w:r>
        <w:rPr>
          <w:rFonts w:hint="eastAsia"/>
        </w:rPr>
        <w:br w:type="textWrapping"/>
      </w:r>
      <w:r>
        <w:rPr>
          <w:rFonts w:hint="eastAsia"/>
        </w:rPr>
        <w:t>2.本基金合同生效日为2017年9月27日，上年度可比期间为2017年9月27日至2017年12月31日。</w:t>
      </w:r>
    </w:p>
    <w:p>
      <w:pPr>
        <w:widowControl/>
        <w:jc w:val="left"/>
        <w:rPr>
          <w:rFonts w:hint="eastAsia" w:ascii="宋体" w:hAnsi="宋体" w:cs="宋体"/>
          <w:kern w:val="0"/>
          <w:sz w:val="24"/>
          <w:szCs w:val="24"/>
        </w:rPr>
      </w:pPr>
    </w:p>
    <w:p>
      <w:pPr>
        <w:pStyle w:val="17"/>
        <w:rPr>
          <w:rFonts w:hint="eastAsia"/>
        </w:rPr>
      </w:pPr>
      <w:bookmarkStart w:id="32" w:name="_Toc4172374"/>
      <w:r>
        <w:rPr>
          <w:rFonts w:hint="eastAsia"/>
          <w:b/>
          <w:bCs/>
        </w:rPr>
        <w:t>7.2 利润表</w:t>
      </w:r>
      <w:bookmarkEnd w:id="32"/>
    </w:p>
    <w:p>
      <w:pPr>
        <w:pStyle w:val="20"/>
        <w:rPr>
          <w:rFonts w:hint="eastAsia"/>
        </w:rPr>
      </w:pPr>
      <w:r>
        <w:rPr>
          <w:rFonts w:hint="eastAsia"/>
        </w:rPr>
        <w:t>会计主体：创金合信优选回报灵活配置混合型证券投资基金</w:t>
      </w:r>
    </w:p>
    <w:p>
      <w:pPr>
        <w:pStyle w:val="20"/>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0"/>
        <w:tblW w:w="9120" w:type="dxa"/>
        <w:tblInd w:w="108" w:type="dxa"/>
        <w:tblLayout w:type="autofit"/>
        <w:tblCellMar>
          <w:top w:w="0" w:type="dxa"/>
          <w:left w:w="108" w:type="dxa"/>
          <w:bottom w:w="0" w:type="dxa"/>
          <w:right w:w="108" w:type="dxa"/>
        </w:tblCellMar>
      </w:tblPr>
      <w:tblGrid>
        <w:gridCol w:w="2969"/>
        <w:gridCol w:w="1363"/>
        <w:gridCol w:w="2168"/>
        <w:gridCol w:w="2620"/>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本期2018年01月01日至2018年12月31日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上年度可比期间 </w:t>
            </w:r>
          </w:p>
          <w:p>
            <w:pPr>
              <w:pStyle w:val="21"/>
              <w:wordWrap w:val="0"/>
              <w:rPr>
                <w:rFonts w:hint="eastAsia"/>
              </w:rPr>
            </w:pPr>
            <w:r>
              <w:rPr>
                <w:rFonts w:hint="eastAsia"/>
              </w:rPr>
              <w:t>2017年09月27日（基金合同生效日）至2017年12月31日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-35,851,316.42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4,674,560.16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6,731,713.07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7,178,492.77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1,121,613.39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310,208.39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5,610,099.68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6,868,284.38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-7,356,262.96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834,745.23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-8,928,260.04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834,745.23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1,571,997.08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-35,621,056.61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-4,059,099.33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394,290.08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720,421.49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8,530,708.12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3,542,596.10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6,539,061.08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2,835,324.31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1,089,843.46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472,554.06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621,459.58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99,277.73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280,344.00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135,440.00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-44,382,024.54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1,131,964.06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-44,382,024.54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1,131,964.06</w:t>
            </w:r>
          </w:p>
        </w:tc>
      </w:tr>
    </w:tbl>
    <w:p>
      <w:pPr>
        <w:pStyle w:val="23"/>
        <w:rPr>
          <w:rFonts w:hint="eastAsia"/>
        </w:rPr>
      </w:pPr>
      <w:r>
        <w:rPr>
          <w:rFonts w:hint="eastAsia"/>
        </w:rPr>
        <w:t>注：本基金合同生效日为2017年9月27日,上年度可比期间为2017年9月27日至2017年12月31日。</w:t>
      </w:r>
    </w:p>
    <w:p>
      <w:pPr>
        <w:widowControl/>
        <w:jc w:val="left"/>
        <w:rPr>
          <w:rFonts w:hint="eastAsia" w:ascii="宋体" w:hAnsi="宋体" w:cs="宋体"/>
          <w:kern w:val="0"/>
          <w:sz w:val="24"/>
          <w:szCs w:val="24"/>
        </w:rPr>
      </w:pPr>
    </w:p>
    <w:p>
      <w:pPr>
        <w:pStyle w:val="17"/>
        <w:rPr>
          <w:rFonts w:hint="eastAsia"/>
        </w:rPr>
      </w:pPr>
      <w:bookmarkStart w:id="33" w:name="_Toc4172375"/>
      <w:r>
        <w:rPr>
          <w:rFonts w:hint="eastAsia"/>
          <w:b/>
          <w:bCs/>
        </w:rPr>
        <w:t>7.3 所有者权益（基金净值）变动表</w:t>
      </w:r>
      <w:bookmarkEnd w:id="33"/>
    </w:p>
    <w:p>
      <w:pPr>
        <w:pStyle w:val="20"/>
        <w:rPr>
          <w:rFonts w:hint="eastAsia"/>
        </w:rPr>
      </w:pPr>
      <w:r>
        <w:rPr>
          <w:rFonts w:hint="eastAsia"/>
        </w:rPr>
        <w:t>会计主体：创金合信优选回报灵活配置混合型证券投资基金</w:t>
      </w:r>
    </w:p>
    <w:p>
      <w:pPr>
        <w:pStyle w:val="20"/>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0"/>
        <w:tblW w:w="0" w:type="auto"/>
        <w:tblInd w:w="108" w:type="dxa"/>
        <w:tblLayout w:type="autofit"/>
        <w:tblCellMar>
          <w:top w:w="0" w:type="dxa"/>
          <w:left w:w="108" w:type="dxa"/>
          <w:bottom w:w="0" w:type="dxa"/>
          <w:right w:w="108" w:type="dxa"/>
        </w:tblCellMar>
      </w:tblPr>
      <w:tblGrid>
        <w:gridCol w:w="2299"/>
        <w:gridCol w:w="2156"/>
        <w:gridCol w:w="2156"/>
        <w:gridCol w:w="2587"/>
      </w:tblGrid>
      <w:tr>
        <w:tblPrEx>
          <w:tblCellMar>
            <w:top w:w="0" w:type="dxa"/>
            <w:left w:w="108" w:type="dxa"/>
            <w:bottom w:w="0" w:type="dxa"/>
            <w:right w:w="108" w:type="dxa"/>
          </w:tblCellMar>
        </w:tblPrEx>
        <w:trPr>
          <w:wBefore w:w="0" w:type="auto"/>
        </w:trPr>
        <w:tc>
          <w:tcPr>
            <w:tcW w:w="1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本期 </w:t>
            </w:r>
          </w:p>
          <w:p>
            <w:pPr>
              <w:pStyle w:val="21"/>
              <w:wordWrap w:val="0"/>
              <w:rPr>
                <w:rFonts w:hint="eastAsia"/>
              </w:rPr>
            </w:pP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631,378,610.11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940,195.25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632,318,805.36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-44,382,024.54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-44,382,024.54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-238,463,766.05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4,624,892.56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-233,838,873.49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1,986,047.80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-36,574.61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1,949,473.19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-240,449,813.85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4,661,467.17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-235,788,346.68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392,914,844.06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-38,816,936.73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354,097,907.33</w:t>
            </w: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上年度可比期间 </w:t>
            </w:r>
          </w:p>
          <w:p>
            <w:pPr>
              <w:pStyle w:val="21"/>
              <w:wordWrap w:val="0"/>
              <w:rPr>
                <w:rFonts w:hint="eastAsia"/>
              </w:rPr>
            </w:pPr>
            <w:r>
              <w:rPr>
                <w:rFonts w:hint="eastAsia"/>
              </w:rPr>
              <w:t>2017年09月27日（基金合同生效日）至2017年12月31日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822,948,446.55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822,948,446.55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1,131,964.06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1,131,964.06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-191,569,836.44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-191,768.81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-191,761,605.25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1,981,569.92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2,684.53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1,984,254.45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-193,551,406.36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-194,453.34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-193,745,859.70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631,378,610.11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940,195.25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632,318,805.36</w:t>
            </w:r>
          </w:p>
        </w:tc>
      </w:tr>
    </w:tbl>
    <w:p>
      <w:pPr>
        <w:pStyle w:val="23"/>
        <w:rPr>
          <w:rFonts w:hint="eastAsia"/>
        </w:rPr>
      </w:pPr>
      <w:r>
        <w:rPr>
          <w:rFonts w:hint="eastAsia"/>
        </w:rPr>
        <w:t>注：本基金合同生效日为2017年9月27日,上年度可比期间为2017年9月27日至2017年12月31日。</w:t>
      </w:r>
    </w:p>
    <w:p>
      <w:pPr>
        <w:pStyle w:val="20"/>
        <w:rPr>
          <w:rFonts w:hint="eastAsia"/>
        </w:rPr>
      </w:pPr>
      <w:r>
        <w:rPr>
          <w:rFonts w:hint="eastAsia"/>
        </w:rPr>
        <w:t>报表附注为财务报表的组成部分。</w:t>
      </w:r>
    </w:p>
    <w:p>
      <w:pPr>
        <w:pStyle w:val="20"/>
        <w:rPr>
          <w:rFonts w:hint="eastAsia"/>
        </w:rPr>
      </w:pPr>
      <w:r>
        <w:rPr>
          <w:rFonts w:hint="eastAsia"/>
        </w:rPr>
        <w:t>本报告7.1至7.4财务报表由下列负责人签署:</w:t>
      </w:r>
    </w:p>
    <w:tbl>
      <w:tblPr>
        <w:tblStyle w:val="10"/>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20"/>
              <w:wordWrap w:val="0"/>
              <w:rPr>
                <w:rFonts w:hint="eastAsia"/>
              </w:rPr>
            </w:pPr>
            <w:r>
              <w:rPr>
                <w:rFonts w:hint="eastAsia" w:hAnsi="Calibri"/>
                <w:color w:val="000000"/>
              </w:rPr>
              <w:t>苏彦祝</w:t>
            </w:r>
          </w:p>
          <w:p>
            <w:pPr>
              <w:pStyle w:val="20"/>
              <w:wordWrap w:val="0"/>
              <w:rPr>
                <w:rFonts w:hint="eastAsia"/>
              </w:rPr>
            </w:pPr>
            <w:r>
              <w:rPr>
                <w:rFonts w:hint="eastAsia"/>
              </w:rPr>
              <w:t>—————————</w:t>
            </w:r>
          </w:p>
          <w:p>
            <w:pPr>
              <w:pStyle w:val="20"/>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20"/>
              <w:wordWrap w:val="0"/>
              <w:rPr>
                <w:rFonts w:hint="eastAsia"/>
              </w:rPr>
            </w:pPr>
            <w:r>
              <w:rPr>
                <w:rFonts w:hint="eastAsia"/>
              </w:rPr>
              <w:t>黄越岷</w:t>
            </w:r>
          </w:p>
          <w:p>
            <w:pPr>
              <w:pStyle w:val="20"/>
              <w:wordWrap w:val="0"/>
              <w:rPr>
                <w:rFonts w:hint="eastAsia"/>
              </w:rPr>
            </w:pPr>
            <w:r>
              <w:rPr>
                <w:rFonts w:hint="eastAsia"/>
              </w:rPr>
              <w:t>—————————</w:t>
            </w:r>
          </w:p>
          <w:p>
            <w:pPr>
              <w:pStyle w:val="20"/>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20"/>
              <w:wordWrap w:val="0"/>
              <w:rPr>
                <w:rFonts w:hint="eastAsia"/>
              </w:rPr>
            </w:pPr>
            <w:r>
              <w:rPr>
                <w:rFonts w:hint="eastAsia"/>
              </w:rPr>
              <w:t>安兆国</w:t>
            </w:r>
          </w:p>
          <w:p>
            <w:pPr>
              <w:pStyle w:val="20"/>
              <w:wordWrap w:val="0"/>
              <w:rPr>
                <w:rFonts w:hint="eastAsia"/>
              </w:rPr>
            </w:pPr>
            <w:r>
              <w:rPr>
                <w:rFonts w:hint="eastAsia"/>
              </w:rPr>
              <w:t>—————————</w:t>
            </w:r>
          </w:p>
          <w:p>
            <w:pPr>
              <w:pStyle w:val="20"/>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7"/>
        <w:rPr>
          <w:rFonts w:hint="eastAsia"/>
        </w:rPr>
      </w:pPr>
      <w:bookmarkStart w:id="34" w:name="_Toc4172376"/>
      <w:r>
        <w:rPr>
          <w:rFonts w:hint="eastAsia"/>
          <w:b/>
          <w:bCs/>
        </w:rPr>
        <w:t>7.4 报表附注</w:t>
      </w:r>
      <w:bookmarkEnd w:id="34"/>
    </w:p>
    <w:p>
      <w:pPr>
        <w:pStyle w:val="18"/>
        <w:rPr>
          <w:rFonts w:hint="eastAsia"/>
        </w:rPr>
      </w:pPr>
      <w:r>
        <w:rPr>
          <w:rFonts w:hint="eastAsia"/>
          <w:b/>
          <w:bCs/>
        </w:rPr>
        <w:t>7.4.1 基金基本情况</w:t>
      </w:r>
    </w:p>
    <w:p>
      <w:pPr>
        <w:pStyle w:val="23"/>
        <w:spacing w:before="0"/>
        <w:ind w:left="0" w:firstLine="480"/>
        <w:rPr>
          <w:rFonts w:hint="eastAsia"/>
        </w:rPr>
      </w:pPr>
      <w:r>
        <w:rPr>
          <w:rFonts w:hint="eastAsia"/>
        </w:rPr>
        <w:t>创金合信优选回报灵活配置混合型证券投资基金(以下简称"本基金")经中国证券监督管理委员会(以下简称"中国证监会")证监许可[2015]1742号《关于准予创金合信港股通香港内地股50指数证券投资基金注册的批复》和关于将基金变更注册为本基金的证监许可[2017]1258号《关于准予创金合信港股通香港内地股50指数证券投资基金变更注册的批复》核准，由创金合信基金管理有限公司依照《中华人民共和国证券投资基金法》和《创金合信优选回报灵活配置混合型证券投资基金基金合同》负责公开募集。本基金为契约型开放式，存续期限不定，首次设立募集不包括认购资金利息共募集人民币822,731,554.84元，业经普华永道中天会计师事务所(特殊普通合伙)普华永道中天验字(2017)第324号验资报告予以验证。经向中国证监会备案，《创金合信优选回报灵活配置混合型证券投资基金基金合同》于2017年9月27日正式生效，基金合同生效日的基金份额总额为822,948,446.55份基金份额，其中认购资金利息折合216,891.71份基金份额。本基金的基金管理人为创金合信基金管理有限公司，基金托管人为中国工商银行股份有限公司(以下简称"中国工商银行")。</w:t>
      </w:r>
    </w:p>
    <w:p>
      <w:pPr>
        <w:pStyle w:val="23"/>
        <w:spacing w:before="0"/>
        <w:ind w:left="0" w:firstLine="480"/>
        <w:rPr>
          <w:rFonts w:hint="eastAsia"/>
        </w:rPr>
      </w:pPr>
      <w:r>
        <w:rPr>
          <w:rFonts w:hint="eastAsia"/>
        </w:rPr>
        <w:t>根据《中华人民共和国证券投资基金法》和《创金合信优选回报灵活配置混合型证券投资基金基金合同》的有关规定，本基金的投资范围包括国内依法发行上市的股票(包括创业板、中小板以及其他中国证监会允许基金投资的股票)、债券(包括国债、央行票据、地方政府债、金融债、企业债、公司债、次级债、中期票据、短期融资券、超短期融资券、可转换债券、可交换债券等)、资产支持证券、债券回购、货币市场工具(包括同业存单等)、金融衍生品(包括权证、股指期货、股票期权、国债期货等)及法律法规或中国证监会允许基金投资的其他金融工具。本基金的业绩比较基准为：沪深300指数收益率×30%+中债综合指数收益率×70%。</w:t>
      </w:r>
    </w:p>
    <w:p>
      <w:pPr>
        <w:widowControl/>
        <w:jc w:val="left"/>
        <w:rPr>
          <w:rFonts w:hint="eastAsia" w:ascii="宋体" w:hAnsi="宋体" w:cs="宋体"/>
          <w:kern w:val="0"/>
          <w:sz w:val="24"/>
          <w:szCs w:val="24"/>
        </w:rPr>
      </w:pPr>
    </w:p>
    <w:p>
      <w:pPr>
        <w:pStyle w:val="18"/>
        <w:rPr>
          <w:rFonts w:hint="eastAsia"/>
        </w:rPr>
      </w:pPr>
      <w:r>
        <w:rPr>
          <w:rFonts w:hint="eastAsia"/>
          <w:b/>
          <w:bCs/>
        </w:rPr>
        <w:t>7.4.2 会计报表的编制基础</w:t>
      </w:r>
    </w:p>
    <w:p>
      <w:pPr>
        <w:pStyle w:val="23"/>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优选回报灵活配置混合型证券投资基金基金合同》和在财务报表附注7.4.4所列示的中国证监会、中国基金业协会发布的有关规定及允许的基金行业实务操作编制。</w:t>
      </w:r>
    </w:p>
    <w:p>
      <w:pPr>
        <w:pStyle w:val="23"/>
        <w:spacing w:before="0"/>
        <w:ind w:left="0" w:firstLine="480"/>
        <w:rPr>
          <w:rFonts w:hint="eastAsia"/>
        </w:rPr>
      </w:pPr>
      <w:r>
        <w:rPr>
          <w:rFonts w:hint="eastAsia"/>
        </w:rPr>
        <w:t>本财务报表以持续经营为基础编制。</w:t>
      </w:r>
    </w:p>
    <w:p>
      <w:pPr>
        <w:widowControl/>
        <w:jc w:val="left"/>
        <w:rPr>
          <w:rFonts w:hint="eastAsia" w:ascii="宋体" w:hAnsi="宋体" w:cs="宋体"/>
          <w:kern w:val="0"/>
          <w:sz w:val="24"/>
          <w:szCs w:val="24"/>
        </w:rPr>
      </w:pPr>
    </w:p>
    <w:p>
      <w:pPr>
        <w:pStyle w:val="18"/>
        <w:rPr>
          <w:rFonts w:hint="eastAsia"/>
        </w:rPr>
      </w:pPr>
      <w:r>
        <w:rPr>
          <w:rFonts w:hint="eastAsia"/>
          <w:b/>
          <w:bCs/>
        </w:rPr>
        <w:t>7.4.3 遵循企业会计准则及其他有关规定的声明</w:t>
      </w:r>
    </w:p>
    <w:p>
      <w:pPr>
        <w:pStyle w:val="23"/>
        <w:spacing w:before="0"/>
        <w:ind w:left="0" w:firstLine="480"/>
        <w:rPr>
          <w:rFonts w:hint="eastAsia"/>
        </w:rPr>
      </w:pPr>
      <w:r>
        <w:rPr>
          <w:rFonts w:hint="eastAsia"/>
        </w:rPr>
        <w:t>本基金2018年度财务报表符合企业会计准则的要求，真实、完整地反映了本基金2018年12月31日的财务状况以及2018年度的经营成果和基金净值变动情况等有关信息。</w:t>
      </w:r>
    </w:p>
    <w:p>
      <w:pPr>
        <w:widowControl/>
        <w:jc w:val="left"/>
        <w:rPr>
          <w:rFonts w:hint="eastAsia" w:ascii="宋体" w:hAnsi="宋体" w:cs="宋体"/>
          <w:kern w:val="0"/>
          <w:sz w:val="24"/>
          <w:szCs w:val="24"/>
        </w:rPr>
      </w:pPr>
    </w:p>
    <w:p>
      <w:pPr>
        <w:pStyle w:val="18"/>
        <w:rPr>
          <w:rFonts w:hint="eastAsia"/>
        </w:rPr>
      </w:pPr>
      <w:r>
        <w:rPr>
          <w:rFonts w:hint="eastAsia"/>
          <w:b/>
          <w:bCs/>
        </w:rPr>
        <w:t>7.4.4 重要会计政策和会计估计</w:t>
      </w:r>
    </w:p>
    <w:p>
      <w:pPr>
        <w:pStyle w:val="18"/>
        <w:rPr>
          <w:rFonts w:hint="eastAsia"/>
        </w:rPr>
      </w:pPr>
      <w:r>
        <w:rPr>
          <w:rFonts w:hint="eastAsia"/>
          <w:b/>
          <w:bCs/>
        </w:rPr>
        <w:t>7.4.4.1 会计年度</w:t>
      </w:r>
    </w:p>
    <w:p>
      <w:pPr>
        <w:pStyle w:val="23"/>
        <w:spacing w:before="0"/>
        <w:ind w:left="0" w:firstLine="480"/>
        <w:rPr>
          <w:rFonts w:hint="eastAsia"/>
        </w:rPr>
      </w:pPr>
      <w:r>
        <w:rPr>
          <w:rFonts w:hint="eastAsia"/>
        </w:rPr>
        <w:t>本基金会计年度为公历1月1日起至12月31日止。比较财务报表的实际编制期间为2017年9月27日(基金合同生效日)至2017年12月31日。</w:t>
      </w:r>
    </w:p>
    <w:p>
      <w:pPr>
        <w:widowControl/>
        <w:jc w:val="left"/>
        <w:rPr>
          <w:rFonts w:hint="eastAsia" w:ascii="宋体" w:hAnsi="宋体" w:cs="宋体"/>
          <w:kern w:val="0"/>
          <w:sz w:val="24"/>
          <w:szCs w:val="24"/>
        </w:rPr>
      </w:pPr>
    </w:p>
    <w:p>
      <w:pPr>
        <w:pStyle w:val="18"/>
        <w:rPr>
          <w:rFonts w:hint="eastAsia"/>
        </w:rPr>
      </w:pPr>
      <w:r>
        <w:rPr>
          <w:rFonts w:hint="eastAsia"/>
          <w:b/>
          <w:bCs/>
        </w:rPr>
        <w:t>7.4.4.2 记账本位币</w:t>
      </w:r>
    </w:p>
    <w:p>
      <w:pPr>
        <w:pStyle w:val="23"/>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18"/>
        <w:rPr>
          <w:rFonts w:hint="eastAsia"/>
        </w:rPr>
      </w:pPr>
      <w:r>
        <w:rPr>
          <w:rFonts w:hint="eastAsia"/>
          <w:b/>
          <w:bCs/>
        </w:rPr>
        <w:t>7.4.4.3 金融资产和金融负债的分类</w:t>
      </w:r>
    </w:p>
    <w:p>
      <w:pPr>
        <w:pStyle w:val="23"/>
        <w:spacing w:before="0"/>
        <w:ind w:left="0" w:firstLine="480"/>
        <w:rPr>
          <w:rFonts w:hint="eastAsia"/>
        </w:rPr>
      </w:pPr>
      <w:r>
        <w:rPr>
          <w:rFonts w:hint="eastAsia"/>
        </w:rPr>
        <w:t>(1) 金融资产的分类</w:t>
      </w:r>
    </w:p>
    <w:p>
      <w:pPr>
        <w:pStyle w:val="23"/>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23"/>
        <w:spacing w:before="0"/>
        <w:ind w:left="0" w:firstLine="480"/>
        <w:rPr>
          <w:rFonts w:hint="eastAsia"/>
        </w:rPr>
      </w:pPr>
      <w:r>
        <w:rPr>
          <w:rFonts w:hint="eastAsia"/>
        </w:rPr>
        <w:t>本基金目前以交易目的持有的股票投资、债券投资、资产支持证券投资和衍生工具分类为以公允价值计量且其变动计入当期损益的金融资产。除衍生工具所产生的金融资产在资产负债表中以衍生金融资产列示外，以公允价值计量且其变动计入当期损益的金融资产在资产负债表中以交易性金融资产列示。</w:t>
      </w:r>
    </w:p>
    <w:p>
      <w:pPr>
        <w:pStyle w:val="23"/>
        <w:spacing w:before="0"/>
        <w:ind w:left="0" w:firstLine="480"/>
        <w:rPr>
          <w:rFonts w:hint="eastAsia"/>
        </w:rPr>
      </w:pPr>
      <w:r>
        <w:rPr>
          <w:rFonts w:hint="eastAsia"/>
        </w:rPr>
        <w:t>本基金持有的其他金融资产分类为应收款项，包括银行存款、买入返售金融资产和其他各类应收款项等。应收款项是指在活跃市场中没有报价、回收金额固定或可确定的非衍生金融资产。</w:t>
      </w:r>
    </w:p>
    <w:p>
      <w:pPr>
        <w:pStyle w:val="23"/>
        <w:spacing w:before="0"/>
        <w:ind w:left="0" w:firstLine="480"/>
        <w:rPr>
          <w:rFonts w:hint="eastAsia"/>
        </w:rPr>
      </w:pPr>
      <w:r>
        <w:rPr>
          <w:rFonts w:hint="eastAsia"/>
        </w:rPr>
        <w:t>(2) 金融负债的分类</w:t>
      </w:r>
    </w:p>
    <w:p>
      <w:pPr>
        <w:pStyle w:val="23"/>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其他各类应付款项等。</w:t>
      </w:r>
    </w:p>
    <w:p>
      <w:pPr>
        <w:widowControl/>
        <w:jc w:val="left"/>
        <w:rPr>
          <w:rFonts w:hint="eastAsia" w:ascii="宋体" w:hAnsi="宋体" w:cs="宋体"/>
          <w:kern w:val="0"/>
          <w:sz w:val="24"/>
          <w:szCs w:val="24"/>
        </w:rPr>
      </w:pPr>
    </w:p>
    <w:p>
      <w:pPr>
        <w:pStyle w:val="18"/>
        <w:rPr>
          <w:rFonts w:hint="eastAsia"/>
        </w:rPr>
      </w:pPr>
      <w:r>
        <w:rPr>
          <w:rFonts w:hint="eastAsia"/>
          <w:b/>
          <w:bCs/>
        </w:rPr>
        <w:t>7.4.4.4 金融资产和金融负债的初始确认、后续计量和终止确认</w:t>
      </w:r>
    </w:p>
    <w:p>
      <w:pPr>
        <w:pStyle w:val="23"/>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或资产支持证券起息日或上次除息日至购买日止的利息，单独确认为应收项目。应收款项和其他金融负债的相关交易费用计入初始确认金额。</w:t>
      </w:r>
    </w:p>
    <w:p>
      <w:pPr>
        <w:pStyle w:val="23"/>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23"/>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23"/>
        <w:spacing w:before="0"/>
        <w:ind w:left="0" w:firstLine="480"/>
        <w:rPr>
          <w:rFonts w:hint="eastAsia"/>
        </w:rPr>
      </w:pPr>
      <w:r>
        <w:rPr>
          <w:rFonts w:hint="eastAsia"/>
        </w:rPr>
        <w:t>金融资产终止确认时，其账面价值与收到的对价的差额，计入当期损益。</w:t>
      </w:r>
    </w:p>
    <w:p>
      <w:pPr>
        <w:pStyle w:val="23"/>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8"/>
        <w:rPr>
          <w:rFonts w:hint="eastAsia"/>
        </w:rPr>
      </w:pPr>
      <w:r>
        <w:rPr>
          <w:rFonts w:hint="eastAsia"/>
          <w:b/>
          <w:bCs/>
        </w:rPr>
        <w:t>7.4.4.5 金融资产和金融负债的估值原则</w:t>
      </w:r>
    </w:p>
    <w:p>
      <w:pPr>
        <w:pStyle w:val="23"/>
        <w:spacing w:before="0"/>
        <w:ind w:left="0" w:firstLine="480"/>
        <w:rPr>
          <w:rFonts w:hint="eastAsia"/>
        </w:rPr>
      </w:pPr>
      <w:r>
        <w:rPr>
          <w:rFonts w:hint="eastAsia"/>
        </w:rPr>
        <w:t>本基金持有的股票投资、债券投资、资产支持证券投资和衍生工具按如下原则确定公允价值并进行估值：</w:t>
      </w:r>
    </w:p>
    <w:p>
      <w:pPr>
        <w:pStyle w:val="23"/>
        <w:spacing w:before="0"/>
        <w:ind w:left="0" w:firstLine="480"/>
        <w:rPr>
          <w:rFonts w:hint="eastAsia"/>
        </w:rPr>
      </w:pPr>
      <w:r>
        <w:rPr>
          <w:rFonts w:hint="eastAsia"/>
        </w:rPr>
        <w:t>(1) 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23"/>
        <w:spacing w:before="0"/>
        <w:ind w:left="0" w:firstLine="480"/>
        <w:rPr>
          <w:rFonts w:hint="eastAsia"/>
        </w:rPr>
      </w:pPr>
      <w:r>
        <w:rPr>
          <w:rFonts w:hint="eastAsia"/>
        </w:rPr>
        <w:t>(2) 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23"/>
        <w:spacing w:before="0"/>
        <w:ind w:left="0" w:firstLine="480"/>
        <w:rPr>
          <w:rFonts w:hint="eastAsia"/>
        </w:rPr>
      </w:pPr>
      <w:r>
        <w:rPr>
          <w:rFonts w:hint="eastAsia"/>
        </w:rPr>
        <w:t>(3) 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8"/>
        <w:rPr>
          <w:rFonts w:hint="eastAsia"/>
        </w:rPr>
      </w:pPr>
      <w:r>
        <w:rPr>
          <w:rFonts w:hint="eastAsia"/>
          <w:b/>
          <w:bCs/>
        </w:rPr>
        <w:t>7.4.4.6 金融资产和金融负债的抵销</w:t>
      </w:r>
    </w:p>
    <w:p>
      <w:pPr>
        <w:pStyle w:val="23"/>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8"/>
        <w:rPr>
          <w:rFonts w:hint="eastAsia"/>
        </w:rPr>
      </w:pPr>
      <w:r>
        <w:rPr>
          <w:rFonts w:hint="eastAsia"/>
          <w:b/>
          <w:bCs/>
        </w:rPr>
        <w:t>7.4.4.7 实收基金</w:t>
      </w:r>
    </w:p>
    <w:p>
      <w:pPr>
        <w:pStyle w:val="23"/>
        <w:spacing w:before="0"/>
        <w:ind w:left="0" w:firstLine="480"/>
        <w:rPr>
          <w:rFonts w:hint="eastAsia"/>
        </w:rPr>
      </w:pPr>
      <w:r>
        <w:rPr>
          <w:rFonts w:hint="eastAsia"/>
        </w:rPr>
        <w:t>实收基金为对外发行基金份额所募集的总金额在扣除损益平准金分摊部分后的余额。由于申购和赎回引起的实收基金变动分别于基金申购确认日及基金赎回确认日认列。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8"/>
        <w:rPr>
          <w:rFonts w:hint="eastAsia"/>
        </w:rPr>
      </w:pPr>
      <w:r>
        <w:rPr>
          <w:rFonts w:hint="eastAsia"/>
          <w:b/>
          <w:bCs/>
        </w:rPr>
        <w:t>7.4.4.8 损益平准金</w:t>
      </w:r>
    </w:p>
    <w:p>
      <w:pPr>
        <w:pStyle w:val="23"/>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累计亏损)。</w:t>
      </w:r>
    </w:p>
    <w:p>
      <w:pPr>
        <w:widowControl/>
        <w:jc w:val="left"/>
        <w:rPr>
          <w:rFonts w:hint="eastAsia" w:ascii="宋体" w:hAnsi="宋体" w:cs="宋体"/>
          <w:kern w:val="0"/>
          <w:sz w:val="24"/>
          <w:szCs w:val="24"/>
        </w:rPr>
      </w:pPr>
    </w:p>
    <w:p>
      <w:pPr>
        <w:pStyle w:val="18"/>
        <w:rPr>
          <w:rFonts w:hint="eastAsia"/>
        </w:rPr>
      </w:pPr>
      <w:r>
        <w:rPr>
          <w:rFonts w:hint="eastAsia"/>
          <w:b/>
          <w:bCs/>
        </w:rPr>
        <w:t>7.4.4.9 收入/（损失）的确认和计量</w:t>
      </w:r>
    </w:p>
    <w:p>
      <w:pPr>
        <w:pStyle w:val="23"/>
        <w:spacing w:before="0"/>
        <w:ind w:left="0" w:firstLine="480"/>
        <w:rPr>
          <w:rFonts w:hint="eastAsia"/>
        </w:rPr>
      </w:pPr>
      <w:r>
        <w:rPr>
          <w:rFonts w:hint="eastAsia"/>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及由基金管理人缴纳的增值税后的净额确认为利息收入。资产支持证券在持有期间收到的款项，根据资产支持证券的预计收益率区分属于资产支持证券投资本金部分和投资收益部分，将本金部分冲减资产支持证券投资成本，并将投资收益部分扣除在适用情况下由基金管理人缴纳的增值税后的净额确认为利息收入。</w:t>
      </w:r>
    </w:p>
    <w:p>
      <w:pPr>
        <w:pStyle w:val="23"/>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23"/>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8"/>
        <w:rPr>
          <w:rFonts w:hint="eastAsia"/>
        </w:rPr>
      </w:pPr>
      <w:r>
        <w:rPr>
          <w:rFonts w:hint="eastAsia"/>
          <w:b/>
          <w:bCs/>
        </w:rPr>
        <w:t>7.4.4.10 费用的确认和计量</w:t>
      </w:r>
    </w:p>
    <w:p>
      <w:pPr>
        <w:pStyle w:val="23"/>
        <w:spacing w:before="0"/>
        <w:ind w:left="0" w:firstLine="480"/>
        <w:rPr>
          <w:rFonts w:hint="eastAsia"/>
        </w:rPr>
      </w:pPr>
      <w:r>
        <w:rPr>
          <w:rFonts w:hint="eastAsia"/>
        </w:rPr>
        <w:t>本基金的管理人报酬和托管费在费用涵盖期间按基金合同约定的费率和计算方法逐日确认。</w:t>
      </w:r>
    </w:p>
    <w:p>
      <w:pPr>
        <w:pStyle w:val="23"/>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18"/>
        <w:rPr>
          <w:rFonts w:hint="eastAsia"/>
        </w:rPr>
      </w:pPr>
      <w:r>
        <w:rPr>
          <w:rFonts w:hint="eastAsia"/>
          <w:b/>
          <w:bCs/>
        </w:rPr>
        <w:t>7.4.4.11 基金的收益分配政策</w:t>
      </w:r>
    </w:p>
    <w:p>
      <w:pPr>
        <w:pStyle w:val="23"/>
        <w:spacing w:before="0"/>
        <w:ind w:left="0" w:firstLine="480"/>
        <w:rPr>
          <w:rFonts w:hint="eastAsia"/>
        </w:rPr>
      </w:pPr>
      <w:r>
        <w:rPr>
          <w:rFonts w:hint="eastAsia"/>
        </w:rPr>
        <w:t>本基金的收益分配政策为：(1) 在符合有关基金分红条件的前提下，本基金每年收益分配次数最多为12次，若基金在每季度最后一个交易日日终，基金份额净值高于1.1000元（含）且每份基金份额可供分配利润金额高于0.05元（含），则以该交易日为基金收益分配基准日，由基金管理人确定权益登记日，对权益登记日日终登记在册的基金份额持有人进行收益分配。具体分配标准为：若基金收益分配基准日每份基金份额可供分配利润高于0.1元，则每份基金份额每次基金收益分配金额不低于0.05元（含）；若基金收益分配基准日每份基金份额可供分配利润低于0.1元（含）且高于0.05元，则每份基金份额每次基金收益分配金额不低于基金收益分配基准日每份基金份额可供分配利润的10%；若《基金合同》生效不满3个月可不进行收益分配；(2) 本基金收益分配方式分两种：现金分红与红利再投资，投资者可选择现金红利或将现金红利自动转为基金份额进行再投资；若投资者不选择，本基金默认的收益分配方式是现金分红；(3) 基金收益分配后基金份额净值不能低于面值，即基金收益分配基准日的基金份额净值减去每单位基金份额收益分配金额后不能低于面值；(4) 每一基金份额享有同等分配权；(5) 在对基金份额持有人利益无实质不利影响的前提下，基金管理人与基金托管人协商一致后可调整基金收益的分配原则和支付方式，不需召开基金份额持有人大会审议；(6) 法律法规或监管机关另有规定的，从其规定。</w:t>
      </w:r>
    </w:p>
    <w:p>
      <w:pPr>
        <w:widowControl/>
        <w:jc w:val="left"/>
        <w:rPr>
          <w:rFonts w:hint="eastAsia" w:ascii="宋体" w:hAnsi="宋体" w:cs="宋体"/>
          <w:kern w:val="0"/>
          <w:sz w:val="24"/>
          <w:szCs w:val="24"/>
        </w:rPr>
      </w:pPr>
    </w:p>
    <w:p>
      <w:pPr>
        <w:pStyle w:val="18"/>
        <w:rPr>
          <w:rFonts w:hint="eastAsia"/>
        </w:rPr>
      </w:pPr>
      <w:r>
        <w:rPr>
          <w:rFonts w:hint="eastAsia"/>
          <w:b/>
          <w:bCs/>
        </w:rPr>
        <w:t>7.4.4.12 分部报告</w:t>
      </w:r>
    </w:p>
    <w:p>
      <w:pPr>
        <w:pStyle w:val="23"/>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p>
    <w:p>
      <w:pPr>
        <w:pStyle w:val="23"/>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18"/>
        <w:rPr>
          <w:rFonts w:hint="eastAsia"/>
        </w:rPr>
      </w:pPr>
      <w:r>
        <w:rPr>
          <w:rFonts w:hint="eastAsia"/>
          <w:b/>
          <w:bCs/>
        </w:rPr>
        <w:t>7.4.4.13 其他重要的会计政策和会计估计</w:t>
      </w:r>
    </w:p>
    <w:p>
      <w:pPr>
        <w:pStyle w:val="23"/>
        <w:spacing w:before="0"/>
        <w:ind w:left="0" w:firstLine="480"/>
        <w:rPr>
          <w:rFonts w:hint="eastAsia"/>
        </w:rPr>
      </w:pPr>
      <w:r>
        <w:rPr>
          <w:rFonts w:hint="eastAsia"/>
        </w:rPr>
        <w:t>根据本基金的估值原则和中国证监会允许的基金行业估值实务操作，本基金确定以下类别股票投资和债券投资的公允价值时采用的估值方法及其关键假设如下：</w:t>
      </w:r>
    </w:p>
    <w:p>
      <w:pPr>
        <w:pStyle w:val="23"/>
        <w:spacing w:before="0"/>
        <w:ind w:left="0" w:firstLine="480"/>
        <w:rPr>
          <w:rFonts w:hint="eastAsia"/>
        </w:rPr>
      </w:pPr>
      <w:r>
        <w:rPr>
          <w:rFonts w:hint="eastAsia"/>
        </w:rPr>
        <w:t>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p>
    <w:p>
      <w:pPr>
        <w:widowControl/>
        <w:jc w:val="left"/>
        <w:rPr>
          <w:rFonts w:hint="eastAsia" w:ascii="宋体" w:hAnsi="宋体" w:cs="宋体"/>
          <w:kern w:val="0"/>
          <w:sz w:val="24"/>
          <w:szCs w:val="24"/>
        </w:rPr>
      </w:pPr>
    </w:p>
    <w:p>
      <w:pPr>
        <w:pStyle w:val="18"/>
        <w:rPr>
          <w:rFonts w:hint="eastAsia"/>
        </w:rPr>
      </w:pPr>
      <w:r>
        <w:rPr>
          <w:rFonts w:hint="eastAsia"/>
          <w:b/>
          <w:bCs/>
        </w:rPr>
        <w:t>7.4.5 会计政策和会计估计变更以及差错更正的说明</w:t>
      </w:r>
    </w:p>
    <w:p>
      <w:pPr>
        <w:pStyle w:val="18"/>
        <w:rPr>
          <w:rFonts w:hint="eastAsia"/>
        </w:rPr>
      </w:pPr>
      <w:r>
        <w:rPr>
          <w:rFonts w:hint="eastAsia"/>
          <w:b/>
          <w:bCs/>
        </w:rPr>
        <w:t>7.4.5.1 会计政策变更的说明</w:t>
      </w:r>
    </w:p>
    <w:p>
      <w:pPr>
        <w:pStyle w:val="23"/>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18"/>
        <w:rPr>
          <w:rFonts w:hint="eastAsia"/>
        </w:rPr>
      </w:pPr>
      <w:r>
        <w:rPr>
          <w:rFonts w:hint="eastAsia"/>
          <w:b/>
          <w:bCs/>
        </w:rPr>
        <w:t>7.4.5.2 会计估计变更的说明</w:t>
      </w:r>
    </w:p>
    <w:p>
      <w:pPr>
        <w:pStyle w:val="23"/>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18"/>
        <w:rPr>
          <w:rFonts w:hint="eastAsia"/>
        </w:rPr>
      </w:pPr>
      <w:r>
        <w:rPr>
          <w:rFonts w:hint="eastAsia"/>
          <w:b/>
          <w:bCs/>
        </w:rPr>
        <w:t>7.4.5.3 差错更正的说明</w:t>
      </w:r>
    </w:p>
    <w:p>
      <w:pPr>
        <w:pStyle w:val="23"/>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18"/>
        <w:rPr>
          <w:rFonts w:hint="eastAsia"/>
        </w:rPr>
      </w:pPr>
      <w:r>
        <w:rPr>
          <w:rFonts w:hint="eastAsia"/>
          <w:b/>
          <w:bCs/>
        </w:rPr>
        <w:t>7.4.6 税项</w:t>
      </w:r>
    </w:p>
    <w:p>
      <w:pPr>
        <w:pStyle w:val="23"/>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23"/>
        <w:spacing w:before="0"/>
        <w:ind w:left="0" w:firstLine="480"/>
        <w:rPr>
          <w:rFonts w:hint="eastAsia"/>
        </w:rPr>
      </w:pPr>
      <w:r>
        <w:rPr>
          <w:rFonts w:hint="eastAsia"/>
        </w:rPr>
        <w:t>(1)资管产品运营过程中发生的增值税应税行为，以资管产品管理人为增值税纳税人。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p>
    <w:p>
      <w:pPr>
        <w:pStyle w:val="23"/>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2018年1月1日起产生的利息及利息性质的收入为销售额。资管产品管理人运营资管产品转让2017年12月31日前取得的基金非货物期货，可以选择按照实际买入价计算销售额，或者以2017年最后一个交易日的基金份额净值非货物期货结算价格作为买入价计算销售额。</w:t>
      </w:r>
    </w:p>
    <w:p>
      <w:pPr>
        <w:pStyle w:val="23"/>
        <w:spacing w:before="0"/>
        <w:ind w:left="0" w:firstLine="480"/>
        <w:rPr>
          <w:rFonts w:hint="eastAsia"/>
        </w:rPr>
      </w:pPr>
      <w:r>
        <w:rPr>
          <w:rFonts w:hint="eastAsia"/>
        </w:rPr>
        <w:t>(2)对基金从证券市场中取得的收入，包括买卖股票、债券的差价收入，股票的股息、红利收入，债券的利息收入及其他收入，暂不征收企业所得税。</w:t>
      </w:r>
    </w:p>
    <w:p>
      <w:pPr>
        <w:pStyle w:val="23"/>
        <w:spacing w:before="0"/>
        <w:ind w:left="0" w:firstLine="480"/>
        <w:rPr>
          <w:rFonts w:hint="eastAsia"/>
        </w:rPr>
      </w:pPr>
      <w:r>
        <w:rPr>
          <w:rFonts w:hint="eastAsia"/>
        </w:rPr>
        <w:t>(3)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23"/>
        <w:spacing w:before="0"/>
        <w:ind w:left="0" w:firstLine="480"/>
        <w:rPr>
          <w:rFonts w:hint="eastAsia"/>
        </w:rPr>
      </w:pPr>
      <w:r>
        <w:rPr>
          <w:rFonts w:hint="eastAsia"/>
        </w:rPr>
        <w:t>(4)基金卖出股票按0.1%的税率缴纳股票交易印花税，买入股票不征收股票交易印花税。</w:t>
      </w:r>
    </w:p>
    <w:p>
      <w:pPr>
        <w:pStyle w:val="23"/>
        <w:spacing w:before="0"/>
        <w:ind w:left="0" w:firstLine="480"/>
        <w:rPr>
          <w:rFonts w:hint="eastAsia"/>
        </w:rPr>
      </w:pPr>
      <w:r>
        <w:rPr>
          <w:rFonts w:hint="eastAsia"/>
        </w:rPr>
        <w:t>(5)本基金的城市维护建设税、教育费附加和地方教育费附加等税费按照实际缴纳增值税额的适用比例计算缴纳。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18"/>
        <w:rPr>
          <w:rFonts w:hint="eastAsia"/>
        </w:rPr>
      </w:pPr>
      <w:r>
        <w:rPr>
          <w:rFonts w:hint="eastAsia"/>
          <w:b/>
          <w:bCs/>
        </w:rPr>
        <w:t>7.4.7 重要财务报表项目的说明</w:t>
      </w:r>
    </w:p>
    <w:p>
      <w:pPr>
        <w:pStyle w:val="18"/>
        <w:rPr>
          <w:rFonts w:hint="eastAsia"/>
        </w:rPr>
      </w:pPr>
      <w:r>
        <w:rPr>
          <w:rFonts w:hint="eastAsia"/>
          <w:b/>
          <w:bCs/>
        </w:rPr>
        <w:t>7.4.7.1 银行存款</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0"/>
        <w:tblW w:w="9045" w:type="dxa"/>
        <w:tblInd w:w="108" w:type="dxa"/>
        <w:tblLayout w:type="autofit"/>
        <w:tblCellMar>
          <w:top w:w="0" w:type="dxa"/>
          <w:left w:w="108" w:type="dxa"/>
          <w:bottom w:w="0" w:type="dxa"/>
          <w:right w:w="108" w:type="dxa"/>
        </w:tblCellMar>
      </w:tblPr>
      <w:tblGrid>
        <w:gridCol w:w="3075"/>
        <w:gridCol w:w="2985"/>
        <w:gridCol w:w="2985"/>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本期末</w:t>
            </w:r>
          </w:p>
          <w:p>
            <w:pPr>
              <w:pStyle w:val="21"/>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上年度末</w:t>
            </w:r>
          </w:p>
          <w:p>
            <w:pPr>
              <w:pStyle w:val="21"/>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46,744,009.90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61,590,100.75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46,744,009.90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61,590,100.75</w:t>
            </w:r>
          </w:p>
        </w:tc>
      </w:tr>
    </w:tbl>
    <w:p>
      <w:pPr>
        <w:widowControl/>
        <w:jc w:val="left"/>
        <w:rPr>
          <w:rFonts w:hint="eastAsia" w:ascii="宋体" w:hAnsi="宋体" w:cs="宋体"/>
          <w:kern w:val="0"/>
          <w:sz w:val="24"/>
          <w:szCs w:val="24"/>
        </w:rPr>
      </w:pPr>
    </w:p>
    <w:p>
      <w:pPr>
        <w:pStyle w:val="18"/>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0"/>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194,447,484.91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154,767,328.97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-39,680,155.94</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194,447,484.91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154,767,328.97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-39,680,155.94</w:t>
            </w:r>
          </w:p>
        </w:tc>
      </w:tr>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上年度末2017年12月31日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121,650,447.36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117,591,348.03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-4,059,099.33</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121,650,447.36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117,591,348.03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-4,059,099.33</w:t>
            </w:r>
          </w:p>
        </w:tc>
      </w:tr>
    </w:tbl>
    <w:p>
      <w:pPr>
        <w:widowControl/>
        <w:jc w:val="left"/>
        <w:rPr>
          <w:rFonts w:hint="eastAsia" w:ascii="宋体" w:hAnsi="宋体" w:cs="宋体"/>
          <w:kern w:val="0"/>
          <w:sz w:val="24"/>
          <w:szCs w:val="24"/>
        </w:rPr>
      </w:pPr>
    </w:p>
    <w:p>
      <w:pPr>
        <w:pStyle w:val="18"/>
        <w:rPr>
          <w:rFonts w:hint="eastAsia"/>
        </w:rPr>
      </w:pPr>
      <w:r>
        <w:rPr>
          <w:rFonts w:hint="eastAsia"/>
          <w:b/>
          <w:bCs/>
        </w:rPr>
        <w:t>7.4.7.3 衍生金融资产/负债</w:t>
      </w:r>
    </w:p>
    <w:p>
      <w:pPr>
        <w:pStyle w:val="23"/>
        <w:rPr>
          <w:rFonts w:hint="eastAsia"/>
        </w:rPr>
      </w:pPr>
      <w:r>
        <w:rPr>
          <w:rFonts w:hint="eastAsia"/>
        </w:rPr>
        <w:t>本基金本报告期末及上年度末未持有衍生金融资产/负债。</w:t>
      </w:r>
    </w:p>
    <w:p>
      <w:pPr>
        <w:widowControl/>
        <w:jc w:val="left"/>
        <w:rPr>
          <w:rFonts w:hint="eastAsia" w:ascii="宋体" w:hAnsi="宋体" w:cs="宋体"/>
          <w:kern w:val="0"/>
          <w:sz w:val="24"/>
          <w:szCs w:val="24"/>
        </w:rPr>
      </w:pPr>
    </w:p>
    <w:p>
      <w:pPr>
        <w:pStyle w:val="18"/>
        <w:rPr>
          <w:rFonts w:hint="eastAsia"/>
        </w:rPr>
      </w:pPr>
      <w:r>
        <w:rPr>
          <w:rFonts w:hint="eastAsia"/>
          <w:b/>
          <w:bCs/>
        </w:rPr>
        <w:t>7.4.7.4 买入返售金融资产</w:t>
      </w:r>
    </w:p>
    <w:p>
      <w:pPr>
        <w:pStyle w:val="18"/>
        <w:rPr>
          <w:rFonts w:hint="eastAsia"/>
        </w:rPr>
      </w:pPr>
      <w:r>
        <w:rPr>
          <w:rFonts w:hint="eastAsia"/>
          <w:b/>
          <w:bCs/>
        </w:rPr>
        <w:t>7.4.7.4.1 各项买入返售金融资产期末余额</w:t>
      </w:r>
    </w:p>
    <w:p>
      <w:pPr>
        <w:pStyle w:val="22"/>
        <w:rPr>
          <w:rFonts w:hint="eastAsia"/>
        </w:rPr>
      </w:pPr>
      <w:r>
        <w:rPr>
          <w:rFonts w:hint="eastAsia" w:hAnsi="Calibri"/>
          <w:color w:val="000000"/>
        </w:rPr>
        <w:t>单位：人民币元</w:t>
      </w:r>
    </w:p>
    <w:tbl>
      <w:tblPr>
        <w:tblStyle w:val="10"/>
        <w:tblW w:w="9045" w:type="dxa"/>
        <w:tblInd w:w="108" w:type="dxa"/>
        <w:tblLayout w:type="autofit"/>
        <w:tblCellMar>
          <w:top w:w="0" w:type="dxa"/>
          <w:left w:w="108" w:type="dxa"/>
          <w:bottom w:w="0" w:type="dxa"/>
          <w:right w:w="108" w:type="dxa"/>
        </w:tblCellMar>
      </w:tblPr>
      <w:tblGrid>
        <w:gridCol w:w="1875"/>
        <w:gridCol w:w="3185"/>
        <w:gridCol w:w="3985"/>
      </w:tblGrid>
      <w:tr>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上年度末2017年12月31日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410,000,000.00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410,000,000.00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p>
    <w:p>
      <w:pPr>
        <w:pStyle w:val="18"/>
        <w:rPr>
          <w:rFonts w:hint="eastAsia"/>
        </w:rPr>
      </w:pPr>
      <w:r>
        <w:rPr>
          <w:rFonts w:hint="eastAsia"/>
          <w:b/>
          <w:bCs/>
        </w:rPr>
        <w:t>7.4.7.4.2 期末买断式逆回购交易中取得的债券</w:t>
      </w:r>
    </w:p>
    <w:p>
      <w:pPr>
        <w:pStyle w:val="23"/>
        <w:rPr>
          <w:rFonts w:hint="eastAsia"/>
        </w:rPr>
      </w:pPr>
      <w:r>
        <w:rPr>
          <w:rFonts w:hint="eastAsia"/>
        </w:rPr>
        <w:t>本基金本报告期末及上年度末未持有买断式逆回购交易中取得的债券。</w:t>
      </w:r>
    </w:p>
    <w:p>
      <w:pPr>
        <w:widowControl/>
        <w:jc w:val="left"/>
        <w:rPr>
          <w:rFonts w:hint="eastAsia" w:ascii="宋体" w:hAnsi="宋体" w:cs="宋体"/>
          <w:kern w:val="0"/>
          <w:sz w:val="24"/>
          <w:szCs w:val="24"/>
        </w:rPr>
      </w:pPr>
    </w:p>
    <w:p>
      <w:pPr>
        <w:pStyle w:val="18"/>
        <w:rPr>
          <w:rFonts w:hint="eastAsia"/>
        </w:rPr>
      </w:pPr>
      <w:r>
        <w:rPr>
          <w:rFonts w:hint="eastAsia"/>
          <w:b/>
          <w:bCs/>
        </w:rPr>
        <w:t>7.4.7.5 应收利息</w:t>
      </w:r>
    </w:p>
    <w:p>
      <w:pPr>
        <w:pStyle w:val="22"/>
        <w:rPr>
          <w:rFonts w:hint="eastAsia"/>
        </w:rPr>
      </w:pPr>
      <w:r>
        <w:rPr>
          <w:rFonts w:hint="eastAsia" w:hAnsi="Calibri"/>
          <w:color w:val="000000"/>
        </w:rPr>
        <w:t>单位：人民币元</w:t>
      </w:r>
    </w:p>
    <w:tbl>
      <w:tblPr>
        <w:tblStyle w:val="10"/>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本期末</w:t>
            </w:r>
          </w:p>
          <w:p>
            <w:pPr>
              <w:pStyle w:val="21"/>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上年度末</w:t>
            </w:r>
          </w:p>
          <w:p>
            <w:pPr>
              <w:pStyle w:val="21"/>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10,525.74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12,191.24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6,576.02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26,875.64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-28,273.99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-192,350.14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29.15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12.21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-11,143.08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-153,271.05</w:t>
            </w:r>
          </w:p>
        </w:tc>
      </w:tr>
    </w:tbl>
    <w:p>
      <w:pPr>
        <w:widowControl/>
        <w:jc w:val="left"/>
        <w:rPr>
          <w:rFonts w:hint="eastAsia" w:ascii="宋体" w:hAnsi="宋体" w:cs="宋体"/>
          <w:kern w:val="0"/>
          <w:sz w:val="24"/>
          <w:szCs w:val="24"/>
        </w:rPr>
      </w:pPr>
    </w:p>
    <w:p>
      <w:pPr>
        <w:pStyle w:val="18"/>
        <w:rPr>
          <w:rFonts w:hint="eastAsia"/>
        </w:rPr>
      </w:pPr>
      <w:r>
        <w:rPr>
          <w:rFonts w:hint="eastAsia"/>
          <w:b/>
          <w:bCs/>
        </w:rPr>
        <w:t>7.4.7.6 其他资产</w:t>
      </w:r>
    </w:p>
    <w:p>
      <w:pPr>
        <w:pStyle w:val="23"/>
        <w:rPr>
          <w:rFonts w:hint="eastAsia"/>
        </w:rPr>
      </w:pPr>
      <w:r>
        <w:rPr>
          <w:rFonts w:hint="eastAsia"/>
        </w:rPr>
        <w:t>本基金本报告期末及上年度末未持有其他资产。</w:t>
      </w:r>
    </w:p>
    <w:p>
      <w:pPr>
        <w:widowControl/>
        <w:jc w:val="left"/>
        <w:rPr>
          <w:rFonts w:hint="eastAsia" w:ascii="宋体" w:hAnsi="宋体" w:cs="宋体"/>
          <w:kern w:val="0"/>
          <w:sz w:val="24"/>
          <w:szCs w:val="24"/>
        </w:rPr>
      </w:pPr>
    </w:p>
    <w:p>
      <w:pPr>
        <w:pStyle w:val="18"/>
        <w:rPr>
          <w:rFonts w:hint="eastAsia"/>
        </w:rPr>
      </w:pPr>
      <w:r>
        <w:rPr>
          <w:rFonts w:hint="eastAsia"/>
          <w:b/>
          <w:bCs/>
        </w:rPr>
        <w:t>7.4.7.7 应付交易费用</w:t>
      </w:r>
    </w:p>
    <w:p>
      <w:pPr>
        <w:pStyle w:val="22"/>
        <w:rPr>
          <w:rFonts w:hint="eastAsia"/>
        </w:rPr>
      </w:pPr>
      <w:r>
        <w:rPr>
          <w:rFonts w:hint="eastAsia" w:hAnsi="Calibri"/>
          <w:color w:val="000000"/>
        </w:rPr>
        <w:t>单位：人民币元</w:t>
      </w:r>
    </w:p>
    <w:tbl>
      <w:tblPr>
        <w:tblStyle w:val="10"/>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本期末</w:t>
            </w:r>
          </w:p>
          <w:p>
            <w:pPr>
              <w:pStyle w:val="21"/>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上年度末</w:t>
            </w:r>
          </w:p>
          <w:p>
            <w:pPr>
              <w:pStyle w:val="21"/>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90,778.23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77,536.54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90,778.23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77,536.54</w:t>
            </w:r>
          </w:p>
        </w:tc>
      </w:tr>
    </w:tbl>
    <w:p>
      <w:pPr>
        <w:widowControl/>
        <w:jc w:val="left"/>
        <w:rPr>
          <w:rFonts w:hint="eastAsia" w:ascii="宋体" w:hAnsi="宋体" w:cs="宋体"/>
          <w:kern w:val="0"/>
          <w:sz w:val="24"/>
          <w:szCs w:val="24"/>
        </w:rPr>
      </w:pPr>
    </w:p>
    <w:p>
      <w:pPr>
        <w:pStyle w:val="18"/>
        <w:rPr>
          <w:rFonts w:hint="eastAsia"/>
        </w:rPr>
      </w:pPr>
      <w:r>
        <w:rPr>
          <w:rFonts w:hint="eastAsia"/>
          <w:b/>
          <w:bCs/>
        </w:rPr>
        <w:t>7.4.7.8 其他负债</w:t>
      </w:r>
    </w:p>
    <w:p>
      <w:pPr>
        <w:pStyle w:val="22"/>
        <w:rPr>
          <w:rFonts w:hint="eastAsia"/>
        </w:rPr>
      </w:pPr>
      <w:r>
        <w:rPr>
          <w:rFonts w:hint="eastAsia" w:hAnsi="Calibri"/>
          <w:color w:val="000000"/>
        </w:rPr>
        <w:t>单位：人民币元</w:t>
      </w:r>
    </w:p>
    <w:tbl>
      <w:tblPr>
        <w:tblStyle w:val="10"/>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本期末</w:t>
            </w:r>
          </w:p>
          <w:p>
            <w:pPr>
              <w:pStyle w:val="21"/>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上年度末</w:t>
            </w:r>
          </w:p>
          <w:p>
            <w:pPr>
              <w:pStyle w:val="21"/>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1,563.55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280,000.00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135,000.00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280,000.00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136,563.55</w:t>
            </w:r>
          </w:p>
        </w:tc>
      </w:tr>
    </w:tbl>
    <w:p>
      <w:pPr>
        <w:widowControl/>
        <w:jc w:val="left"/>
        <w:rPr>
          <w:rFonts w:hint="eastAsia" w:ascii="宋体" w:hAnsi="宋体" w:cs="宋体"/>
          <w:kern w:val="0"/>
          <w:sz w:val="24"/>
          <w:szCs w:val="24"/>
        </w:rPr>
      </w:pPr>
    </w:p>
    <w:p>
      <w:pPr>
        <w:pStyle w:val="18"/>
        <w:rPr>
          <w:rFonts w:hint="eastAsia"/>
        </w:rPr>
      </w:pPr>
      <w:r>
        <w:rPr>
          <w:rFonts w:hint="eastAsia"/>
          <w:b/>
          <w:bCs/>
        </w:rPr>
        <w:t>7.4.7.9 实收基金</w:t>
      </w:r>
    </w:p>
    <w:p>
      <w:pPr>
        <w:pStyle w:val="22"/>
        <w:rPr>
          <w:rFonts w:hint="eastAsia"/>
        </w:rPr>
      </w:pPr>
      <w:r>
        <w:rPr>
          <w:rFonts w:hint="eastAsia" w:hAnsi="Calibri"/>
          <w:color w:val="000000"/>
        </w:rPr>
        <w:t>金额单位：人民币元</w:t>
      </w:r>
    </w:p>
    <w:tbl>
      <w:tblPr>
        <w:tblStyle w:val="10"/>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项目</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本期2018年01月01日至2018年12月31日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631,378,610.11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631,378,610.11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1,986,047.80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1,986,047.80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-240,449,813.85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-240,449,813.85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392,914,844.06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392,914,844.06</w:t>
            </w:r>
          </w:p>
        </w:tc>
      </w:tr>
    </w:tbl>
    <w:p>
      <w:pPr>
        <w:pStyle w:val="23"/>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18"/>
        <w:rPr>
          <w:rFonts w:hint="eastAsia"/>
        </w:rPr>
      </w:pPr>
      <w:r>
        <w:rPr>
          <w:rFonts w:hint="eastAsia"/>
          <w:b/>
          <w:bCs/>
        </w:rPr>
        <w:t>7.4.7.10 未分配利润</w:t>
      </w:r>
    </w:p>
    <w:p>
      <w:pPr>
        <w:pStyle w:val="22"/>
        <w:rPr>
          <w:rFonts w:hint="eastAsia"/>
        </w:rPr>
      </w:pPr>
      <w:r>
        <w:rPr>
          <w:rFonts w:hint="eastAsia" w:hAnsi="Calibri"/>
          <w:color w:val="000000"/>
        </w:rPr>
        <w:t>单位：人民币元</w:t>
      </w:r>
    </w:p>
    <w:tbl>
      <w:tblPr>
        <w:tblStyle w:val="10"/>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项目</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4,557,722.28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-3,617,527.03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940,195.25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-8,760,967.93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-35,621,056.61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-44,382,024.54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-1,186,666.91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5,811,559.47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4,624,892.56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9,322.03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-45,896.64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-36,574.61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-1,195,988.94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5,857,456.11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4,661,467.17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-5,389,912.56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-33,427,024.17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-38,816,936.73</w:t>
            </w:r>
          </w:p>
        </w:tc>
      </w:tr>
    </w:tbl>
    <w:p>
      <w:pPr>
        <w:widowControl/>
        <w:jc w:val="left"/>
        <w:rPr>
          <w:rFonts w:hint="eastAsia" w:ascii="宋体" w:hAnsi="宋体" w:cs="宋体"/>
          <w:kern w:val="0"/>
          <w:sz w:val="24"/>
          <w:szCs w:val="24"/>
        </w:rPr>
      </w:pPr>
    </w:p>
    <w:p>
      <w:pPr>
        <w:pStyle w:val="18"/>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0"/>
        <w:tblW w:w="9045" w:type="dxa"/>
        <w:tblInd w:w="108" w:type="dxa"/>
        <w:tblLayout w:type="autofit"/>
        <w:tblCellMar>
          <w:top w:w="0" w:type="dxa"/>
          <w:left w:w="108" w:type="dxa"/>
          <w:bottom w:w="0" w:type="dxa"/>
          <w:right w:w="108" w:type="dxa"/>
        </w:tblCellMar>
      </w:tblPr>
      <w:tblGrid>
        <w:gridCol w:w="3255"/>
        <w:gridCol w:w="2109"/>
        <w:gridCol w:w="3681"/>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本期2018年01月01日至2018年12月31日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上年度可比期间2017年09月27日（基金合同生效日）至2017年12月31日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814,075.22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177,328.70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306,449.17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132,838.09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1,089.00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41.60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1,121,613.39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310,208.39</w:t>
            </w:r>
          </w:p>
        </w:tc>
      </w:tr>
    </w:tbl>
    <w:p>
      <w:pPr>
        <w:widowControl/>
        <w:jc w:val="left"/>
        <w:rPr>
          <w:rFonts w:hint="eastAsia" w:ascii="宋体" w:hAnsi="宋体" w:cs="宋体"/>
          <w:kern w:val="0"/>
          <w:sz w:val="24"/>
          <w:szCs w:val="24"/>
        </w:rPr>
      </w:pPr>
    </w:p>
    <w:p>
      <w:pPr>
        <w:pStyle w:val="18"/>
        <w:rPr>
          <w:rFonts w:hint="eastAsia"/>
        </w:rPr>
      </w:pPr>
      <w:r>
        <w:rPr>
          <w:rFonts w:hint="eastAsia"/>
          <w:b/>
          <w:bCs/>
        </w:rPr>
        <w:t>7.4.7.12 股票投资收益</w:t>
      </w:r>
    </w:p>
    <w:p>
      <w:pPr>
        <w:pStyle w:val="22"/>
        <w:rPr>
          <w:rFonts w:hint="eastAsia"/>
        </w:rPr>
      </w:pPr>
      <w:r>
        <w:rPr>
          <w:rFonts w:hint="eastAsia" w:hAnsi="Calibri"/>
          <w:color w:val="000000"/>
        </w:rPr>
        <w:t>单位：人民币元</w:t>
      </w:r>
    </w:p>
    <w:tbl>
      <w:tblPr>
        <w:tblStyle w:val="10"/>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本期</w:t>
            </w:r>
          </w:p>
          <w:p>
            <w:pPr>
              <w:pStyle w:val="21"/>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上年度可比期间</w:t>
            </w:r>
          </w:p>
          <w:p>
            <w:pPr>
              <w:pStyle w:val="21"/>
              <w:wordWrap w:val="0"/>
              <w:rPr>
                <w:rFonts w:hint="eastAsia"/>
              </w:rPr>
            </w:pPr>
            <w:r>
              <w:rPr>
                <w:rFonts w:hint="eastAsia"/>
              </w:rPr>
              <w:t>2017年09月27日（基金合同生效日）至2017年12月31日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243,623,599.06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8,039,846.27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252,551,859.10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7,205,101.04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-8,928,260.04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834,745.23</w:t>
            </w:r>
          </w:p>
        </w:tc>
      </w:tr>
    </w:tbl>
    <w:p>
      <w:pPr>
        <w:widowControl/>
        <w:jc w:val="left"/>
        <w:rPr>
          <w:rFonts w:hint="eastAsia" w:ascii="宋体" w:hAnsi="宋体" w:cs="宋体"/>
          <w:kern w:val="0"/>
          <w:sz w:val="24"/>
          <w:szCs w:val="24"/>
        </w:rPr>
      </w:pPr>
    </w:p>
    <w:p>
      <w:pPr>
        <w:pStyle w:val="18"/>
        <w:rPr>
          <w:rFonts w:hint="eastAsia"/>
        </w:rPr>
      </w:pPr>
      <w:r>
        <w:rPr>
          <w:rFonts w:hint="eastAsia"/>
          <w:b/>
          <w:bCs/>
        </w:rPr>
        <w:t>7.4.7.13 债券投资收益</w:t>
      </w:r>
    </w:p>
    <w:p>
      <w:pPr>
        <w:pStyle w:val="23"/>
        <w:rPr>
          <w:rFonts w:hint="eastAsia"/>
        </w:rPr>
      </w:pPr>
      <w:r>
        <w:rPr>
          <w:rFonts w:hint="eastAsia"/>
        </w:rPr>
        <w:t>本基金本报告期及上年度可比期间无债券投资收益。</w:t>
      </w:r>
    </w:p>
    <w:p>
      <w:pPr>
        <w:widowControl/>
        <w:jc w:val="left"/>
        <w:rPr>
          <w:rFonts w:hint="eastAsia" w:ascii="宋体" w:hAnsi="宋体" w:cs="宋体"/>
          <w:kern w:val="0"/>
          <w:sz w:val="24"/>
          <w:szCs w:val="24"/>
        </w:rPr>
      </w:pPr>
    </w:p>
    <w:p>
      <w:pPr>
        <w:pStyle w:val="18"/>
        <w:rPr>
          <w:rFonts w:hint="eastAsia"/>
        </w:rPr>
      </w:pPr>
      <w:r>
        <w:rPr>
          <w:rFonts w:hint="eastAsia"/>
          <w:b/>
          <w:bCs/>
        </w:rPr>
        <w:t>7.4.7.14 衍生工具收益</w:t>
      </w:r>
    </w:p>
    <w:p>
      <w:pPr>
        <w:pStyle w:val="23"/>
        <w:rPr>
          <w:rFonts w:hint="eastAsia"/>
        </w:rPr>
      </w:pPr>
      <w:r>
        <w:rPr>
          <w:rFonts w:hint="eastAsia"/>
        </w:rPr>
        <w:t>本基金本报告期及上年度可比期间无衍生工具收益。</w:t>
      </w:r>
    </w:p>
    <w:p>
      <w:pPr>
        <w:widowControl/>
        <w:jc w:val="left"/>
        <w:rPr>
          <w:rFonts w:hint="eastAsia" w:ascii="宋体" w:hAnsi="宋体" w:cs="宋体"/>
          <w:kern w:val="0"/>
          <w:sz w:val="24"/>
          <w:szCs w:val="24"/>
        </w:rPr>
      </w:pPr>
    </w:p>
    <w:p>
      <w:pPr>
        <w:pStyle w:val="18"/>
        <w:rPr>
          <w:rFonts w:hint="eastAsia"/>
        </w:rPr>
      </w:pPr>
      <w:r>
        <w:rPr>
          <w:rFonts w:hint="eastAsia"/>
          <w:b/>
          <w:bCs/>
        </w:rPr>
        <w:t>7.4.7.15 股利收益</w:t>
      </w:r>
    </w:p>
    <w:p>
      <w:pPr>
        <w:pStyle w:val="22"/>
        <w:rPr>
          <w:rFonts w:hint="eastAsia"/>
        </w:rPr>
      </w:pPr>
      <w:r>
        <w:rPr>
          <w:rFonts w:hint="eastAsia" w:hAnsi="Calibri"/>
          <w:color w:val="000000"/>
        </w:rPr>
        <w:t>单位：人民币元</w:t>
      </w:r>
    </w:p>
    <w:tbl>
      <w:tblPr>
        <w:tblStyle w:val="10"/>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本期</w:t>
            </w:r>
          </w:p>
          <w:p>
            <w:pPr>
              <w:pStyle w:val="21"/>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上年度可比期间</w:t>
            </w:r>
          </w:p>
          <w:p>
            <w:pPr>
              <w:pStyle w:val="21"/>
              <w:wordWrap w:val="0"/>
              <w:rPr>
                <w:rFonts w:hint="eastAsia"/>
              </w:rPr>
            </w:pPr>
            <w:r>
              <w:rPr>
                <w:rFonts w:hint="eastAsia"/>
              </w:rPr>
              <w:t>2017年09月27日（基金合同生效日）至2017年12月31日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1,571,997.08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1,571,997.08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8"/>
        <w:rPr>
          <w:rFonts w:hint="eastAsia"/>
        </w:rPr>
      </w:pPr>
      <w:r>
        <w:rPr>
          <w:rFonts w:hint="eastAsia"/>
          <w:b/>
          <w:bCs/>
        </w:rPr>
        <w:t>7.4.7.16 公允价值变动收益</w:t>
      </w:r>
    </w:p>
    <w:p>
      <w:pPr>
        <w:pStyle w:val="22"/>
        <w:rPr>
          <w:rFonts w:hint="eastAsia"/>
        </w:rPr>
      </w:pPr>
      <w:r>
        <w:rPr>
          <w:rFonts w:hint="eastAsia" w:hAnsi="Calibri"/>
          <w:color w:val="000000"/>
        </w:rPr>
        <w:t>单位：人民币元</w:t>
      </w:r>
    </w:p>
    <w:tbl>
      <w:tblPr>
        <w:tblStyle w:val="10"/>
        <w:tblW w:w="9045" w:type="dxa"/>
        <w:tblInd w:w="108" w:type="dxa"/>
        <w:tblLayout w:type="autofit"/>
        <w:tblCellMar>
          <w:top w:w="0" w:type="dxa"/>
          <w:left w:w="108" w:type="dxa"/>
          <w:bottom w:w="0" w:type="dxa"/>
          <w:right w:w="108" w:type="dxa"/>
        </w:tblCellMar>
      </w:tblPr>
      <w:tblGrid>
        <w:gridCol w:w="2713"/>
        <w:gridCol w:w="2474"/>
        <w:gridCol w:w="3858"/>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本期</w:t>
            </w:r>
          </w:p>
          <w:p>
            <w:pPr>
              <w:pStyle w:val="21"/>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上年度可比期间</w:t>
            </w:r>
          </w:p>
          <w:p>
            <w:pPr>
              <w:pStyle w:val="21"/>
              <w:wordWrap w:val="0"/>
              <w:rPr>
                <w:rFonts w:hint="eastAsia"/>
              </w:rPr>
            </w:pPr>
            <w:r>
              <w:rPr>
                <w:rFonts w:hint="eastAsia"/>
              </w:rPr>
              <w:t>2017年09月27日（基金合同生效日）至2017年12月31日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-35,621,056.61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-4,059,099.33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-35,621,056.61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-4,059,099.33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-35,621,056.61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-4,059,099.33</w:t>
            </w:r>
          </w:p>
        </w:tc>
      </w:tr>
    </w:tbl>
    <w:p>
      <w:pPr>
        <w:widowControl/>
        <w:jc w:val="left"/>
        <w:rPr>
          <w:rFonts w:hint="eastAsia" w:ascii="宋体" w:hAnsi="宋体" w:cs="宋体"/>
          <w:kern w:val="0"/>
          <w:sz w:val="24"/>
          <w:szCs w:val="24"/>
        </w:rPr>
      </w:pPr>
    </w:p>
    <w:p>
      <w:pPr>
        <w:pStyle w:val="18"/>
        <w:rPr>
          <w:rFonts w:hint="eastAsia"/>
        </w:rPr>
      </w:pPr>
      <w:r>
        <w:rPr>
          <w:rFonts w:hint="eastAsia"/>
          <w:b/>
          <w:bCs/>
        </w:rPr>
        <w:t>7.4.7.17 其他收入</w:t>
      </w:r>
    </w:p>
    <w:p>
      <w:pPr>
        <w:pStyle w:val="22"/>
        <w:rPr>
          <w:rFonts w:hint="eastAsia"/>
        </w:rPr>
      </w:pPr>
      <w:r>
        <w:rPr>
          <w:rFonts w:hint="eastAsia" w:hAnsi="Calibri"/>
          <w:color w:val="000000"/>
        </w:rPr>
        <w:t>单位：人民币元</w:t>
      </w:r>
    </w:p>
    <w:tbl>
      <w:tblPr>
        <w:tblStyle w:val="10"/>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本期</w:t>
            </w:r>
          </w:p>
          <w:p>
            <w:pPr>
              <w:pStyle w:val="21"/>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上年度可比期间</w:t>
            </w:r>
          </w:p>
          <w:p>
            <w:pPr>
              <w:pStyle w:val="21"/>
              <w:wordWrap w:val="0"/>
              <w:rPr>
                <w:rFonts w:hint="eastAsia"/>
              </w:rPr>
            </w:pPr>
            <w:r>
              <w:rPr>
                <w:rFonts w:hint="eastAsia"/>
              </w:rPr>
              <w:t>2017年09月27日（基金合同生效日）至2017年12月31日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392,916.26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719,694.10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转换费收入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1,373.82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727.39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394,290.08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720,421.49</w:t>
            </w:r>
          </w:p>
        </w:tc>
      </w:tr>
    </w:tbl>
    <w:p>
      <w:pPr>
        <w:widowControl/>
        <w:jc w:val="left"/>
        <w:rPr>
          <w:rFonts w:hint="eastAsia" w:ascii="宋体" w:hAnsi="宋体" w:cs="宋体"/>
          <w:kern w:val="0"/>
          <w:sz w:val="24"/>
          <w:szCs w:val="24"/>
        </w:rPr>
      </w:pPr>
    </w:p>
    <w:p>
      <w:pPr>
        <w:pStyle w:val="18"/>
        <w:rPr>
          <w:rFonts w:hint="eastAsia"/>
        </w:rPr>
      </w:pPr>
      <w:r>
        <w:rPr>
          <w:rFonts w:hint="eastAsia"/>
          <w:b/>
          <w:bCs/>
        </w:rPr>
        <w:t>7.4.7.18 交易费用</w:t>
      </w:r>
    </w:p>
    <w:p>
      <w:pPr>
        <w:pStyle w:val="22"/>
        <w:rPr>
          <w:rFonts w:hint="eastAsia"/>
        </w:rPr>
      </w:pPr>
      <w:r>
        <w:rPr>
          <w:rFonts w:hint="eastAsia"/>
        </w:rPr>
        <w:t>单位：人民币元</w:t>
      </w:r>
    </w:p>
    <w:tbl>
      <w:tblPr>
        <w:tblStyle w:val="10"/>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本期</w:t>
            </w:r>
          </w:p>
          <w:p>
            <w:pPr>
              <w:pStyle w:val="21"/>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上年度可比期间</w:t>
            </w:r>
          </w:p>
          <w:p>
            <w:pPr>
              <w:pStyle w:val="21"/>
              <w:wordWrap w:val="0"/>
              <w:rPr>
                <w:rFonts w:hint="eastAsia"/>
              </w:rPr>
            </w:pPr>
            <w:r>
              <w:rPr>
                <w:rFonts w:hint="eastAsia"/>
              </w:rPr>
              <w:t>2017年09月27日（基金合同生效日）至2017年12月31日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621,459.58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99,277.73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621,459.58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99,277.73</w:t>
            </w:r>
          </w:p>
        </w:tc>
      </w:tr>
    </w:tbl>
    <w:p>
      <w:pPr>
        <w:widowControl/>
        <w:jc w:val="left"/>
        <w:rPr>
          <w:rFonts w:hint="eastAsia" w:ascii="宋体" w:hAnsi="宋体" w:cs="宋体"/>
          <w:kern w:val="0"/>
          <w:sz w:val="24"/>
          <w:szCs w:val="24"/>
        </w:rPr>
      </w:pPr>
    </w:p>
    <w:p>
      <w:pPr>
        <w:pStyle w:val="18"/>
        <w:rPr>
          <w:rFonts w:hint="eastAsia"/>
        </w:rPr>
      </w:pPr>
      <w:r>
        <w:rPr>
          <w:rFonts w:hint="eastAsia"/>
          <w:b/>
          <w:bCs/>
        </w:rPr>
        <w:t>7.4.7.19 其他费用</w:t>
      </w:r>
    </w:p>
    <w:p>
      <w:pPr>
        <w:pStyle w:val="22"/>
        <w:rPr>
          <w:rFonts w:hint="eastAsia"/>
        </w:rPr>
      </w:pPr>
      <w:r>
        <w:rPr>
          <w:rFonts w:hint="eastAsia" w:hAnsi="Calibri"/>
          <w:color w:val="000000"/>
        </w:rPr>
        <w:t>单位：人民币元</w:t>
      </w:r>
    </w:p>
    <w:tbl>
      <w:tblPr>
        <w:tblStyle w:val="10"/>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本期</w:t>
            </w:r>
          </w:p>
          <w:p>
            <w:pPr>
              <w:pStyle w:val="21"/>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上年度可比期间</w:t>
            </w:r>
          </w:p>
          <w:p>
            <w:pPr>
              <w:pStyle w:val="21"/>
              <w:wordWrap w:val="0"/>
              <w:rPr>
                <w:rFonts w:hint="eastAsia"/>
              </w:rPr>
            </w:pPr>
            <w:r>
              <w:rPr>
                <w:rFonts w:hint="eastAsia"/>
              </w:rPr>
              <w:t>2017年09月27日（基金合同生效日）至2017年12月31日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80,000.00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85,000.00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50,000.00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344.00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40.00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400.00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280,344.00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135,440.00</w:t>
            </w:r>
          </w:p>
        </w:tc>
      </w:tr>
    </w:tbl>
    <w:p>
      <w:pPr>
        <w:widowControl/>
        <w:jc w:val="left"/>
        <w:rPr>
          <w:rFonts w:hint="eastAsia" w:ascii="宋体" w:hAnsi="宋体" w:cs="宋体"/>
          <w:kern w:val="0"/>
          <w:sz w:val="24"/>
          <w:szCs w:val="24"/>
        </w:rPr>
      </w:pPr>
    </w:p>
    <w:p>
      <w:pPr>
        <w:pStyle w:val="18"/>
        <w:rPr>
          <w:rFonts w:hint="eastAsia"/>
        </w:rPr>
      </w:pPr>
      <w:r>
        <w:rPr>
          <w:rFonts w:hint="eastAsia"/>
          <w:b/>
          <w:bCs/>
        </w:rPr>
        <w:t>7.4.8 或有事项、资产负债表日后事项的说明</w:t>
      </w:r>
    </w:p>
    <w:p>
      <w:pPr>
        <w:pStyle w:val="18"/>
        <w:rPr>
          <w:rFonts w:hint="eastAsia"/>
        </w:rPr>
      </w:pPr>
      <w:r>
        <w:rPr>
          <w:rFonts w:hint="eastAsia"/>
          <w:b/>
          <w:bCs/>
        </w:rPr>
        <w:t>7.4.8.1 或有事项</w:t>
      </w:r>
    </w:p>
    <w:p>
      <w:pPr>
        <w:pStyle w:val="23"/>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18"/>
        <w:rPr>
          <w:rFonts w:hint="eastAsia"/>
        </w:rPr>
      </w:pPr>
      <w:r>
        <w:rPr>
          <w:rFonts w:hint="eastAsia"/>
          <w:b/>
          <w:bCs/>
        </w:rPr>
        <w:t>7.4.8.2 资产负债表日后事项</w:t>
      </w:r>
    </w:p>
    <w:p>
      <w:pPr>
        <w:pStyle w:val="23"/>
        <w:spacing w:before="0"/>
        <w:ind w:left="0" w:firstLine="480"/>
        <w:rPr>
          <w:rFonts w:hint="eastAsia"/>
        </w:rPr>
      </w:pPr>
      <w:r>
        <w:rPr>
          <w:rFonts w:hint="eastAsia"/>
        </w:rPr>
        <w:t>截至本财务报表批准报出日，本基金无须作披露的资产负债表日后事项。</w:t>
      </w:r>
    </w:p>
    <w:p>
      <w:pPr>
        <w:widowControl/>
        <w:jc w:val="left"/>
        <w:rPr>
          <w:rFonts w:hint="eastAsia" w:ascii="宋体" w:hAnsi="宋体" w:cs="宋体"/>
          <w:kern w:val="0"/>
          <w:sz w:val="24"/>
          <w:szCs w:val="24"/>
        </w:rPr>
      </w:pPr>
    </w:p>
    <w:p>
      <w:pPr>
        <w:pStyle w:val="18"/>
        <w:rPr>
          <w:b/>
          <w:bCs/>
        </w:rPr>
      </w:pPr>
      <w:r>
        <w:rPr>
          <w:rFonts w:hint="eastAsia"/>
          <w:b/>
          <w:bCs/>
        </w:rPr>
        <w:t>7.4.9 关联方关系</w:t>
      </w:r>
    </w:p>
    <w:p>
      <w:pPr>
        <w:pStyle w:val="18"/>
        <w:rPr>
          <w:b/>
        </w:rPr>
      </w:pPr>
      <w:r>
        <w:rPr>
          <w:rFonts w:hint="eastAsia"/>
          <w:b/>
          <w:bCs/>
        </w:rPr>
        <w:t>7.4.9.1</w:t>
      </w:r>
      <w:r>
        <w:rPr>
          <w:b/>
          <w:bCs/>
        </w:rPr>
        <w:t xml:space="preserve"> </w:t>
      </w:r>
      <w:r>
        <w:rPr>
          <w:rFonts w:hint="eastAsia"/>
          <w:b/>
        </w:rPr>
        <w:t>本报告期存在控制关系或其他重大利害关系的关联方发生变化的情况</w:t>
      </w:r>
    </w:p>
    <w:p>
      <w:pPr>
        <w:pStyle w:val="18"/>
        <w:ind w:firstLine="480" w:firstLineChars="200"/>
      </w:pPr>
      <w:r>
        <w:rPr>
          <w:rFonts w:hint="eastAsia"/>
        </w:rPr>
        <w:t>本报告期不存在重大关联方发生变化的情况。</w:t>
      </w:r>
    </w:p>
    <w:p>
      <w:pPr>
        <w:pStyle w:val="18"/>
      </w:pPr>
      <w:r>
        <w:rPr>
          <w:rFonts w:hint="eastAsia"/>
          <w:b/>
          <w:bCs/>
        </w:rPr>
        <w:t xml:space="preserve">7.4.9.2 </w:t>
      </w:r>
      <w:r>
        <w:rPr>
          <w:rFonts w:hint="eastAsia"/>
          <w:b/>
        </w:rPr>
        <w:t>本报告期与基金发生关联交易的各关联方</w:t>
      </w:r>
    </w:p>
    <w:tbl>
      <w:tblPr>
        <w:tblStyle w:val="10"/>
        <w:tblW w:w="9045" w:type="dxa"/>
        <w:tblInd w:w="108" w:type="dxa"/>
        <w:tblLayout w:type="autofit"/>
        <w:tblCellMar>
          <w:top w:w="0" w:type="dxa"/>
          <w:left w:w="108" w:type="dxa"/>
          <w:bottom w:w="0" w:type="dxa"/>
          <w:right w:w="108" w:type="dxa"/>
        </w:tblCellMar>
      </w:tblPr>
      <w:tblGrid>
        <w:gridCol w:w="4741"/>
        <w:gridCol w:w="430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中国工商银行股份有限公司(“工商银行”)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基金托管人、基金代销机构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基金管理人的股东</w:t>
            </w:r>
          </w:p>
        </w:tc>
      </w:tr>
    </w:tbl>
    <w:p>
      <w:pPr>
        <w:pStyle w:val="23"/>
        <w:rPr>
          <w:rFonts w:hint="eastAsia"/>
        </w:rPr>
      </w:pPr>
      <w:r>
        <w:rPr>
          <w:rFonts w:hint="eastAsia"/>
        </w:rPr>
        <w:t>注：下述关联交易均在正常业务范围内按一般商业条款订立。</w:t>
      </w:r>
    </w:p>
    <w:p>
      <w:pPr>
        <w:widowControl/>
        <w:jc w:val="left"/>
        <w:rPr>
          <w:rFonts w:hint="eastAsia" w:ascii="宋体" w:hAnsi="宋体" w:cs="宋体"/>
          <w:kern w:val="0"/>
          <w:sz w:val="24"/>
          <w:szCs w:val="24"/>
        </w:rPr>
      </w:pPr>
    </w:p>
    <w:p>
      <w:pPr>
        <w:pStyle w:val="18"/>
        <w:rPr>
          <w:rFonts w:hint="eastAsia"/>
        </w:rPr>
      </w:pPr>
      <w:r>
        <w:rPr>
          <w:rFonts w:hint="eastAsia"/>
          <w:b/>
          <w:bCs/>
        </w:rPr>
        <w:t>7.4.10 本报告期及上年度可比期间的关联方交易</w:t>
      </w:r>
    </w:p>
    <w:p>
      <w:pPr>
        <w:pStyle w:val="18"/>
        <w:rPr>
          <w:rFonts w:hint="eastAsia"/>
        </w:rPr>
      </w:pPr>
      <w:r>
        <w:rPr>
          <w:rFonts w:hint="eastAsia"/>
          <w:b/>
          <w:bCs/>
        </w:rPr>
        <w:t>7.4.10.1 通过关联方交易单元进行的交易</w:t>
      </w:r>
    </w:p>
    <w:p>
      <w:pPr>
        <w:pStyle w:val="18"/>
        <w:rPr>
          <w:rFonts w:hint="eastAsia"/>
        </w:rPr>
      </w:pPr>
      <w:r>
        <w:rPr>
          <w:rFonts w:hint="eastAsia"/>
          <w:b/>
          <w:bCs/>
        </w:rPr>
        <w:t>7.4.10.1.1 股票交易</w:t>
      </w:r>
    </w:p>
    <w:p>
      <w:pPr>
        <w:pStyle w:val="22"/>
        <w:rPr>
          <w:rFonts w:hint="eastAsia"/>
        </w:rPr>
      </w:pPr>
      <w:r>
        <w:rPr>
          <w:rFonts w:hint="eastAsia" w:hAnsi="Calibri"/>
          <w:color w:val="000000"/>
        </w:rPr>
        <w:t>金额单位：人民币元</w:t>
      </w:r>
    </w:p>
    <w:tbl>
      <w:tblPr>
        <w:tblStyle w:val="10"/>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上年度可比期间</w:t>
            </w:r>
            <w:r>
              <w:rPr>
                <w:rFonts w:hint="eastAsia"/>
              </w:rPr>
              <w:br w:type="textWrapping"/>
            </w:r>
            <w:r>
              <w:rPr>
                <w:rFonts w:hint="eastAsia"/>
              </w:rPr>
              <w:t>2017年09月27日（基金合同生效日）至2017年12月31日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占当期股票成交总额的比例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61,587,432.18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45.00%</w:t>
            </w:r>
          </w:p>
        </w:tc>
      </w:tr>
    </w:tbl>
    <w:p>
      <w:pPr>
        <w:widowControl/>
        <w:jc w:val="left"/>
        <w:rPr>
          <w:rFonts w:hint="eastAsia" w:ascii="宋体" w:hAnsi="宋体" w:cs="宋体"/>
          <w:kern w:val="0"/>
          <w:sz w:val="24"/>
          <w:szCs w:val="24"/>
        </w:rPr>
      </w:pPr>
    </w:p>
    <w:p>
      <w:pPr>
        <w:pStyle w:val="18"/>
        <w:rPr>
          <w:rFonts w:hint="eastAsia"/>
        </w:rPr>
      </w:pPr>
      <w:r>
        <w:rPr>
          <w:rFonts w:hint="eastAsia"/>
          <w:b/>
          <w:bCs/>
        </w:rPr>
        <w:t>7.4.10.1.2 权证交易</w:t>
      </w:r>
    </w:p>
    <w:p>
      <w:pPr>
        <w:pStyle w:val="23"/>
        <w:rPr>
          <w:rFonts w:hint="eastAsia"/>
        </w:rPr>
      </w:pPr>
      <w:r>
        <w:rPr>
          <w:rFonts w:hint="eastAsia"/>
        </w:rPr>
        <w:t>本基金于本报告期及上年度可比期间均未通过关联方交易单元进行权证交易。</w:t>
      </w:r>
    </w:p>
    <w:p>
      <w:pPr>
        <w:widowControl/>
        <w:jc w:val="left"/>
        <w:rPr>
          <w:rFonts w:hint="eastAsia" w:ascii="宋体" w:hAnsi="宋体" w:cs="宋体"/>
          <w:kern w:val="0"/>
          <w:sz w:val="24"/>
          <w:szCs w:val="24"/>
        </w:rPr>
      </w:pPr>
    </w:p>
    <w:p>
      <w:pPr>
        <w:pStyle w:val="18"/>
        <w:rPr>
          <w:rFonts w:hint="eastAsia"/>
        </w:rPr>
      </w:pPr>
      <w:r>
        <w:rPr>
          <w:rFonts w:hint="eastAsia"/>
          <w:b/>
          <w:bCs/>
        </w:rPr>
        <w:t>7.4.10.1.3 债券回购交易</w:t>
      </w:r>
    </w:p>
    <w:p>
      <w:pPr>
        <w:pStyle w:val="22"/>
        <w:rPr>
          <w:rFonts w:hint="eastAsia"/>
        </w:rPr>
      </w:pPr>
      <w:r>
        <w:rPr>
          <w:rFonts w:hint="eastAsia" w:hAnsi="Calibri"/>
          <w:color w:val="000000"/>
        </w:rPr>
        <w:t>金额单位：人民币元</w:t>
      </w:r>
    </w:p>
    <w:tbl>
      <w:tblPr>
        <w:tblStyle w:val="10"/>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上年度可比期间</w:t>
            </w:r>
            <w:r>
              <w:rPr>
                <w:rFonts w:hint="eastAsia"/>
              </w:rPr>
              <w:br w:type="textWrapping"/>
            </w:r>
            <w:r>
              <w:rPr>
                <w:rFonts w:hint="eastAsia"/>
              </w:rPr>
              <w:t>2017年09月27日（基金合同生效日）至2017年12月31日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占当期债券回购成交总额的比例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13,624,000,000.00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47.05%</w:t>
            </w:r>
          </w:p>
        </w:tc>
      </w:tr>
    </w:tbl>
    <w:p>
      <w:pPr>
        <w:widowControl/>
        <w:jc w:val="left"/>
        <w:rPr>
          <w:rFonts w:hint="eastAsia" w:ascii="宋体" w:hAnsi="宋体" w:cs="宋体"/>
          <w:kern w:val="0"/>
          <w:sz w:val="24"/>
          <w:szCs w:val="24"/>
        </w:rPr>
      </w:pPr>
    </w:p>
    <w:p>
      <w:pPr>
        <w:pStyle w:val="18"/>
        <w:rPr>
          <w:rFonts w:hint="eastAsia"/>
        </w:rPr>
      </w:pPr>
      <w:r>
        <w:rPr>
          <w:rFonts w:hint="eastAsia"/>
          <w:b/>
          <w:bCs/>
        </w:rPr>
        <w:t>7.4.10.1.4 应支付关联方的佣金</w:t>
      </w:r>
    </w:p>
    <w:p>
      <w:pPr>
        <w:pStyle w:val="22"/>
        <w:rPr>
          <w:rFonts w:hint="eastAsia"/>
        </w:rPr>
      </w:pPr>
      <w:r>
        <w:rPr>
          <w:rFonts w:hint="eastAsia" w:hAnsi="Calibri"/>
          <w:color w:val="000000"/>
        </w:rPr>
        <w:t>金额单位：人民币元</w:t>
      </w:r>
    </w:p>
    <w:tbl>
      <w:tblPr>
        <w:tblStyle w:val="10"/>
        <w:tblW w:w="9045" w:type="dxa"/>
        <w:tblInd w:w="108" w:type="dxa"/>
        <w:tblLayout w:type="autofit"/>
        <w:tblCellMar>
          <w:top w:w="0" w:type="dxa"/>
          <w:left w:w="108" w:type="dxa"/>
          <w:bottom w:w="0" w:type="dxa"/>
          <w:right w:w="108" w:type="dxa"/>
        </w:tblCellMar>
      </w:tblPr>
      <w:tblGrid>
        <w:gridCol w:w="1266"/>
        <w:gridCol w:w="2714"/>
        <w:gridCol w:w="1105"/>
        <w:gridCol w:w="2714"/>
        <w:gridCol w:w="124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本期</w:t>
            </w:r>
            <w:r>
              <w:rPr>
                <w:rFonts w:hint="eastAsia"/>
              </w:rPr>
              <w:br w:type="textWrapping"/>
            </w: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上年度可比期间</w:t>
            </w:r>
            <w:r>
              <w:rPr>
                <w:rFonts w:hint="eastAsia"/>
              </w:rPr>
              <w:br w:type="textWrapping"/>
            </w:r>
            <w:r>
              <w:rPr>
                <w:rFonts w:hint="eastAsia"/>
              </w:rPr>
              <w:t>2017年09月27日（基金合同生效日）至2017年12月31日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44,878.48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43,316.50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55.87%</w:t>
            </w:r>
          </w:p>
        </w:tc>
      </w:tr>
    </w:tbl>
    <w:p>
      <w:pPr>
        <w:pStyle w:val="23"/>
        <w:rPr>
          <w:rFonts w:hint="eastAsia"/>
        </w:rPr>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18"/>
        <w:rPr>
          <w:rFonts w:hint="eastAsia"/>
        </w:rPr>
      </w:pPr>
      <w:r>
        <w:rPr>
          <w:rFonts w:hint="eastAsia"/>
          <w:b/>
          <w:bCs/>
        </w:rPr>
        <w:t>7.4.10.2 关联方报酬</w:t>
      </w:r>
    </w:p>
    <w:p>
      <w:pPr>
        <w:pStyle w:val="18"/>
        <w:rPr>
          <w:rFonts w:hint="eastAsia"/>
        </w:rPr>
      </w:pPr>
      <w:r>
        <w:rPr>
          <w:rFonts w:hint="eastAsia"/>
          <w:b/>
          <w:bCs/>
        </w:rPr>
        <w:t>7.4.10.2.1 基金管理费</w:t>
      </w:r>
    </w:p>
    <w:p>
      <w:pPr>
        <w:pStyle w:val="22"/>
        <w:rPr>
          <w:rFonts w:hint="eastAsia"/>
        </w:rPr>
      </w:pPr>
      <w:r>
        <w:rPr>
          <w:rFonts w:hint="eastAsia" w:hAnsi="Calibri"/>
          <w:color w:val="000000"/>
        </w:rPr>
        <w:t>单位：人民币元</w:t>
      </w:r>
    </w:p>
    <w:tbl>
      <w:tblPr>
        <w:tblStyle w:val="10"/>
        <w:tblW w:w="9045" w:type="dxa"/>
        <w:tblInd w:w="108" w:type="dxa"/>
        <w:tblLayout w:type="autofit"/>
        <w:tblCellMar>
          <w:top w:w="0" w:type="dxa"/>
          <w:left w:w="108" w:type="dxa"/>
          <w:bottom w:w="0" w:type="dxa"/>
          <w:right w:w="108" w:type="dxa"/>
        </w:tblCellMar>
      </w:tblPr>
      <w:tblGrid>
        <w:gridCol w:w="3831"/>
        <w:gridCol w:w="2039"/>
        <w:gridCol w:w="317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本期</w:t>
            </w:r>
          </w:p>
          <w:p>
            <w:pPr>
              <w:pStyle w:val="21"/>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上年度可比期间</w:t>
            </w:r>
          </w:p>
          <w:p>
            <w:pPr>
              <w:pStyle w:val="21"/>
              <w:wordWrap w:val="0"/>
              <w:rPr>
                <w:rFonts w:hint="eastAsia"/>
              </w:rPr>
            </w:pPr>
            <w:r>
              <w:rPr>
                <w:rFonts w:hint="eastAsia"/>
              </w:rPr>
              <w:t>2017年09月27日（基金合同生效日）至2017年12月31日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6,539,061.08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2,835,324.31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3,702,959.08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1,502,637.27</w:t>
            </w:r>
          </w:p>
        </w:tc>
      </w:tr>
    </w:tbl>
    <w:p>
      <w:pPr>
        <w:pStyle w:val="23"/>
        <w:rPr>
          <w:rFonts w:hint="eastAsia"/>
        </w:rPr>
      </w:pPr>
      <w:r>
        <w:rPr>
          <w:rFonts w:hint="eastAsia"/>
        </w:rPr>
        <w:t>注：本基金的管理费按前一日基金资产净值的1.50%年费率计提。管理费的计算方法如下：</w:t>
      </w:r>
      <w:r>
        <w:rPr>
          <w:rFonts w:hint="eastAsia"/>
        </w:rPr>
        <w:br w:type="textWrapping"/>
      </w:r>
      <w:r>
        <w:rPr>
          <w:rFonts w:hint="eastAsia"/>
        </w:rPr>
        <w:t>H＝E×1.50%÷当年天数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经基金管理人与基金托管人双方核对无误后，基金托管人按照与基金管理人协商一致的方式于次月前5个工作日内从基金财产中一次性支付给基金管理人。若遇法定节假日、公休日等，支付日期顺延。</w:t>
      </w:r>
    </w:p>
    <w:p>
      <w:pPr>
        <w:widowControl/>
        <w:jc w:val="left"/>
        <w:rPr>
          <w:rFonts w:hint="eastAsia" w:ascii="宋体" w:hAnsi="宋体" w:cs="宋体"/>
          <w:kern w:val="0"/>
          <w:sz w:val="24"/>
          <w:szCs w:val="24"/>
        </w:rPr>
      </w:pPr>
    </w:p>
    <w:p>
      <w:pPr>
        <w:pStyle w:val="18"/>
        <w:rPr>
          <w:rFonts w:hint="eastAsia"/>
        </w:rPr>
      </w:pPr>
      <w:r>
        <w:rPr>
          <w:rFonts w:hint="eastAsia"/>
          <w:b/>
          <w:bCs/>
        </w:rPr>
        <w:t>7.4.10.2.2 基金托管费</w:t>
      </w:r>
    </w:p>
    <w:p>
      <w:pPr>
        <w:pStyle w:val="22"/>
        <w:rPr>
          <w:rFonts w:hint="eastAsia"/>
        </w:rPr>
      </w:pPr>
      <w:r>
        <w:rPr>
          <w:rFonts w:hint="eastAsia" w:hAnsi="Calibri"/>
          <w:color w:val="000000"/>
        </w:rPr>
        <w:t>单位：人民币元</w:t>
      </w:r>
    </w:p>
    <w:tbl>
      <w:tblPr>
        <w:tblStyle w:val="10"/>
        <w:tblW w:w="9045" w:type="dxa"/>
        <w:tblInd w:w="108" w:type="dxa"/>
        <w:tblLayout w:type="autofit"/>
        <w:tblCellMar>
          <w:top w:w="0" w:type="dxa"/>
          <w:left w:w="108" w:type="dxa"/>
          <w:bottom w:w="0" w:type="dxa"/>
          <w:right w:w="108" w:type="dxa"/>
        </w:tblCellMar>
      </w:tblPr>
      <w:tblGrid>
        <w:gridCol w:w="3591"/>
        <w:gridCol w:w="2132"/>
        <w:gridCol w:w="3322"/>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本期</w:t>
            </w:r>
          </w:p>
          <w:p>
            <w:pPr>
              <w:pStyle w:val="21"/>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上年度可比期间</w:t>
            </w:r>
          </w:p>
          <w:p>
            <w:pPr>
              <w:pStyle w:val="21"/>
              <w:wordWrap w:val="0"/>
              <w:rPr>
                <w:rFonts w:hint="eastAsia"/>
              </w:rPr>
            </w:pPr>
            <w:r>
              <w:rPr>
                <w:rFonts w:hint="eastAsia"/>
              </w:rPr>
              <w:t>2017年09月27日（基金合同生效日）至2017年12月31日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1,089,843.46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472,554.06</w:t>
            </w:r>
          </w:p>
        </w:tc>
      </w:tr>
    </w:tbl>
    <w:p>
      <w:pPr>
        <w:pStyle w:val="23"/>
        <w:rPr>
          <w:rFonts w:hint="eastAsia"/>
        </w:rPr>
      </w:pPr>
      <w:r>
        <w:rPr>
          <w:rFonts w:hint="eastAsia"/>
        </w:rPr>
        <w:t>注:本基金的托管费按前一日基金资产净值的0.25%的年费率计提。托管费的计算方法如下：</w:t>
      </w:r>
      <w:r>
        <w:rPr>
          <w:rFonts w:hint="eastAsia"/>
        </w:rPr>
        <w:br w:type="textWrapping"/>
      </w:r>
      <w:r>
        <w:rPr>
          <w:rFonts w:hint="eastAsia"/>
        </w:rPr>
        <w:t>H＝E×0.25%÷当年天数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经基金管理人与基金托管人双方核对无误后，基金托管人按照与基金管理人协商一致的方式于次月前5个工作日内从基金财产中一次性支取。若遇法定节假日、公休日等，支付日期顺延。</w:t>
      </w:r>
    </w:p>
    <w:p>
      <w:pPr>
        <w:widowControl/>
        <w:jc w:val="left"/>
        <w:rPr>
          <w:rFonts w:hint="eastAsia" w:ascii="宋体" w:hAnsi="宋体" w:cs="宋体"/>
          <w:kern w:val="0"/>
          <w:sz w:val="24"/>
          <w:szCs w:val="24"/>
        </w:rPr>
      </w:pPr>
    </w:p>
    <w:p>
      <w:pPr>
        <w:pStyle w:val="18"/>
        <w:rPr>
          <w:rFonts w:hint="eastAsia"/>
        </w:rPr>
      </w:pPr>
      <w:r>
        <w:rPr>
          <w:rFonts w:hint="eastAsia"/>
          <w:b/>
          <w:bCs/>
        </w:rPr>
        <w:t>7.4.10.3 与关联方进行银行间同业市场的债券(含回购)交易</w:t>
      </w:r>
    </w:p>
    <w:p>
      <w:pPr>
        <w:pStyle w:val="23"/>
        <w:rPr>
          <w:rFonts w:hint="eastAsia"/>
        </w:rPr>
      </w:pPr>
      <w:r>
        <w:rPr>
          <w:rFonts w:hint="eastAsia"/>
        </w:rPr>
        <w:t>本基金本报告期内及上年度可比期间均未与关联方进行银行间同业市场的债券(含回购)交易。</w:t>
      </w:r>
    </w:p>
    <w:p>
      <w:pPr>
        <w:widowControl/>
        <w:jc w:val="left"/>
        <w:rPr>
          <w:rFonts w:hint="eastAsia" w:ascii="宋体" w:hAnsi="宋体" w:cs="宋体"/>
          <w:kern w:val="0"/>
          <w:sz w:val="24"/>
          <w:szCs w:val="24"/>
        </w:rPr>
      </w:pPr>
    </w:p>
    <w:p>
      <w:pPr>
        <w:pStyle w:val="18"/>
        <w:rPr>
          <w:rFonts w:hint="eastAsia"/>
        </w:rPr>
      </w:pPr>
      <w:r>
        <w:rPr>
          <w:rFonts w:hint="eastAsia"/>
          <w:b/>
          <w:bCs/>
        </w:rPr>
        <w:t>7.4.10.4 各关联方投资本基金的情况</w:t>
      </w:r>
    </w:p>
    <w:p>
      <w:pPr>
        <w:pStyle w:val="18"/>
        <w:rPr>
          <w:rFonts w:hint="eastAsia"/>
        </w:rPr>
      </w:pPr>
      <w:r>
        <w:rPr>
          <w:rFonts w:hint="eastAsia"/>
          <w:b/>
          <w:bCs/>
        </w:rPr>
        <w:t>7.4.10.4.1 报告期内基金管理人运用固有资金投资本基金的情况</w:t>
      </w:r>
    </w:p>
    <w:p>
      <w:pPr>
        <w:pStyle w:val="23"/>
        <w:rPr>
          <w:rFonts w:hint="eastAsia"/>
        </w:rPr>
      </w:pPr>
      <w:r>
        <w:rPr>
          <w:rFonts w:hint="eastAsia"/>
        </w:rPr>
        <w:t>本报告期及上年度可比期间内无基金管理人运用固有资金投资本基金的情况。</w:t>
      </w:r>
    </w:p>
    <w:p>
      <w:pPr>
        <w:widowControl/>
        <w:jc w:val="left"/>
        <w:rPr>
          <w:rFonts w:hint="eastAsia" w:ascii="宋体" w:hAnsi="宋体" w:cs="宋体"/>
          <w:kern w:val="0"/>
          <w:sz w:val="24"/>
          <w:szCs w:val="24"/>
        </w:rPr>
      </w:pPr>
    </w:p>
    <w:p>
      <w:pPr>
        <w:pStyle w:val="18"/>
        <w:rPr>
          <w:rFonts w:hint="eastAsia"/>
        </w:rPr>
      </w:pPr>
      <w:r>
        <w:rPr>
          <w:rFonts w:hint="eastAsia"/>
          <w:b/>
          <w:bCs/>
        </w:rPr>
        <w:t>7.4.10.4.2 报告期末除基金管理人之外的其他关联方投资本基金的情况</w:t>
      </w:r>
    </w:p>
    <w:p>
      <w:pPr>
        <w:pStyle w:val="23"/>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18"/>
        <w:rPr>
          <w:rFonts w:hint="eastAsia"/>
        </w:rPr>
      </w:pPr>
      <w:r>
        <w:rPr>
          <w:rFonts w:hint="eastAsia"/>
          <w:b/>
          <w:bCs/>
        </w:rPr>
        <w:t>7.4.10.5 由关联方保管的银行存款余额及当期产生的利息收入</w:t>
      </w:r>
    </w:p>
    <w:p>
      <w:pPr>
        <w:pStyle w:val="22"/>
        <w:rPr>
          <w:rFonts w:hint="eastAsia"/>
        </w:rPr>
      </w:pPr>
      <w:r>
        <w:rPr>
          <w:rFonts w:hint="eastAsia" w:hAnsi="Calibri"/>
          <w:color w:val="000000"/>
        </w:rPr>
        <w:t>单位：人民币元</w:t>
      </w:r>
    </w:p>
    <w:tbl>
      <w:tblPr>
        <w:tblStyle w:val="10"/>
        <w:tblW w:w="9045" w:type="dxa"/>
        <w:tblInd w:w="108" w:type="dxa"/>
        <w:tblLayout w:type="autofit"/>
        <w:tblCellMar>
          <w:top w:w="0" w:type="dxa"/>
          <w:left w:w="108" w:type="dxa"/>
          <w:bottom w:w="0" w:type="dxa"/>
          <w:right w:w="108" w:type="dxa"/>
        </w:tblCellMar>
      </w:tblPr>
      <w:tblGrid>
        <w:gridCol w:w="1266"/>
        <w:gridCol w:w="2012"/>
        <w:gridCol w:w="1877"/>
        <w:gridCol w:w="2012"/>
        <w:gridCol w:w="1878"/>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本期</w:t>
            </w:r>
          </w:p>
          <w:p>
            <w:pPr>
              <w:pStyle w:val="21"/>
              <w:wordWrap w:val="0"/>
              <w:rPr>
                <w:rFonts w:hint="eastAsia"/>
              </w:rPr>
            </w:pPr>
            <w:r>
              <w:rPr>
                <w:rFonts w:hint="eastAsia"/>
              </w:rPr>
              <w:t>2018年01月01日至2018年12月31日</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上年度可比期间</w:t>
            </w:r>
          </w:p>
          <w:p>
            <w:pPr>
              <w:pStyle w:val="21"/>
              <w:wordWrap w:val="0"/>
              <w:rPr>
                <w:rFonts w:hint="eastAsia"/>
              </w:rPr>
            </w:pPr>
            <w:r>
              <w:rPr>
                <w:rFonts w:hint="eastAsia"/>
              </w:rPr>
              <w:t>2017年09月27日（基金合同生效日）至2017年12月31日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中国工商银行股份有限公司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46,744,009.90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814,075.22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61,590,100.75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177,328.70</w:t>
            </w:r>
          </w:p>
        </w:tc>
      </w:tr>
    </w:tbl>
    <w:p>
      <w:pPr>
        <w:pStyle w:val="23"/>
        <w:rPr>
          <w:rFonts w:hint="eastAsia"/>
        </w:rPr>
      </w:pPr>
      <w:r>
        <w:rPr>
          <w:rFonts w:hint="eastAsia"/>
        </w:rPr>
        <w:t>注：本基金的银行存款由基金托管人中国工商银行保管，按银行同业存款利率计息。</w:t>
      </w:r>
    </w:p>
    <w:p>
      <w:pPr>
        <w:widowControl/>
        <w:jc w:val="left"/>
        <w:rPr>
          <w:rFonts w:hint="eastAsia" w:ascii="宋体" w:hAnsi="宋体" w:cs="宋体"/>
          <w:kern w:val="0"/>
          <w:sz w:val="24"/>
          <w:szCs w:val="24"/>
        </w:rPr>
      </w:pPr>
    </w:p>
    <w:p>
      <w:pPr>
        <w:pStyle w:val="18"/>
        <w:rPr>
          <w:rFonts w:hint="eastAsia"/>
        </w:rPr>
      </w:pPr>
      <w:r>
        <w:rPr>
          <w:rFonts w:hint="eastAsia"/>
          <w:b/>
          <w:bCs/>
        </w:rPr>
        <w:t>7.4.10.6 本基金在承销期内参与关联方承销证券的情况</w:t>
      </w:r>
    </w:p>
    <w:p>
      <w:pPr>
        <w:pStyle w:val="23"/>
        <w:rPr>
          <w:rFonts w:hint="eastAsia"/>
        </w:rPr>
      </w:pPr>
      <w:r>
        <w:rPr>
          <w:rFonts w:hint="eastAsia"/>
        </w:rPr>
        <w:t>本基金本报告期及上年度可比期间均未在承销期内参与关联方承销证券。</w:t>
      </w:r>
    </w:p>
    <w:p>
      <w:pPr>
        <w:widowControl/>
        <w:jc w:val="left"/>
        <w:rPr>
          <w:rFonts w:hint="eastAsia" w:ascii="宋体" w:hAnsi="宋体" w:cs="宋体"/>
          <w:kern w:val="0"/>
          <w:sz w:val="24"/>
          <w:szCs w:val="24"/>
        </w:rPr>
      </w:pPr>
    </w:p>
    <w:p>
      <w:pPr>
        <w:pStyle w:val="18"/>
        <w:rPr>
          <w:rFonts w:hint="eastAsia"/>
        </w:rPr>
      </w:pPr>
      <w:r>
        <w:rPr>
          <w:rFonts w:hint="eastAsia"/>
          <w:b/>
          <w:bCs/>
        </w:rPr>
        <w:t>7.4.10.7 其他关联交易事项的说明</w:t>
      </w:r>
    </w:p>
    <w:p>
      <w:pPr>
        <w:pStyle w:val="23"/>
        <w:spacing w:before="0"/>
        <w:ind w:left="0" w:firstLine="480"/>
        <w:rPr>
          <w:rFonts w:hint="eastAsia"/>
        </w:rPr>
      </w:pPr>
      <w:r>
        <w:rPr>
          <w:rFonts w:hint="eastAsia"/>
        </w:rPr>
        <w:t>本基金本报告期及上年度可比期间无需作说明的其他关联交易事项。</w:t>
      </w:r>
    </w:p>
    <w:p>
      <w:pPr>
        <w:widowControl/>
        <w:jc w:val="left"/>
        <w:rPr>
          <w:rFonts w:hint="eastAsia" w:ascii="宋体" w:hAnsi="宋体" w:cs="宋体"/>
          <w:kern w:val="0"/>
          <w:sz w:val="24"/>
          <w:szCs w:val="24"/>
        </w:rPr>
      </w:pPr>
    </w:p>
    <w:p>
      <w:pPr>
        <w:pStyle w:val="18"/>
        <w:rPr>
          <w:rFonts w:hint="eastAsia"/>
        </w:rPr>
      </w:pPr>
      <w:r>
        <w:rPr>
          <w:rFonts w:hint="eastAsia"/>
          <w:b/>
          <w:bCs/>
        </w:rPr>
        <w:t>7.4.11 利润分配情况--非货币市场基金</w:t>
      </w:r>
    </w:p>
    <w:p>
      <w:pPr>
        <w:pStyle w:val="23"/>
        <w:rPr>
          <w:rFonts w:hint="eastAsia"/>
        </w:rPr>
      </w:pPr>
      <w:r>
        <w:rPr>
          <w:rFonts w:hint="eastAsia"/>
        </w:rPr>
        <w:t>本基金于本期未进行利润分配。</w:t>
      </w:r>
    </w:p>
    <w:p>
      <w:pPr>
        <w:widowControl/>
        <w:jc w:val="left"/>
        <w:rPr>
          <w:rFonts w:hint="eastAsia" w:ascii="宋体" w:hAnsi="宋体" w:cs="宋体"/>
          <w:kern w:val="0"/>
          <w:sz w:val="24"/>
          <w:szCs w:val="24"/>
        </w:rPr>
      </w:pPr>
    </w:p>
    <w:p>
      <w:pPr>
        <w:pStyle w:val="18"/>
        <w:rPr>
          <w:rFonts w:hint="eastAsia"/>
        </w:rPr>
      </w:pPr>
      <w:r>
        <w:rPr>
          <w:rFonts w:hint="eastAsia"/>
          <w:b/>
          <w:bCs/>
        </w:rPr>
        <w:t>7.4.12 期末（2018年12月31日）本基金持有的流通受限证券</w:t>
      </w:r>
    </w:p>
    <w:p>
      <w:pPr>
        <w:pStyle w:val="18"/>
        <w:rPr>
          <w:rFonts w:hint="eastAsia"/>
        </w:rPr>
      </w:pPr>
      <w:r>
        <w:rPr>
          <w:rFonts w:hint="eastAsia"/>
          <w:b/>
          <w:bCs/>
        </w:rPr>
        <w:t>7.4.12.1 因认购新发/增发证券而于期末持有的流通受限证券</w:t>
      </w:r>
    </w:p>
    <w:p>
      <w:pPr>
        <w:pStyle w:val="22"/>
        <w:rPr>
          <w:rFonts w:hint="eastAsia"/>
        </w:rPr>
      </w:pPr>
      <w:r>
        <w:rPr>
          <w:rFonts w:hint="eastAsia" w:hAnsi="Calibri"/>
          <w:color w:val="000000"/>
        </w:rPr>
        <w:t>金额单位：人民币元</w:t>
      </w:r>
    </w:p>
    <w:tbl>
      <w:tblPr>
        <w:tblStyle w:val="10"/>
        <w:tblW w:w="0" w:type="auto"/>
        <w:tblInd w:w="108" w:type="dxa"/>
        <w:tblLayout w:type="autofit"/>
        <w:tblCellMar>
          <w:top w:w="0" w:type="dxa"/>
          <w:left w:w="108" w:type="dxa"/>
          <w:bottom w:w="0" w:type="dxa"/>
          <w:right w:w="108" w:type="dxa"/>
        </w:tblCellMar>
      </w:tblPr>
      <w:tblGrid>
        <w:gridCol w:w="818"/>
        <w:gridCol w:w="818"/>
        <w:gridCol w:w="818"/>
        <w:gridCol w:w="818"/>
        <w:gridCol w:w="819"/>
        <w:gridCol w:w="819"/>
        <w:gridCol w:w="819"/>
        <w:gridCol w:w="1012"/>
        <w:gridCol w:w="819"/>
        <w:gridCol w:w="819"/>
        <w:gridCol w:w="819"/>
      </w:tblGrid>
      <w:tr>
        <w:trPr>
          <w:wBefore w:w="0" w:type="auto"/>
        </w:trPr>
        <w:tc>
          <w:tcPr>
            <w:tcW w:w="0" w:type="auto"/>
            <w:gridSpan w:val="11"/>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7.4.12.1.1 受限证券类别：股票</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证券代码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证券名称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成功认购日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可流通日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流通受限类型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认购价格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数量（单位：股）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601860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紫金银行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2018-12-20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2019-01-03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50,145.80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50,145.80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p>
    <w:p>
      <w:pPr>
        <w:pStyle w:val="18"/>
        <w:rPr>
          <w:rFonts w:hint="eastAsia"/>
        </w:rPr>
      </w:pPr>
      <w:r>
        <w:rPr>
          <w:rFonts w:hint="eastAsia"/>
          <w:b/>
          <w:bCs/>
        </w:rPr>
        <w:t>7.4.12.2 期末持有的暂时停牌等流通受限股票</w:t>
      </w:r>
    </w:p>
    <w:p>
      <w:pPr>
        <w:pStyle w:val="23"/>
        <w:rPr>
          <w:rFonts w:hint="eastAsia"/>
        </w:rPr>
      </w:pPr>
      <w:r>
        <w:rPr>
          <w:rFonts w:hint="eastAsia"/>
        </w:rPr>
        <w:t>本基金本报告期末未持有暂时停牌等流通受限股票。</w:t>
      </w:r>
    </w:p>
    <w:p>
      <w:pPr>
        <w:widowControl/>
        <w:jc w:val="left"/>
        <w:rPr>
          <w:rFonts w:hint="eastAsia" w:ascii="宋体" w:hAnsi="宋体" w:cs="宋体"/>
          <w:kern w:val="0"/>
          <w:sz w:val="24"/>
          <w:szCs w:val="24"/>
        </w:rPr>
      </w:pPr>
    </w:p>
    <w:p>
      <w:pPr>
        <w:pStyle w:val="18"/>
        <w:rPr>
          <w:rFonts w:hint="eastAsia"/>
        </w:rPr>
      </w:pPr>
      <w:r>
        <w:rPr>
          <w:rFonts w:hint="eastAsia"/>
          <w:b/>
          <w:bCs/>
        </w:rPr>
        <w:t>7.4.12.3 期末债券正回购交易中作为抵押的债券</w:t>
      </w:r>
    </w:p>
    <w:p>
      <w:pPr>
        <w:pStyle w:val="18"/>
        <w:rPr>
          <w:rFonts w:hint="eastAsia"/>
        </w:rPr>
      </w:pPr>
      <w:r>
        <w:rPr>
          <w:rFonts w:hint="eastAsia"/>
          <w:b/>
          <w:bCs/>
        </w:rPr>
        <w:t>7.4.12.3.1 银行间市场债券正回购</w:t>
      </w:r>
    </w:p>
    <w:p>
      <w:pPr>
        <w:pStyle w:val="23"/>
        <w:rPr>
          <w:rFonts w:hint="eastAsia"/>
        </w:rPr>
      </w:pPr>
      <w:r>
        <w:rPr>
          <w:rFonts w:hint="eastAsia"/>
        </w:rPr>
        <w:t>截至本报告期末2018年12月31日止，本基金从事银行间市场债券正回购交易形成的卖出回购证券款余额为0，无抵押债券。</w:t>
      </w:r>
    </w:p>
    <w:p>
      <w:pPr>
        <w:widowControl/>
        <w:jc w:val="left"/>
        <w:rPr>
          <w:rFonts w:hint="eastAsia" w:ascii="宋体" w:hAnsi="宋体" w:cs="宋体"/>
          <w:kern w:val="0"/>
          <w:sz w:val="24"/>
          <w:szCs w:val="24"/>
        </w:rPr>
      </w:pPr>
    </w:p>
    <w:p>
      <w:pPr>
        <w:pStyle w:val="18"/>
        <w:rPr>
          <w:rFonts w:hint="eastAsia"/>
        </w:rPr>
      </w:pPr>
      <w:r>
        <w:rPr>
          <w:rFonts w:hint="eastAsia"/>
          <w:b/>
          <w:bCs/>
        </w:rPr>
        <w:t>7.4.12.3.2 交易所市场债券正回购</w:t>
      </w:r>
    </w:p>
    <w:p>
      <w:pPr>
        <w:pStyle w:val="23"/>
        <w:spacing w:before="0"/>
        <w:ind w:left="0" w:firstLine="480"/>
        <w:rPr>
          <w:rFonts w:hint="eastAsia"/>
        </w:rPr>
      </w:pPr>
      <w:r>
        <w:rPr>
          <w:rFonts w:hint="eastAsia"/>
        </w:rPr>
        <w:t>截至本报告期末2018年12月31日止，本基金从事交易所债券正回购交易形成的卖出回购证券款余额为0，无抵押债券。</w:t>
      </w:r>
    </w:p>
    <w:p>
      <w:pPr>
        <w:widowControl/>
        <w:jc w:val="left"/>
        <w:rPr>
          <w:rFonts w:hint="eastAsia" w:ascii="宋体" w:hAnsi="宋体" w:cs="宋体"/>
          <w:kern w:val="0"/>
          <w:sz w:val="24"/>
          <w:szCs w:val="24"/>
        </w:rPr>
      </w:pPr>
    </w:p>
    <w:p>
      <w:pPr>
        <w:pStyle w:val="18"/>
        <w:rPr>
          <w:rFonts w:hint="eastAsia"/>
        </w:rPr>
      </w:pPr>
      <w:r>
        <w:rPr>
          <w:rFonts w:hint="eastAsia"/>
          <w:b/>
          <w:bCs/>
        </w:rPr>
        <w:t>7.4.13 金融工具风险及管理</w:t>
      </w:r>
    </w:p>
    <w:p>
      <w:pPr>
        <w:pStyle w:val="18"/>
        <w:rPr>
          <w:rFonts w:hint="eastAsia"/>
        </w:rPr>
      </w:pPr>
      <w:r>
        <w:rPr>
          <w:rFonts w:hint="eastAsia"/>
          <w:b/>
          <w:bCs/>
        </w:rPr>
        <w:t>7.4.13.1 风险管理政策和组织架构</w:t>
      </w:r>
    </w:p>
    <w:p>
      <w:pPr>
        <w:pStyle w:val="23"/>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23"/>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18"/>
        <w:rPr>
          <w:rFonts w:hint="eastAsia"/>
        </w:rPr>
      </w:pPr>
      <w:r>
        <w:rPr>
          <w:rFonts w:hint="eastAsia"/>
          <w:b/>
          <w:bCs/>
        </w:rPr>
        <w:t>7.4.13.2 信用风险</w:t>
      </w:r>
    </w:p>
    <w:p>
      <w:pPr>
        <w:pStyle w:val="23"/>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23"/>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工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23"/>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23"/>
        <w:spacing w:before="0"/>
        <w:ind w:left="0" w:firstLine="480"/>
        <w:rPr>
          <w:rFonts w:hint="eastAsia"/>
        </w:rPr>
      </w:pPr>
      <w:r>
        <w:rPr>
          <w:rFonts w:hint="eastAsia"/>
        </w:rPr>
        <w:t>本基金债券投资的信用评级情况按《中国人民银行信用评级管理指导意见》设定的标准统计及汇总。</w:t>
      </w:r>
    </w:p>
    <w:p>
      <w:pPr>
        <w:pStyle w:val="23"/>
        <w:spacing w:before="0"/>
        <w:ind w:left="0" w:firstLine="480"/>
        <w:rPr>
          <w:rFonts w:hint="eastAsia"/>
        </w:rPr>
      </w:pPr>
      <w:r>
        <w:rPr>
          <w:rFonts w:hint="eastAsia"/>
        </w:rPr>
        <w:t>于2018年12月31日，本基金无债券投资(2017年12月31日：同)。</w:t>
      </w:r>
    </w:p>
    <w:p>
      <w:pPr>
        <w:widowControl/>
        <w:jc w:val="left"/>
        <w:rPr>
          <w:rFonts w:hint="eastAsia" w:ascii="宋体" w:hAnsi="宋体" w:cs="宋体"/>
          <w:kern w:val="0"/>
          <w:sz w:val="24"/>
          <w:szCs w:val="24"/>
        </w:rPr>
      </w:pPr>
    </w:p>
    <w:p>
      <w:pPr>
        <w:pStyle w:val="18"/>
        <w:rPr>
          <w:rFonts w:hint="eastAsia"/>
        </w:rPr>
      </w:pPr>
      <w:r>
        <w:rPr>
          <w:rFonts w:hint="eastAsia"/>
          <w:b/>
          <w:bCs/>
        </w:rPr>
        <w:t>7.4.13.3 流动性风险</w:t>
      </w:r>
    </w:p>
    <w:p>
      <w:pPr>
        <w:pStyle w:val="23"/>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pStyle w:val="23"/>
        <w:spacing w:before="0"/>
        <w:ind w:left="0" w:firstLine="480"/>
        <w:rPr>
          <w:rFonts w:hint="eastAsia"/>
        </w:rPr>
      </w:pPr>
      <w:r>
        <w:rPr>
          <w:rFonts w:hint="eastAsia"/>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23"/>
        <w:spacing w:before="0"/>
        <w:ind w:left="0" w:firstLine="480"/>
        <w:rPr>
          <w:rFonts w:hint="eastAsia"/>
        </w:rPr>
      </w:pPr>
      <w:r>
        <w:rPr>
          <w:rFonts w:hint="eastAsia"/>
        </w:rPr>
        <w:t>于2018年12月31日，本基金所承担的全部金融负债的合约约定到期日均为一个月以内且不计息，可赎回基金份额净值(所有者权益)无固定到期日且不计息，因此账面余额约为未折现的合约到期现金流量。</w:t>
      </w:r>
    </w:p>
    <w:p>
      <w:pPr>
        <w:widowControl/>
        <w:jc w:val="left"/>
        <w:rPr>
          <w:rFonts w:hint="eastAsia" w:ascii="宋体" w:hAnsi="宋体" w:cs="宋体"/>
          <w:kern w:val="0"/>
          <w:sz w:val="24"/>
          <w:szCs w:val="24"/>
        </w:rPr>
      </w:pPr>
    </w:p>
    <w:p>
      <w:pPr>
        <w:pStyle w:val="18"/>
        <w:rPr>
          <w:rFonts w:hint="eastAsia"/>
        </w:rPr>
      </w:pPr>
      <w:r>
        <w:rPr>
          <w:rFonts w:hint="eastAsia"/>
          <w:b/>
          <w:bCs/>
        </w:rPr>
        <w:t>7.4.13.3.1 报告期内本基金组合资产的流动性风险分析</w:t>
      </w:r>
    </w:p>
    <w:p>
      <w:pPr>
        <w:pStyle w:val="23"/>
        <w:spacing w:before="0"/>
        <w:ind w:left="0" w:firstLine="480"/>
        <w:rPr>
          <w:rFonts w:hint="eastAsia"/>
        </w:rPr>
      </w:pPr>
      <w:r>
        <w:rPr>
          <w:rFonts w:hint="eastAsia"/>
        </w:rPr>
        <w:t>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23"/>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23"/>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12月31日，本基金持有的流动性受限资产的估值占基金资产净值的比例为0.01%。</w:t>
      </w:r>
    </w:p>
    <w:p>
      <w:pPr>
        <w:pStyle w:val="23"/>
        <w:spacing w:before="0"/>
        <w:ind w:left="0" w:firstLine="480"/>
        <w:rPr>
          <w:rFonts w:hint="eastAsia"/>
        </w:rPr>
      </w:pPr>
      <w:r>
        <w:rPr>
          <w:rFonts w:hint="eastAsia"/>
        </w:rPr>
        <w:t>本基金的基金管理人每日对基金组合资产中7个工作日可变现资产的可变现价值进行审慎评估与测算，确保每日确认的净赎回申请不得超过7个工作日可变现资产的可变现价值。于2018年12月31日，本基金组合资产中7个工作日可变现资产的账面价值为341,644,453.45元，超过经确认的当日净赎回金额。</w:t>
      </w:r>
    </w:p>
    <w:p>
      <w:pPr>
        <w:pStyle w:val="23"/>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23"/>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18"/>
        <w:rPr>
          <w:rFonts w:hint="eastAsia"/>
        </w:rPr>
      </w:pPr>
      <w:r>
        <w:rPr>
          <w:rFonts w:hint="eastAsia"/>
          <w:b/>
          <w:bCs/>
        </w:rPr>
        <w:t>7.4.13.4 市场风险</w:t>
      </w:r>
    </w:p>
    <w:p>
      <w:pPr>
        <w:pStyle w:val="23"/>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pStyle w:val="18"/>
        <w:rPr>
          <w:rFonts w:hint="eastAsia"/>
        </w:rPr>
      </w:pPr>
      <w:r>
        <w:rPr>
          <w:rFonts w:hint="eastAsia"/>
          <w:b/>
          <w:bCs/>
        </w:rPr>
        <w:t>7.4.13.4.1 利率风险</w:t>
      </w:r>
    </w:p>
    <w:p>
      <w:pPr>
        <w:pStyle w:val="23"/>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23"/>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23"/>
        <w:spacing w:before="0"/>
        <w:ind w:left="0" w:firstLine="480"/>
        <w:rPr>
          <w:rFonts w:hint="eastAsia"/>
        </w:rPr>
      </w:pPr>
      <w:r>
        <w:rPr>
          <w:rFonts w:hint="eastAsia"/>
        </w:rPr>
        <w:t>本基金持有及承担的大部分金融资产和金融负债不计息，因此本基金的收入及经营活动的现金流量在很大程度上独立于市场利率变化。本基金持有的利率敏感性资产主要为银行存款、结算备付金、存出保证金、债券投资、资产支持证券投资及买入返售金融资产等。</w:t>
      </w:r>
    </w:p>
    <w:p>
      <w:pPr>
        <w:pStyle w:val="18"/>
        <w:rPr>
          <w:rFonts w:hint="eastAsia"/>
        </w:rPr>
      </w:pPr>
      <w:r>
        <w:rPr>
          <w:rFonts w:hint="eastAsia"/>
          <w:b/>
          <w:bCs/>
        </w:rPr>
        <w:t>7.4.13.4.1.1 利率风险敞口</w:t>
      </w:r>
    </w:p>
    <w:p>
      <w:pPr>
        <w:pStyle w:val="22"/>
        <w:rPr>
          <w:rFonts w:hint="eastAsia"/>
        </w:rPr>
      </w:pPr>
      <w:r>
        <w:rPr>
          <w:rFonts w:hint="eastAsia" w:hAnsi="Calibri"/>
          <w:color w:val="000000"/>
        </w:rPr>
        <w:t>单位：人民币元</w:t>
      </w:r>
    </w:p>
    <w:tbl>
      <w:tblPr>
        <w:tblStyle w:val="10"/>
        <w:tblW w:w="10200" w:type="dxa"/>
        <w:tblInd w:w="108" w:type="dxa"/>
        <w:tblLayout w:type="autofit"/>
        <w:tblCellMar>
          <w:top w:w="0" w:type="dxa"/>
          <w:left w:w="108" w:type="dxa"/>
          <w:bottom w:w="0" w:type="dxa"/>
          <w:right w:w="108" w:type="dxa"/>
        </w:tblCellMar>
      </w:tblPr>
      <w:tblGrid>
        <w:gridCol w:w="1019"/>
        <w:gridCol w:w="2079"/>
        <w:gridCol w:w="1472"/>
        <w:gridCol w:w="1472"/>
        <w:gridCol w:w="2079"/>
        <w:gridCol w:w="207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本期末2018年12月31日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46,744,009.90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46,744,009.90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13,284,987.34</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13,284,987.34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58,751.79</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58,751.79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154,767,328.97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154,767,328.97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sz w:val="21"/>
                <w:szCs w:val="21"/>
              </w:rPr>
            </w:pPr>
            <w:r>
              <w:rPr>
                <w:rFonts w:hint="eastAsia"/>
                <w:sz w:val="21"/>
                <w:szCs w:val="21"/>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140,182,272.24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140,182,272.24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-11,143.08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-11,143.08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988.14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988.14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60,087,749.03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294,939,446.27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355,027,195.30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18,694.21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18,694.21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462,699.01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462,699.01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77,116.52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77,116.52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90,778.23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90,778.23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280,000.00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280,000.00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929,287.97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929,287.97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60,087,749.03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294,010,158.30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354,097,907.33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上年度末2017年12月31日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61,590,100.75</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61,590,100.75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54,294,336.79</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54,294,336.79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24,715.24</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24,715.24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117,591,348.03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117,591,348.03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sz w:val="21"/>
                <w:szCs w:val="21"/>
              </w:rPr>
            </w:pPr>
            <w:r>
              <w:rPr>
                <w:rFonts w:hint="eastAsia"/>
                <w:sz w:val="21"/>
                <w:szCs w:val="21"/>
              </w:rPr>
              <w:t>买入返售金融资产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410,000,000.00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410,000,000.00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-153,271.05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-153,271.05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505.24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505.24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525,909,152.78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117,438,582.22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643,347,735.00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sz w:val="21"/>
                <w:szCs w:val="21"/>
              </w:rPr>
            </w:pPr>
            <w:r>
              <w:rPr>
                <w:rFonts w:hint="eastAsia"/>
                <w:sz w:val="21"/>
                <w:szCs w:val="21"/>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9,230,599.44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9,230,599.44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623,118.00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623,118.00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823,810.36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823,810.36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137,301.75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137,301.75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77,536.54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77,536.54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136,563.55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136,563.55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11,028,929.64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11,028,929.64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525,909,152.78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106,409,652.58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632,318,805.36</w:t>
            </w:r>
          </w:p>
        </w:tc>
      </w:tr>
    </w:tbl>
    <w:p>
      <w:pPr>
        <w:pStyle w:val="23"/>
        <w:rPr>
          <w:rFonts w:hint="eastAsia"/>
        </w:rPr>
      </w:pPr>
      <w:r>
        <w:rPr>
          <w:rFonts w:hint="eastAsia"/>
        </w:rPr>
        <w:t>注：表中所示为本基金资产及负债的账面价值，并按照合约规定的利率重新定价日或到期日孰早者予以分类。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8"/>
        <w:rPr>
          <w:rFonts w:hint="eastAsia"/>
        </w:rPr>
      </w:pPr>
      <w:r>
        <w:rPr>
          <w:rFonts w:hint="eastAsia"/>
          <w:b/>
          <w:bCs/>
        </w:rPr>
        <w:t>7.4.13.4.2 外汇风险</w:t>
      </w:r>
    </w:p>
    <w:p>
      <w:pPr>
        <w:pStyle w:val="23"/>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18"/>
        <w:rPr>
          <w:rFonts w:hint="eastAsia"/>
        </w:rPr>
      </w:pPr>
      <w:r>
        <w:rPr>
          <w:rFonts w:hint="eastAsia"/>
          <w:b/>
          <w:bCs/>
        </w:rPr>
        <w:t>7.4.13.4.3 其他价格风险</w:t>
      </w:r>
    </w:p>
    <w:p>
      <w:pPr>
        <w:pStyle w:val="23"/>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23"/>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18"/>
        <w:rPr>
          <w:rFonts w:hint="eastAsia"/>
        </w:rPr>
      </w:pPr>
      <w:r>
        <w:rPr>
          <w:rFonts w:hint="eastAsia"/>
          <w:b/>
          <w:bCs/>
        </w:rPr>
        <w:t>7.4.13.4.3.1 其他价格风险敞口</w:t>
      </w:r>
    </w:p>
    <w:p>
      <w:pPr>
        <w:pStyle w:val="25"/>
        <w:jc w:val="right"/>
        <w:rPr>
          <w:rFonts w:hint="eastAsia"/>
        </w:rPr>
      </w:pPr>
      <w:r>
        <w:rPr>
          <w:rFonts w:hint="eastAsia"/>
        </w:rPr>
        <w:t>金额单位：人民币元</w:t>
      </w:r>
    </w:p>
    <w:tbl>
      <w:tblPr>
        <w:tblStyle w:val="10"/>
        <w:tblW w:w="9045" w:type="dxa"/>
        <w:tblInd w:w="108" w:type="dxa"/>
        <w:tblLayout w:type="autofit"/>
        <w:tblCellMar>
          <w:top w:w="0" w:type="dxa"/>
          <w:left w:w="108" w:type="dxa"/>
          <w:bottom w:w="0" w:type="dxa"/>
          <w:right w:w="108" w:type="dxa"/>
        </w:tblCellMar>
      </w:tblPr>
      <w:tblGrid>
        <w:gridCol w:w="1809"/>
        <w:gridCol w:w="2533"/>
        <w:gridCol w:w="1085"/>
        <w:gridCol w:w="2533"/>
        <w:gridCol w:w="1085"/>
      </w:tblGrid>
      <w:tr>
        <w:tblPrEx>
          <w:tblCellMar>
            <w:top w:w="0" w:type="dxa"/>
            <w:left w:w="108" w:type="dxa"/>
            <w:bottom w:w="0" w:type="dxa"/>
            <w:right w:w="108" w:type="dxa"/>
          </w:tblCellMar>
        </w:tblPrEx>
        <w:trPr>
          <w:wBefore w:w="0" w:type="auto"/>
        </w:trPr>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项目</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本期末</w:t>
            </w:r>
          </w:p>
          <w:p>
            <w:pPr>
              <w:pStyle w:val="21"/>
              <w:wordWrap w:val="0"/>
              <w:rPr>
                <w:rFonts w:hint="eastAsia"/>
              </w:rPr>
            </w:pPr>
            <w:r>
              <w:rPr>
                <w:rFonts w:hint="eastAsia"/>
              </w:rPr>
              <w:t>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上年度末</w:t>
            </w:r>
          </w:p>
          <w:p>
            <w:pPr>
              <w:pStyle w:val="21"/>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占基金资产净值比例(%)</w:t>
            </w: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154,767,328.97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43.71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117,591,348.03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18.60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154,767,328.97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43.71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117,591,348.03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18.60</w:t>
            </w:r>
          </w:p>
        </w:tc>
      </w:tr>
    </w:tbl>
    <w:p>
      <w:pPr>
        <w:widowControl/>
        <w:jc w:val="left"/>
        <w:rPr>
          <w:rFonts w:hint="eastAsia" w:ascii="宋体" w:hAnsi="宋体" w:cs="宋体"/>
          <w:kern w:val="0"/>
          <w:sz w:val="24"/>
          <w:szCs w:val="24"/>
        </w:rPr>
      </w:pPr>
    </w:p>
    <w:p>
      <w:pPr>
        <w:pStyle w:val="18"/>
        <w:rPr>
          <w:rFonts w:hint="eastAsia"/>
        </w:rPr>
      </w:pPr>
      <w:r>
        <w:rPr>
          <w:rFonts w:hint="eastAsia"/>
          <w:b/>
          <w:bCs/>
        </w:rPr>
        <w:t>7.4.13.4.3.2 其他价格风险的敏感性分析</w:t>
      </w:r>
    </w:p>
    <w:tbl>
      <w:tblPr>
        <w:tblStyle w:val="10"/>
        <w:tblW w:w="0" w:type="auto"/>
        <w:tblInd w:w="108" w:type="dxa"/>
        <w:tblLayout w:type="autofit"/>
        <w:tblCellMar>
          <w:top w:w="0" w:type="dxa"/>
          <w:left w:w="108" w:type="dxa"/>
          <w:bottom w:w="0" w:type="dxa"/>
          <w:right w:w="108" w:type="dxa"/>
        </w:tblCellMar>
      </w:tblPr>
      <w:tblGrid>
        <w:gridCol w:w="1081"/>
        <w:gridCol w:w="2759"/>
        <w:gridCol w:w="2679"/>
        <w:gridCol w:w="2679"/>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假设</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除业绩比较基准以外的其他市场变量保持不变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分析</w:t>
            </w:r>
          </w:p>
        </w:tc>
        <w:tc>
          <w:tcPr>
            <w:tcW w:w="1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本期末</w:t>
            </w:r>
          </w:p>
          <w:p>
            <w:pPr>
              <w:pStyle w:val="21"/>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上年度末</w:t>
            </w:r>
          </w:p>
          <w:p>
            <w:pPr>
              <w:pStyle w:val="21"/>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6,928,855.76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3,848,919.17</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-6,928,855.76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-3,848,919.17</w:t>
            </w:r>
          </w:p>
        </w:tc>
      </w:tr>
    </w:tbl>
    <w:p>
      <w:pPr>
        <w:widowControl/>
        <w:jc w:val="left"/>
        <w:rPr>
          <w:rFonts w:hint="eastAsia" w:ascii="宋体" w:hAnsi="宋体" w:cs="宋体"/>
          <w:kern w:val="0"/>
          <w:sz w:val="24"/>
          <w:szCs w:val="24"/>
        </w:rPr>
      </w:pPr>
    </w:p>
    <w:p>
      <w:pPr>
        <w:pStyle w:val="18"/>
        <w:rPr>
          <w:rFonts w:hint="eastAsia"/>
        </w:rPr>
      </w:pPr>
      <w:r>
        <w:rPr>
          <w:rFonts w:hint="eastAsia"/>
          <w:b/>
          <w:bCs/>
        </w:rPr>
        <w:t>7.4.14 有助于理解和分析会计报表需要说明的其他事项</w:t>
      </w:r>
    </w:p>
    <w:p>
      <w:pPr>
        <w:pStyle w:val="23"/>
        <w:spacing w:before="0"/>
        <w:ind w:left="0" w:firstLine="480"/>
        <w:rPr>
          <w:rFonts w:hint="eastAsia"/>
        </w:rPr>
      </w:pPr>
      <w:r>
        <w:rPr>
          <w:rFonts w:hint="eastAsia"/>
        </w:rPr>
        <w:t>(1)公允价值</w:t>
      </w:r>
    </w:p>
    <w:p>
      <w:pPr>
        <w:pStyle w:val="23"/>
        <w:spacing w:before="0"/>
        <w:ind w:left="0" w:firstLine="480"/>
        <w:rPr>
          <w:rFonts w:hint="eastAsia"/>
        </w:rPr>
      </w:pPr>
      <w:r>
        <w:rPr>
          <w:rFonts w:hint="eastAsia"/>
        </w:rPr>
        <w:t>(a)金融工具公允价值计量的方法</w:t>
      </w:r>
    </w:p>
    <w:p>
      <w:pPr>
        <w:pStyle w:val="23"/>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23"/>
        <w:spacing w:before="0"/>
        <w:ind w:left="0" w:firstLine="480"/>
        <w:rPr>
          <w:rFonts w:hint="eastAsia"/>
        </w:rPr>
      </w:pPr>
      <w:r>
        <w:rPr>
          <w:rFonts w:hint="eastAsia"/>
        </w:rPr>
        <w:t>第一层次：相同资产或负债在活跃市场上未经调整的报价。</w:t>
      </w:r>
    </w:p>
    <w:p>
      <w:pPr>
        <w:pStyle w:val="23"/>
        <w:spacing w:before="0"/>
        <w:ind w:left="0" w:firstLine="480"/>
        <w:rPr>
          <w:rFonts w:hint="eastAsia"/>
        </w:rPr>
      </w:pPr>
      <w:r>
        <w:rPr>
          <w:rFonts w:hint="eastAsia"/>
        </w:rPr>
        <w:t>第二层次：除第一层次输入值外相关资产或负债直接或间接可观察的输入值。</w:t>
      </w:r>
    </w:p>
    <w:p>
      <w:pPr>
        <w:pStyle w:val="23"/>
        <w:spacing w:before="0"/>
        <w:ind w:left="0" w:firstLine="480"/>
        <w:rPr>
          <w:rFonts w:hint="eastAsia"/>
        </w:rPr>
      </w:pPr>
      <w:r>
        <w:rPr>
          <w:rFonts w:hint="eastAsia"/>
        </w:rPr>
        <w:t>第三层次：相关资产或负债的不可观察输入值。</w:t>
      </w:r>
    </w:p>
    <w:p>
      <w:pPr>
        <w:pStyle w:val="23"/>
        <w:spacing w:before="0"/>
        <w:ind w:left="0" w:firstLine="480"/>
        <w:rPr>
          <w:rFonts w:hint="eastAsia"/>
        </w:rPr>
      </w:pPr>
      <w:r>
        <w:rPr>
          <w:rFonts w:hint="eastAsia"/>
        </w:rPr>
        <w:t>(b)持续的以公允价值计量的金融工具</w:t>
      </w:r>
    </w:p>
    <w:p>
      <w:pPr>
        <w:pStyle w:val="23"/>
        <w:spacing w:before="0"/>
        <w:ind w:left="0" w:firstLine="480"/>
        <w:rPr>
          <w:rFonts w:hint="eastAsia"/>
        </w:rPr>
      </w:pPr>
      <w:r>
        <w:rPr>
          <w:rFonts w:hint="eastAsia"/>
        </w:rPr>
        <w:t>(i)各层次金融工具公允价值</w:t>
      </w:r>
    </w:p>
    <w:p>
      <w:pPr>
        <w:pStyle w:val="23"/>
        <w:spacing w:before="0"/>
        <w:ind w:left="0" w:firstLine="480"/>
        <w:rPr>
          <w:rFonts w:hint="eastAsia"/>
        </w:rPr>
      </w:pPr>
      <w:r>
        <w:rPr>
          <w:rFonts w:hint="eastAsia"/>
        </w:rPr>
        <w:t>于2018年12月31日，本基金持有的以公允价值计量且其变动计入当期损益的金融资产中属于第一层次的余额为154,717,183.17元，属于第二层次的余额为50,145.80元，无属于第三层次的余额(2017年12月31日：第一层次117,575,204.83元，第二层次16,143.20元，无第三层次)。</w:t>
      </w:r>
    </w:p>
    <w:p>
      <w:pPr>
        <w:pStyle w:val="23"/>
        <w:spacing w:before="0"/>
        <w:ind w:left="0" w:firstLine="480"/>
        <w:rPr>
          <w:rFonts w:hint="eastAsia"/>
        </w:rPr>
      </w:pPr>
      <w:r>
        <w:rPr>
          <w:rFonts w:hint="eastAsia"/>
        </w:rPr>
        <w:t>(ii)公允价值所属层次间的重大变动</w:t>
      </w:r>
    </w:p>
    <w:p>
      <w:pPr>
        <w:pStyle w:val="23"/>
        <w:spacing w:before="0"/>
        <w:ind w:left="0" w:firstLine="480"/>
        <w:rPr>
          <w:rFonts w:hint="eastAsia"/>
        </w:rPr>
      </w:pPr>
      <w:r>
        <w:rPr>
          <w:rFonts w:hint="eastAsia"/>
        </w:rPr>
        <w:t>本基金以导致各层次之间转换的事项发生日为确认各层次之间转换的时点。</w:t>
      </w:r>
    </w:p>
    <w:p>
      <w:pPr>
        <w:pStyle w:val="23"/>
        <w:spacing w:before="0"/>
        <w:ind w:left="0" w:firstLine="480"/>
        <w:rPr>
          <w:rFonts w:hint="eastAsia"/>
        </w:rPr>
      </w:pPr>
      <w:r>
        <w:rPr>
          <w:rFonts w:hint="eastAsia"/>
        </w:rPr>
        <w:t>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pStyle w:val="23"/>
        <w:spacing w:before="0"/>
        <w:ind w:left="0" w:firstLine="480"/>
        <w:rPr>
          <w:rFonts w:hint="eastAsia"/>
        </w:rPr>
      </w:pPr>
      <w:r>
        <w:rPr>
          <w:rFonts w:hint="eastAsia"/>
        </w:rPr>
        <w:t>(iii)第三层次公允价值余额和本期变动金额</w:t>
      </w:r>
    </w:p>
    <w:p>
      <w:pPr>
        <w:pStyle w:val="23"/>
        <w:spacing w:before="0"/>
        <w:ind w:left="0" w:firstLine="480"/>
        <w:rPr>
          <w:rFonts w:hint="eastAsia"/>
        </w:rPr>
      </w:pPr>
      <w:r>
        <w:rPr>
          <w:rFonts w:hint="eastAsia"/>
        </w:rPr>
        <w:t>无。</w:t>
      </w:r>
    </w:p>
    <w:p>
      <w:pPr>
        <w:pStyle w:val="23"/>
        <w:spacing w:before="0"/>
        <w:ind w:left="0" w:firstLine="480"/>
        <w:rPr>
          <w:rFonts w:hint="eastAsia"/>
        </w:rPr>
      </w:pPr>
      <w:r>
        <w:rPr>
          <w:rFonts w:hint="eastAsia"/>
        </w:rPr>
        <w:t>(c)非持续的以公允价值计量的金融工具</w:t>
      </w:r>
    </w:p>
    <w:p>
      <w:pPr>
        <w:pStyle w:val="23"/>
        <w:spacing w:before="0"/>
        <w:ind w:left="0" w:firstLine="480"/>
        <w:rPr>
          <w:rFonts w:hint="eastAsia"/>
        </w:rPr>
      </w:pPr>
      <w:r>
        <w:rPr>
          <w:rFonts w:hint="eastAsia"/>
        </w:rPr>
        <w:t>于2018年12月31日，本基金未持有非持续的以公允价值计量的金融资产(2017年12月31日：同)。</w:t>
      </w:r>
    </w:p>
    <w:p>
      <w:pPr>
        <w:pStyle w:val="23"/>
        <w:spacing w:before="0"/>
        <w:ind w:left="0" w:firstLine="480"/>
        <w:rPr>
          <w:rFonts w:hint="eastAsia"/>
        </w:rPr>
      </w:pPr>
      <w:r>
        <w:rPr>
          <w:rFonts w:hint="eastAsia"/>
        </w:rPr>
        <w:t>(d)不以公允价值计量的金融工具</w:t>
      </w:r>
    </w:p>
    <w:p>
      <w:pPr>
        <w:pStyle w:val="23"/>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23"/>
        <w:spacing w:before="0"/>
        <w:ind w:left="0" w:firstLine="480"/>
        <w:rPr>
          <w:rFonts w:hint="eastAsia"/>
        </w:rPr>
      </w:pPr>
      <w:r>
        <w:rPr>
          <w:rFonts w:hint="eastAsia"/>
        </w:rPr>
        <w:t>(2)其他</w:t>
      </w:r>
    </w:p>
    <w:p>
      <w:pPr>
        <w:pStyle w:val="23"/>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16"/>
        <w:rPr>
          <w:rFonts w:hint="eastAsia"/>
        </w:rPr>
      </w:pPr>
      <w:bookmarkStart w:id="35" w:name="_Toc4172377"/>
      <w:r>
        <w:rPr>
          <w:rFonts w:hint="eastAsia" w:hAnsi="Calibri"/>
          <w:b/>
          <w:color w:val="000000"/>
        </w:rPr>
        <w:t>§8 投资组合报告</w:t>
      </w:r>
      <w:bookmarkEnd w:id="35"/>
    </w:p>
    <w:p>
      <w:pPr>
        <w:widowControl/>
        <w:jc w:val="left"/>
        <w:rPr>
          <w:rFonts w:hint="eastAsia" w:ascii="宋体" w:hAnsi="宋体" w:cs="宋体"/>
          <w:kern w:val="0"/>
          <w:sz w:val="24"/>
          <w:szCs w:val="24"/>
        </w:rPr>
      </w:pPr>
    </w:p>
    <w:p>
      <w:pPr>
        <w:pStyle w:val="17"/>
        <w:rPr>
          <w:rFonts w:hint="eastAsia"/>
        </w:rPr>
      </w:pPr>
      <w:bookmarkStart w:id="36" w:name="_Toc4172378"/>
      <w:r>
        <w:rPr>
          <w:rFonts w:hint="eastAsia"/>
          <w:b/>
          <w:bCs/>
        </w:rPr>
        <w:t>8.1 期末基金资产组合情况</w:t>
      </w:r>
      <w:bookmarkEnd w:id="36"/>
    </w:p>
    <w:p>
      <w:pPr>
        <w:pStyle w:val="22"/>
        <w:rPr>
          <w:rFonts w:hint="eastAsia"/>
        </w:rPr>
      </w:pPr>
      <w:r>
        <w:rPr>
          <w:rFonts w:hint="eastAsia" w:hAnsi="Calibri"/>
          <w:color w:val="000000"/>
        </w:rPr>
        <w:t>金额单位：人民币元</w:t>
      </w:r>
    </w:p>
    <w:tbl>
      <w:tblPr>
        <w:tblStyle w:val="10"/>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154,767,328.97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43.59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154,767,328.97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43.59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60,028,997.24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16.91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140,230,869.09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39.50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355,027,195.30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7"/>
        <w:rPr>
          <w:rFonts w:hint="eastAsia"/>
        </w:rPr>
      </w:pPr>
      <w:bookmarkStart w:id="37" w:name="_Toc4172379"/>
      <w:r>
        <w:rPr>
          <w:rFonts w:hint="eastAsia"/>
          <w:b/>
          <w:bCs/>
        </w:rPr>
        <w:t>8.2 报告期末按行业分类的股票投资组合</w:t>
      </w:r>
      <w:bookmarkEnd w:id="37"/>
    </w:p>
    <w:tbl>
      <w:tblPr>
        <w:tblStyle w:val="10"/>
        <w:tblW w:w="0" w:type="auto"/>
        <w:tblInd w:w="108" w:type="dxa"/>
        <w:tblLayout w:type="autofit"/>
        <w:tblCellMar>
          <w:top w:w="0" w:type="dxa"/>
          <w:left w:w="108" w:type="dxa"/>
          <w:bottom w:w="0" w:type="dxa"/>
          <w:right w:w="108" w:type="dxa"/>
        </w:tblCellMar>
      </w:tblPr>
      <w:tblGrid>
        <w:gridCol w:w="720"/>
        <w:gridCol w:w="3974"/>
        <w:gridCol w:w="2167"/>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代码</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行业类别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公允价值（元）</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A</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农、林、牧、渔业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B</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采矿业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C</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制造业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59,649,315.34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16.85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D</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13,867,873.57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3.92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E</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建筑业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F</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批发和零售业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15,387,753.30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4.35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G</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交通运输、仓储和邮政业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24,153,700.72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6.82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H</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住宿和餐饮业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I</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J</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金融业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24,829,501.40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7.01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K</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房地产业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L</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租赁和商务服务业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M</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科学研究和技术服务业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N</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水利、环境和公共设施管理业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O</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居民服务、修理和其他服务业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P</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教育</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Q</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卫生和社会工作</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R</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文化、体育和娱乐业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16,879,184.64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4.77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S</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综合</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154,767,328.97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43.71</w:t>
            </w:r>
          </w:p>
        </w:tc>
      </w:tr>
    </w:tbl>
    <w:p>
      <w:pPr>
        <w:widowControl/>
        <w:jc w:val="left"/>
        <w:rPr>
          <w:rFonts w:hint="eastAsia" w:ascii="宋体" w:hAnsi="宋体" w:cs="宋体"/>
          <w:kern w:val="0"/>
          <w:sz w:val="24"/>
          <w:szCs w:val="24"/>
        </w:rPr>
      </w:pPr>
    </w:p>
    <w:p>
      <w:pPr>
        <w:pStyle w:val="17"/>
        <w:rPr>
          <w:rFonts w:hint="eastAsia"/>
        </w:rPr>
      </w:pPr>
      <w:bookmarkStart w:id="38" w:name="_Toc4172380"/>
      <w:r>
        <w:rPr>
          <w:rFonts w:hint="eastAsia"/>
          <w:b/>
          <w:bCs/>
        </w:rPr>
        <w:t>8.3 期末按公允价值占基金资产净值比例大小排序的所有股票投资明细</w:t>
      </w:r>
      <w:bookmarkEnd w:id="38"/>
    </w:p>
    <w:p>
      <w:pPr>
        <w:pStyle w:val="22"/>
        <w:rPr>
          <w:rFonts w:hint="eastAsia"/>
        </w:rPr>
      </w:pPr>
      <w:r>
        <w:rPr>
          <w:rFonts w:hint="eastAsia" w:hAnsi="Calibri"/>
          <w:color w:val="000000"/>
        </w:rPr>
        <w:t>金额单位：人民币元</w:t>
      </w:r>
    </w:p>
    <w:tbl>
      <w:tblPr>
        <w:tblStyle w:val="10"/>
        <w:tblW w:w="0" w:type="auto"/>
        <w:tblInd w:w="108" w:type="dxa"/>
        <w:tblLayout w:type="autofit"/>
        <w:tblCellMar>
          <w:top w:w="0" w:type="dxa"/>
          <w:left w:w="108" w:type="dxa"/>
          <w:bottom w:w="0" w:type="dxa"/>
          <w:right w:w="108" w:type="dxa"/>
        </w:tblCellMar>
      </w:tblPr>
      <w:tblGrid>
        <w:gridCol w:w="820"/>
        <w:gridCol w:w="1634"/>
        <w:gridCol w:w="1634"/>
        <w:gridCol w:w="1717"/>
        <w:gridCol w:w="1717"/>
        <w:gridCol w:w="167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公允价值(元)</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600757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长江传媒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2,588,832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16,879,184.64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601333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广深铁路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4,788,892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15,132,898.72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600089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特变电工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1,988,705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13,503,306.95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600509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天富能源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2,791,001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9,963,873.57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600125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铁龙物流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1,288,686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9,020,802.00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600731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湖南海利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1,818,000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7,671,960.00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000731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四川美丰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7,670,560.00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600859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王府井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549,930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7,457,050.80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000698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沈阳化工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1,988,867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7,239,475.88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600861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北京城乡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998,950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6,942,702.50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兴业银行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384,900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5,750,406.00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600192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长城电工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1,288,794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5,451,598.62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000521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长虹美菱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1,529,080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4,526,076.80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601939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建设银行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4,459,000.00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交通银行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4,458,300.00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600642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申能股份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3,904,000.00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光大银行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3,330,000.00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0.94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农业银行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3,276,000.00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0.93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000519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中兵红箭</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519,955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3,270,516.95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0.92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平安银行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279,920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2,625,649.60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0.74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600883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博闻科技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2,306,600.00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0.65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600328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兰太实业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2,055,000.00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0.58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600367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红星发展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2,004,800.00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0.57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600796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钱江生化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264,400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1,366,948.00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600746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江苏索普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219,936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1,262,432.64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600888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新疆众和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1,254,000.00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600858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银座股份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988,000.00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海通证券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880,000.00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603185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上机数控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66,039.50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601860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紫金银行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50,145.80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0.01</w:t>
            </w:r>
          </w:p>
        </w:tc>
      </w:tr>
    </w:tbl>
    <w:p>
      <w:pPr>
        <w:widowControl/>
        <w:jc w:val="left"/>
        <w:rPr>
          <w:rFonts w:hint="eastAsia" w:ascii="宋体" w:hAnsi="宋体" w:cs="宋体"/>
          <w:kern w:val="0"/>
          <w:sz w:val="24"/>
          <w:szCs w:val="24"/>
        </w:rPr>
      </w:pPr>
    </w:p>
    <w:p>
      <w:pPr>
        <w:pStyle w:val="17"/>
        <w:rPr>
          <w:rFonts w:hint="eastAsia"/>
        </w:rPr>
      </w:pPr>
      <w:bookmarkStart w:id="39" w:name="_Toc4172381"/>
      <w:r>
        <w:rPr>
          <w:rFonts w:hint="eastAsia"/>
          <w:b/>
          <w:bCs/>
        </w:rPr>
        <w:t>8.4 报告期内股票投资组合的重大变动</w:t>
      </w:r>
      <w:bookmarkEnd w:id="39"/>
    </w:p>
    <w:p>
      <w:pPr>
        <w:pStyle w:val="18"/>
        <w:rPr>
          <w:rFonts w:hint="eastAsia"/>
        </w:rPr>
      </w:pPr>
      <w:r>
        <w:rPr>
          <w:rFonts w:hint="eastAsia"/>
          <w:b/>
          <w:bCs/>
        </w:rPr>
        <w:t>8.4.1 累计买入金额超出期初基金资产净值2%或前20名的股票明细</w:t>
      </w:r>
    </w:p>
    <w:p>
      <w:pPr>
        <w:pStyle w:val="22"/>
        <w:rPr>
          <w:rFonts w:hint="eastAsia"/>
        </w:rPr>
      </w:pPr>
      <w:r>
        <w:rPr>
          <w:rFonts w:hint="eastAsia" w:hAnsi="Calibri"/>
          <w:color w:val="000000"/>
        </w:rPr>
        <w:t>金额单位：人民币元</w:t>
      </w:r>
    </w:p>
    <w:tbl>
      <w:tblPr>
        <w:tblStyle w:val="10"/>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600089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特变电工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35,720,289.73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兴业银行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35,282,243.78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601333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广深铁路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22,277,141.96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浦发银行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20,226,314.10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光大银行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15,838,880.00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000778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新兴铸管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15,329,045.85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600125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铁龙物流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13,566,761.24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600757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长江传媒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13,075,358.41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海通证券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12,649,969.00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000521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长虹美菱</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12,373,120.60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平安银行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10,977,110.80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601939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建设银行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10,797,432.00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交通银行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9,928,000.00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600861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北京城乡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8,687,856.14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600642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申能股份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8,072,634.00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600859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王府井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8,030,195.10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北京银行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7,369,929.48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农业银行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7,260,000.00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600509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天富能源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7,059,816.83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600731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湖南海利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6,770,306.00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1.07</w:t>
            </w:r>
          </w:p>
        </w:tc>
      </w:tr>
    </w:tbl>
    <w:p>
      <w:pPr>
        <w:pStyle w:val="23"/>
        <w:rPr>
          <w:rFonts w:hint="eastAsia"/>
        </w:rPr>
      </w:pPr>
      <w:r>
        <w:rPr>
          <w:rFonts w:hint="eastAsia"/>
        </w:rPr>
        <w:t>注：本期累计买入金额按买卖成交金额,不考虑相关交易费用。</w:t>
      </w:r>
    </w:p>
    <w:p>
      <w:pPr>
        <w:widowControl/>
        <w:jc w:val="left"/>
        <w:rPr>
          <w:rFonts w:hint="eastAsia" w:ascii="宋体" w:hAnsi="宋体" w:cs="宋体"/>
          <w:kern w:val="0"/>
          <w:sz w:val="24"/>
          <w:szCs w:val="24"/>
        </w:rPr>
      </w:pPr>
    </w:p>
    <w:p>
      <w:pPr>
        <w:pStyle w:val="18"/>
        <w:rPr>
          <w:rFonts w:hint="eastAsia"/>
        </w:rPr>
      </w:pPr>
      <w:r>
        <w:rPr>
          <w:rFonts w:hint="eastAsia"/>
          <w:b/>
          <w:bCs/>
        </w:rPr>
        <w:t>8.4.2 累计卖出金额超出期初基金资产净值2%或前20名的股票明细</w:t>
      </w:r>
    </w:p>
    <w:p>
      <w:pPr>
        <w:pStyle w:val="22"/>
        <w:rPr>
          <w:rFonts w:hint="eastAsia"/>
        </w:rPr>
      </w:pPr>
      <w:r>
        <w:rPr>
          <w:rFonts w:hint="eastAsia" w:hAnsi="Calibri"/>
          <w:color w:val="000000"/>
        </w:rPr>
        <w:t>金额单位：人民币元</w:t>
      </w:r>
    </w:p>
    <w:tbl>
      <w:tblPr>
        <w:tblStyle w:val="10"/>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兴业银行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28,741,674.50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北京银行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26,971,778.84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光大银行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26,297,442.00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600089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特变电工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22,847,707.89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华夏银行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18,439,429.77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浦发银行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17,081,249.56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000778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新兴铸管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13,645,459.67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海通证券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12,240,361.00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平安银行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9,386,354.12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601998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中信银行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8,974,942.76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600642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申能股份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7,526,131.00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000521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长虹美菱</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6,789,146.36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交通银行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5,325,300.00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0.84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601939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建设银行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5,258,000.00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0.83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000069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华侨城Ａ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3,925,015.24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0.62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农业银行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3,897,400.00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0.62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601333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广深铁路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3,373,001.00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000565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渝三峡Ａ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2,708,590.58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0.43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600796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钱江生化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2,644,008.00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600784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鲁银投资</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2,463,303.14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0.39</w:t>
            </w:r>
          </w:p>
        </w:tc>
      </w:tr>
    </w:tbl>
    <w:p>
      <w:pPr>
        <w:pStyle w:val="23"/>
        <w:rPr>
          <w:rFonts w:hint="eastAsia"/>
        </w:rPr>
      </w:pPr>
      <w:r>
        <w:rPr>
          <w:rFonts w:hint="eastAsia"/>
        </w:rPr>
        <w:t>注：本期累计卖出金额按买卖成交金额,不考虑相关交易费用。</w:t>
      </w:r>
    </w:p>
    <w:p>
      <w:pPr>
        <w:widowControl/>
        <w:jc w:val="left"/>
        <w:rPr>
          <w:rFonts w:hint="eastAsia" w:ascii="宋体" w:hAnsi="宋体" w:cs="宋体"/>
          <w:kern w:val="0"/>
          <w:sz w:val="24"/>
          <w:szCs w:val="24"/>
        </w:rPr>
      </w:pPr>
    </w:p>
    <w:p>
      <w:pPr>
        <w:pStyle w:val="18"/>
        <w:rPr>
          <w:rFonts w:hint="eastAsia"/>
        </w:rPr>
      </w:pPr>
      <w:r>
        <w:rPr>
          <w:rFonts w:hint="eastAsia"/>
          <w:b/>
          <w:bCs/>
        </w:rPr>
        <w:t>8.4.3 买入股票的成本总额及卖出股票的收入总额</w:t>
      </w:r>
    </w:p>
    <w:p>
      <w:pPr>
        <w:pStyle w:val="22"/>
        <w:rPr>
          <w:rFonts w:hint="eastAsia"/>
        </w:rPr>
      </w:pPr>
      <w:r>
        <w:rPr>
          <w:rFonts w:hint="eastAsia" w:hAnsi="Calibri"/>
          <w:color w:val="000000"/>
        </w:rPr>
        <w:t>单位：人民币元</w:t>
      </w:r>
    </w:p>
    <w:tbl>
      <w:tblPr>
        <w:tblStyle w:val="10"/>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325,348,896.65</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243,623,599.06</w:t>
            </w:r>
          </w:p>
        </w:tc>
      </w:tr>
    </w:tbl>
    <w:p>
      <w:pPr>
        <w:pStyle w:val="23"/>
        <w:rPr>
          <w:rFonts w:hint="eastAsia"/>
        </w:rPr>
      </w:pPr>
      <w:r>
        <w:rPr>
          <w:rFonts w:hint="eastAsia"/>
        </w:rPr>
        <w:t>注：买入股票成本、卖出股票收入均按买卖成交金额填列，不考虑相关交易费用。</w:t>
      </w:r>
    </w:p>
    <w:p>
      <w:pPr>
        <w:widowControl/>
        <w:jc w:val="left"/>
        <w:rPr>
          <w:rFonts w:hint="eastAsia" w:ascii="宋体" w:hAnsi="宋体" w:cs="宋体"/>
          <w:kern w:val="0"/>
          <w:sz w:val="24"/>
          <w:szCs w:val="24"/>
        </w:rPr>
      </w:pPr>
    </w:p>
    <w:p>
      <w:pPr>
        <w:pStyle w:val="17"/>
        <w:rPr>
          <w:rFonts w:hint="eastAsia"/>
        </w:rPr>
      </w:pPr>
      <w:bookmarkStart w:id="40" w:name="_Toc4172382"/>
      <w:r>
        <w:rPr>
          <w:rFonts w:hint="eastAsia"/>
          <w:b/>
          <w:bCs/>
        </w:rPr>
        <w:t>8.5 期末按债券品种分类的债券投资组合</w:t>
      </w:r>
      <w:bookmarkEnd w:id="40"/>
    </w:p>
    <w:p>
      <w:pPr>
        <w:pStyle w:val="23"/>
        <w:rPr>
          <w:rFonts w:hint="eastAsia"/>
        </w:rPr>
      </w:pPr>
      <w:r>
        <w:rPr>
          <w:rFonts w:hint="eastAsia"/>
        </w:rPr>
        <w:t>本基金本报告期末未持有债券。</w:t>
      </w:r>
    </w:p>
    <w:p>
      <w:pPr>
        <w:widowControl/>
        <w:jc w:val="left"/>
        <w:rPr>
          <w:rFonts w:hint="eastAsia" w:ascii="宋体" w:hAnsi="宋体" w:cs="宋体"/>
          <w:kern w:val="0"/>
          <w:sz w:val="24"/>
          <w:szCs w:val="24"/>
        </w:rPr>
      </w:pPr>
    </w:p>
    <w:p>
      <w:pPr>
        <w:pStyle w:val="17"/>
        <w:rPr>
          <w:rFonts w:hint="eastAsia"/>
        </w:rPr>
      </w:pPr>
      <w:bookmarkStart w:id="41" w:name="_Toc4172383"/>
      <w:r>
        <w:rPr>
          <w:rFonts w:hint="eastAsia"/>
          <w:b/>
          <w:bCs/>
        </w:rPr>
        <w:t>8.6 期末按公允价值占基金资产净值比例大小排序的前五名债券投资明细</w:t>
      </w:r>
      <w:bookmarkEnd w:id="41"/>
    </w:p>
    <w:p>
      <w:pPr>
        <w:pStyle w:val="23"/>
        <w:rPr>
          <w:rFonts w:hint="eastAsia"/>
        </w:rPr>
      </w:pPr>
      <w:r>
        <w:rPr>
          <w:rFonts w:hint="eastAsia"/>
        </w:rPr>
        <w:t>本基金本报告期末未持有债券。</w:t>
      </w:r>
    </w:p>
    <w:p>
      <w:pPr>
        <w:widowControl/>
        <w:jc w:val="left"/>
        <w:rPr>
          <w:rFonts w:hint="eastAsia" w:ascii="宋体" w:hAnsi="宋体" w:cs="宋体"/>
          <w:kern w:val="0"/>
          <w:sz w:val="24"/>
          <w:szCs w:val="24"/>
        </w:rPr>
      </w:pPr>
    </w:p>
    <w:p>
      <w:pPr>
        <w:pStyle w:val="17"/>
        <w:rPr>
          <w:rFonts w:hint="eastAsia"/>
        </w:rPr>
      </w:pPr>
      <w:bookmarkStart w:id="42" w:name="_Toc4172384"/>
      <w:r>
        <w:rPr>
          <w:rFonts w:hint="eastAsia"/>
          <w:b/>
          <w:bCs/>
        </w:rPr>
        <w:t>8.7 期末按公允价值占基金资产净值比例大小排序的所有资产支持证券投资明细</w:t>
      </w:r>
      <w:bookmarkEnd w:id="42"/>
    </w:p>
    <w:p>
      <w:pPr>
        <w:pStyle w:val="23"/>
        <w:rPr>
          <w:rFonts w:hint="eastAsia"/>
        </w:rPr>
      </w:pPr>
      <w:r>
        <w:rPr>
          <w:rFonts w:hint="eastAsia"/>
        </w:rPr>
        <w:t>本基金本报告期末未持有资产支持证券。</w:t>
      </w:r>
    </w:p>
    <w:p>
      <w:pPr>
        <w:widowControl/>
        <w:jc w:val="left"/>
        <w:rPr>
          <w:rFonts w:hint="eastAsia" w:ascii="宋体" w:hAnsi="宋体" w:cs="宋体"/>
          <w:kern w:val="0"/>
          <w:sz w:val="24"/>
          <w:szCs w:val="24"/>
        </w:rPr>
      </w:pPr>
    </w:p>
    <w:p>
      <w:pPr>
        <w:pStyle w:val="17"/>
        <w:rPr>
          <w:rFonts w:hint="eastAsia"/>
        </w:rPr>
      </w:pPr>
      <w:bookmarkStart w:id="43" w:name="_Toc4172385"/>
      <w:r>
        <w:rPr>
          <w:rFonts w:hint="eastAsia"/>
          <w:b/>
          <w:bCs/>
        </w:rPr>
        <w:t>8.8 报告期末按公允价值占基金资产净值比例大小排序的前五名贵金属投资明细</w:t>
      </w:r>
      <w:bookmarkEnd w:id="43"/>
    </w:p>
    <w:tbl>
      <w:tblPr>
        <w:tblStyle w:val="10"/>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3"/>
      </w:pPr>
      <w:r>
        <w:rPr>
          <w:rFonts w:hint="eastAsia"/>
        </w:rPr>
        <w:t>本基金本报告期末未持有贵金属。</w:t>
      </w:r>
    </w:p>
    <w:p>
      <w:pPr>
        <w:widowControl/>
        <w:jc w:val="left"/>
        <w:rPr>
          <w:rFonts w:hint="eastAsia" w:ascii="宋体" w:hAnsi="宋体" w:cs="宋体"/>
          <w:kern w:val="0"/>
          <w:sz w:val="24"/>
          <w:szCs w:val="24"/>
        </w:rPr>
      </w:pPr>
    </w:p>
    <w:p>
      <w:pPr>
        <w:pStyle w:val="17"/>
        <w:rPr>
          <w:rFonts w:hint="eastAsia"/>
        </w:rPr>
      </w:pPr>
      <w:bookmarkStart w:id="44" w:name="_Toc4172386"/>
      <w:r>
        <w:rPr>
          <w:rFonts w:hint="eastAsia"/>
          <w:b/>
          <w:bCs/>
        </w:rPr>
        <w:t>8.9 期末按公允价值占基金资产净值比例大小排序的前五名权证投资明细</w:t>
      </w:r>
      <w:bookmarkEnd w:id="44"/>
    </w:p>
    <w:tbl>
      <w:tblPr>
        <w:tblStyle w:val="10"/>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3"/>
      </w:pPr>
      <w:r>
        <w:rPr>
          <w:rFonts w:hint="eastAsia"/>
        </w:rPr>
        <w:t>本基金本报告期末未持有权证。</w:t>
      </w:r>
    </w:p>
    <w:p>
      <w:pPr>
        <w:widowControl/>
        <w:jc w:val="left"/>
        <w:rPr>
          <w:rFonts w:hint="eastAsia" w:ascii="宋体" w:hAnsi="宋体" w:cs="宋体"/>
          <w:kern w:val="0"/>
          <w:sz w:val="24"/>
          <w:szCs w:val="24"/>
        </w:rPr>
      </w:pPr>
    </w:p>
    <w:p>
      <w:pPr>
        <w:pStyle w:val="17"/>
        <w:rPr>
          <w:rFonts w:hint="eastAsia"/>
        </w:rPr>
      </w:pPr>
      <w:bookmarkStart w:id="45" w:name="_Toc4172387"/>
      <w:r>
        <w:rPr>
          <w:rFonts w:hint="eastAsia"/>
          <w:b/>
          <w:bCs/>
        </w:rPr>
        <w:t>8.10 报告期末本基金投资的股指期货交易情况说明</w:t>
      </w:r>
      <w:bookmarkEnd w:id="45"/>
    </w:p>
    <w:tbl>
      <w:tblPr>
        <w:tblStyle w:val="10"/>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3"/>
      </w:pPr>
      <w:r>
        <w:rPr>
          <w:rFonts w:hint="eastAsia"/>
        </w:rPr>
        <w:t>本基金本报告期未投资股指期货。</w:t>
      </w:r>
    </w:p>
    <w:p>
      <w:pPr>
        <w:widowControl/>
        <w:jc w:val="left"/>
        <w:rPr>
          <w:rFonts w:hint="eastAsia" w:ascii="宋体" w:hAnsi="宋体" w:cs="宋体"/>
          <w:kern w:val="0"/>
          <w:sz w:val="24"/>
          <w:szCs w:val="24"/>
        </w:rPr>
      </w:pPr>
    </w:p>
    <w:p>
      <w:pPr>
        <w:pStyle w:val="17"/>
        <w:rPr>
          <w:rFonts w:hint="eastAsia"/>
        </w:rPr>
      </w:pPr>
      <w:bookmarkStart w:id="46" w:name="_Toc4172388"/>
      <w:r>
        <w:rPr>
          <w:rFonts w:hint="eastAsia"/>
          <w:b/>
          <w:bCs/>
        </w:rPr>
        <w:t>8.11 报告期末本基金投资的国债期货交易情况说明</w:t>
      </w:r>
      <w:bookmarkEnd w:id="46"/>
    </w:p>
    <w:p>
      <w:pPr>
        <w:pStyle w:val="23"/>
        <w:rPr>
          <w:rFonts w:hint="eastAsia"/>
        </w:rPr>
      </w:pPr>
      <w:r>
        <w:rPr>
          <w:rFonts w:hint="eastAsia"/>
        </w:rPr>
        <w:t>本基金本报告期未投资国债期货。</w:t>
      </w:r>
    </w:p>
    <w:p>
      <w:pPr>
        <w:widowControl/>
        <w:jc w:val="left"/>
        <w:rPr>
          <w:rFonts w:hint="eastAsia" w:ascii="宋体" w:hAnsi="宋体" w:cs="宋体"/>
          <w:kern w:val="0"/>
          <w:sz w:val="24"/>
          <w:szCs w:val="24"/>
        </w:rPr>
      </w:pPr>
    </w:p>
    <w:p>
      <w:pPr>
        <w:pStyle w:val="17"/>
        <w:rPr>
          <w:rFonts w:hint="eastAsia"/>
        </w:rPr>
      </w:pPr>
      <w:bookmarkStart w:id="47" w:name="_Toc4172389"/>
      <w:r>
        <w:rPr>
          <w:rFonts w:hint="eastAsia"/>
          <w:b/>
          <w:bCs/>
        </w:rPr>
        <w:t>8.12 投资组合报告附注</w:t>
      </w:r>
      <w:bookmarkEnd w:id="47"/>
    </w:p>
    <w:p>
      <w:pPr>
        <w:pStyle w:val="18"/>
        <w:rPr>
          <w:rFonts w:hint="eastAsia"/>
        </w:rPr>
      </w:pPr>
      <w:r>
        <w:rPr>
          <w:rFonts w:hint="eastAsia"/>
          <w:b/>
          <w:bCs/>
        </w:rPr>
        <w:t>8.12.1 四川美丰化工股份有限公司（以下简称"公司"）于12月1日公告收到子公司四川美丰化工科技有限责任公司（以下简称"美丰科技"）转来绵阳市环境保护局的《行政处罚决定书》，因违反环保法律规定被处共计20万元罚款的行政处罚。.美丰科技已按照绵阳市环保局要求完成整改，并通过绵阳市环保局复查，生产经营正常。 本基金投研人员分析认为，该事件发生后该公司经营状况正常，作为央企中国石化下属专业化工子公司，环保处罚和整改属于化工企业日常经营易发问题，此次事件处罚和整改对公司经营和业绩影响无显著直接影响。该公司作为化肥和车用环保特种尿素行业龙头之一，目前估值处于历史相对底部，维持持有评级。本基金基金经理依据基金合同和公司投资管理制度，在投资授权范围内，经正常投资决策程序对四川美丰进行了投资。</w:t>
      </w:r>
    </w:p>
    <w:p>
      <w:pPr>
        <w:widowControl/>
        <w:jc w:val="left"/>
        <w:rPr>
          <w:rFonts w:hint="eastAsia" w:ascii="宋体" w:hAnsi="宋体" w:cs="宋体"/>
          <w:kern w:val="0"/>
          <w:sz w:val="24"/>
          <w:szCs w:val="24"/>
        </w:rPr>
      </w:pPr>
    </w:p>
    <w:p>
      <w:pPr>
        <w:pStyle w:val="18"/>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8"/>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0"/>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58,751.79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140,182,272.24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-11,143.08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988.14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140,230,869.09</w:t>
            </w:r>
          </w:p>
        </w:tc>
      </w:tr>
    </w:tbl>
    <w:p>
      <w:pPr>
        <w:widowControl/>
        <w:jc w:val="left"/>
        <w:rPr>
          <w:rFonts w:hint="eastAsia" w:ascii="宋体" w:hAnsi="宋体" w:cs="宋体"/>
          <w:kern w:val="0"/>
          <w:sz w:val="24"/>
          <w:szCs w:val="24"/>
        </w:rPr>
      </w:pPr>
    </w:p>
    <w:p>
      <w:pPr>
        <w:pStyle w:val="18"/>
        <w:rPr>
          <w:rFonts w:hint="eastAsia"/>
        </w:rPr>
      </w:pPr>
      <w:r>
        <w:rPr>
          <w:rFonts w:hint="eastAsia"/>
          <w:b/>
          <w:bCs/>
        </w:rPr>
        <w:t>8.12.4 期末持有的处于转股期的可转换债券明细</w:t>
      </w:r>
    </w:p>
    <w:p>
      <w:pPr>
        <w:pStyle w:val="23"/>
        <w:rPr>
          <w:rFonts w:hint="eastAsia"/>
        </w:rPr>
      </w:pPr>
      <w:r>
        <w:rPr>
          <w:rFonts w:hint="eastAsia"/>
        </w:rPr>
        <w:t>本基金本报告期末未持有处于转股期的可转换债券。</w:t>
      </w:r>
    </w:p>
    <w:p>
      <w:pPr>
        <w:widowControl/>
        <w:jc w:val="left"/>
        <w:rPr>
          <w:rFonts w:hint="eastAsia" w:ascii="宋体" w:hAnsi="宋体" w:cs="宋体"/>
          <w:kern w:val="0"/>
          <w:sz w:val="24"/>
          <w:szCs w:val="24"/>
        </w:rPr>
      </w:pPr>
    </w:p>
    <w:p>
      <w:pPr>
        <w:pStyle w:val="18"/>
        <w:rPr>
          <w:rFonts w:hint="eastAsia"/>
        </w:rPr>
      </w:pPr>
      <w:r>
        <w:rPr>
          <w:rFonts w:hint="eastAsia"/>
          <w:b/>
          <w:bCs/>
        </w:rPr>
        <w:t>8.12.5 期末前十名股票中存在流通受限情况的说明</w:t>
      </w:r>
    </w:p>
    <w:p>
      <w:pPr>
        <w:pStyle w:val="23"/>
        <w:rPr>
          <w:rFonts w:hint="eastAsia"/>
        </w:rPr>
      </w:pPr>
      <w:r>
        <w:rPr>
          <w:rFonts w:hint="eastAsia"/>
        </w:rPr>
        <w:t>本基金本报告期末前十名股票不存在流通受限的情况。</w:t>
      </w:r>
    </w:p>
    <w:p>
      <w:pPr>
        <w:widowControl/>
        <w:jc w:val="left"/>
        <w:rPr>
          <w:rFonts w:hint="eastAsia" w:ascii="宋体" w:hAnsi="宋体" w:cs="宋体"/>
          <w:kern w:val="0"/>
          <w:sz w:val="24"/>
          <w:szCs w:val="24"/>
        </w:rPr>
      </w:pPr>
    </w:p>
    <w:p>
      <w:pPr>
        <w:pStyle w:val="16"/>
        <w:rPr>
          <w:rFonts w:hint="eastAsia"/>
        </w:rPr>
      </w:pPr>
      <w:bookmarkStart w:id="48" w:name="_Toc4172390"/>
      <w:r>
        <w:rPr>
          <w:rFonts w:hint="eastAsia" w:hAnsi="Calibri"/>
          <w:b/>
          <w:color w:val="000000"/>
        </w:rPr>
        <w:t>§9  基金份额持有人信息</w:t>
      </w:r>
      <w:bookmarkEnd w:id="48"/>
    </w:p>
    <w:p>
      <w:pPr>
        <w:widowControl/>
        <w:jc w:val="left"/>
        <w:rPr>
          <w:rFonts w:hint="eastAsia" w:ascii="宋体" w:hAnsi="宋体" w:cs="宋体"/>
          <w:kern w:val="0"/>
          <w:sz w:val="24"/>
          <w:szCs w:val="24"/>
        </w:rPr>
      </w:pPr>
    </w:p>
    <w:p>
      <w:pPr>
        <w:pStyle w:val="17"/>
        <w:rPr>
          <w:rFonts w:hint="eastAsia"/>
        </w:rPr>
      </w:pPr>
      <w:bookmarkStart w:id="49" w:name="_Toc4172391"/>
      <w:r>
        <w:rPr>
          <w:rFonts w:hint="eastAsia"/>
          <w:b/>
          <w:bCs/>
        </w:rPr>
        <w:t>9.1 期末基金份额持有人户数及持有人结构</w:t>
      </w:r>
      <w:bookmarkEnd w:id="49"/>
    </w:p>
    <w:p>
      <w:pPr>
        <w:pStyle w:val="22"/>
        <w:rPr>
          <w:rFonts w:hint="eastAsia"/>
        </w:rPr>
      </w:pPr>
      <w:r>
        <w:rPr>
          <w:rFonts w:hint="eastAsia" w:hAnsi="Calibri"/>
          <w:color w:val="000000"/>
        </w:rPr>
        <w:t>份额单位：份</w:t>
      </w:r>
    </w:p>
    <w:tbl>
      <w:tblPr>
        <w:tblStyle w:val="10"/>
        <w:tblW w:w="9045" w:type="dxa"/>
        <w:tblInd w:w="108" w:type="dxa"/>
        <w:tblLayout w:type="autofit"/>
        <w:tblCellMar>
          <w:top w:w="0" w:type="dxa"/>
          <w:left w:w="108" w:type="dxa"/>
          <w:bottom w:w="0" w:type="dxa"/>
          <w:right w:w="108" w:type="dxa"/>
        </w:tblCellMar>
      </w:tblPr>
      <w:tblGrid>
        <w:gridCol w:w="904"/>
        <w:gridCol w:w="2261"/>
        <w:gridCol w:w="1809"/>
        <w:gridCol w:w="1131"/>
        <w:gridCol w:w="1809"/>
        <w:gridCol w:w="1131"/>
      </w:tblGrid>
      <w:tr>
        <w:tblPrEx>
          <w:tblCellMar>
            <w:top w:w="0" w:type="dxa"/>
            <w:left w:w="108" w:type="dxa"/>
            <w:bottom w:w="0" w:type="dxa"/>
            <w:right w:w="108" w:type="dxa"/>
          </w:tblCellMar>
        </w:tblPrEx>
        <w:trPr>
          <w:wBefore w:w="0" w:type="auto"/>
        </w:trPr>
        <w:tc>
          <w:tcPr>
            <w:tcW w:w="4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持有人户数(户)</w:t>
            </w:r>
          </w:p>
        </w:tc>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户均持有的基金份额</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机构投资者</w:t>
            </w:r>
          </w:p>
        </w:tc>
        <w:tc>
          <w:tcPr>
            <w:tcW w:w="13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800" w:type="pc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占总份额比例</w:t>
            </w:r>
          </w:p>
        </w:tc>
        <w:tc>
          <w:tcPr>
            <w:tcW w:w="800" w:type="pc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3,698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106,250.63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392,914,844.06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7"/>
        <w:rPr>
          <w:rFonts w:hint="eastAsia"/>
        </w:rPr>
      </w:pPr>
      <w:bookmarkStart w:id="50" w:name="_Toc4172392"/>
      <w:r>
        <w:rPr>
          <w:rFonts w:hint="eastAsia" w:hAnsi="Calibri"/>
          <w:b/>
          <w:color w:val="000000"/>
        </w:rPr>
        <w:t>9.2 期末基金管理人的从业人员持有本基金的情况</w:t>
      </w:r>
      <w:bookmarkEnd w:id="50"/>
    </w:p>
    <w:tbl>
      <w:tblPr>
        <w:tblStyle w:val="10"/>
        <w:tblW w:w="9045" w:type="dxa"/>
        <w:tblInd w:w="108" w:type="dxa"/>
        <w:tblLayout w:type="autofit"/>
        <w:tblCellMar>
          <w:top w:w="0" w:type="dxa"/>
          <w:left w:w="108" w:type="dxa"/>
          <w:bottom w:w="0" w:type="dxa"/>
          <w:right w:w="108" w:type="dxa"/>
        </w:tblCellMar>
      </w:tblPr>
      <w:tblGrid>
        <w:gridCol w:w="4116"/>
        <w:gridCol w:w="2336"/>
        <w:gridCol w:w="2593"/>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项目</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155,257.05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0.04%</w:t>
            </w:r>
          </w:p>
        </w:tc>
      </w:tr>
    </w:tbl>
    <w:p>
      <w:pPr>
        <w:widowControl/>
        <w:jc w:val="left"/>
        <w:rPr>
          <w:rFonts w:hint="eastAsia" w:ascii="宋体" w:hAnsi="宋体" w:cs="宋体"/>
          <w:kern w:val="0"/>
          <w:sz w:val="24"/>
          <w:szCs w:val="24"/>
        </w:rPr>
      </w:pPr>
    </w:p>
    <w:p>
      <w:pPr>
        <w:pStyle w:val="17"/>
        <w:rPr>
          <w:rFonts w:hint="eastAsia"/>
        </w:rPr>
      </w:pPr>
      <w:bookmarkStart w:id="51" w:name="_Toc4172393"/>
      <w:r>
        <w:rPr>
          <w:rFonts w:hint="eastAsia"/>
          <w:b/>
          <w:bCs/>
        </w:rPr>
        <w:t>9.3 期末基金管理人的从业人员持有本开放式基金份额总量区间情况</w:t>
      </w:r>
      <w:bookmarkEnd w:id="51"/>
    </w:p>
    <w:tbl>
      <w:tblPr>
        <w:tblStyle w:val="10"/>
        <w:tblW w:w="9045" w:type="dxa"/>
        <w:tblInd w:w="108" w:type="dxa"/>
        <w:tblLayout w:type="autofit"/>
        <w:tblCellMar>
          <w:top w:w="0" w:type="dxa"/>
          <w:left w:w="108" w:type="dxa"/>
          <w:bottom w:w="0" w:type="dxa"/>
          <w:right w:w="108" w:type="dxa"/>
        </w:tblCellMar>
      </w:tblPr>
      <w:tblGrid>
        <w:gridCol w:w="4522"/>
        <w:gridCol w:w="4523"/>
      </w:tblGrid>
      <w:tr>
        <w:tblPrEx>
          <w:tblCellMar>
            <w:top w:w="0" w:type="dxa"/>
            <w:left w:w="108" w:type="dxa"/>
            <w:bottom w:w="0" w:type="dxa"/>
            <w:right w:w="108" w:type="dxa"/>
          </w:tblCellMar>
        </w:tblPrEx>
        <w:trPr>
          <w:wBefore w:w="0" w:type="auto"/>
        </w:trPr>
        <w:tc>
          <w:tcPr>
            <w:tcW w:w="2500" w:type="pc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0</w:t>
            </w:r>
          </w:p>
        </w:tc>
      </w:tr>
    </w:tbl>
    <w:p>
      <w:pPr>
        <w:widowControl/>
        <w:jc w:val="left"/>
        <w:rPr>
          <w:rFonts w:hint="eastAsia" w:ascii="宋体" w:hAnsi="宋体" w:cs="宋体"/>
          <w:kern w:val="0"/>
          <w:sz w:val="24"/>
          <w:szCs w:val="24"/>
        </w:rPr>
      </w:pPr>
    </w:p>
    <w:p>
      <w:pPr>
        <w:pStyle w:val="16"/>
        <w:rPr>
          <w:rFonts w:hint="eastAsia"/>
        </w:rPr>
      </w:pPr>
      <w:bookmarkStart w:id="52" w:name="_Toc4172394"/>
      <w:r>
        <w:rPr>
          <w:rFonts w:hint="eastAsia" w:hAnsi="Calibri"/>
          <w:b/>
          <w:color w:val="000000"/>
        </w:rPr>
        <w:t>§10  开放式基金份额变动</w:t>
      </w:r>
      <w:bookmarkEnd w:id="52"/>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10"/>
        <w:tblW w:w="0" w:type="auto"/>
        <w:tblInd w:w="108" w:type="dxa"/>
        <w:tblLayout w:type="autofit"/>
        <w:tblCellMar>
          <w:top w:w="0" w:type="dxa"/>
          <w:left w:w="108" w:type="dxa"/>
          <w:bottom w:w="0" w:type="dxa"/>
          <w:right w:w="108" w:type="dxa"/>
        </w:tblCellMar>
      </w:tblPr>
      <w:tblGrid>
        <w:gridCol w:w="6138"/>
        <w:gridCol w:w="2890"/>
      </w:tblGrid>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基金合同生效日(2017年09月27日)基金份额总额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822,948,446.55</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本报告期期初基金份额总额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631,378,610.11</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本报告期基金总申购份额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1,986,047.80</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减：本报告期基金总赎回份额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240,449,813.85</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本报告期基金拆分变动份额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rPr>
              <w:t>本报告期期末基金份额总额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392,914,844.06</w:t>
            </w:r>
          </w:p>
        </w:tc>
      </w:tr>
    </w:tbl>
    <w:p>
      <w:pPr>
        <w:widowControl/>
        <w:jc w:val="left"/>
        <w:rPr>
          <w:rFonts w:hint="eastAsia" w:ascii="宋体" w:hAnsi="宋体" w:cs="宋体"/>
          <w:kern w:val="0"/>
          <w:sz w:val="24"/>
          <w:szCs w:val="24"/>
        </w:rPr>
      </w:pPr>
    </w:p>
    <w:p>
      <w:pPr>
        <w:pStyle w:val="16"/>
        <w:rPr>
          <w:rFonts w:hint="eastAsia"/>
        </w:rPr>
      </w:pPr>
      <w:bookmarkStart w:id="53" w:name="_Toc4172395"/>
      <w:r>
        <w:rPr>
          <w:rFonts w:hint="eastAsia" w:hAnsi="Calibri"/>
          <w:b/>
          <w:color w:val="000000"/>
        </w:rPr>
        <w:t>§11  重大事件揭示</w:t>
      </w:r>
      <w:bookmarkEnd w:id="53"/>
    </w:p>
    <w:p>
      <w:pPr>
        <w:widowControl/>
        <w:jc w:val="left"/>
        <w:rPr>
          <w:rFonts w:hint="eastAsia" w:ascii="宋体" w:hAnsi="宋体" w:cs="宋体"/>
          <w:kern w:val="0"/>
          <w:sz w:val="24"/>
          <w:szCs w:val="24"/>
        </w:rPr>
      </w:pPr>
    </w:p>
    <w:p>
      <w:pPr>
        <w:pStyle w:val="17"/>
        <w:rPr>
          <w:rFonts w:hint="eastAsia"/>
        </w:rPr>
      </w:pPr>
      <w:bookmarkStart w:id="54" w:name="_Toc4172396"/>
      <w:r>
        <w:rPr>
          <w:rFonts w:hint="eastAsia"/>
          <w:b/>
          <w:bCs/>
        </w:rPr>
        <w:t>11.1 基金份额持有人大会决议</w:t>
      </w:r>
      <w:bookmarkEnd w:id="54"/>
    </w:p>
    <w:p>
      <w:pPr>
        <w:pStyle w:val="23"/>
        <w:spacing w:before="0"/>
        <w:ind w:left="0" w:firstLine="480"/>
        <w:rPr>
          <w:rFonts w:hint="eastAsia"/>
        </w:rPr>
      </w:pPr>
      <w:r>
        <w:rPr>
          <w:rFonts w:hint="eastAsia"/>
        </w:rPr>
        <w:t>本报告期内未召开基金份额持有人大会。</w:t>
      </w:r>
    </w:p>
    <w:p>
      <w:pPr>
        <w:widowControl/>
        <w:jc w:val="left"/>
        <w:rPr>
          <w:rFonts w:hint="eastAsia" w:ascii="宋体" w:hAnsi="宋体" w:cs="宋体"/>
          <w:kern w:val="0"/>
          <w:sz w:val="24"/>
          <w:szCs w:val="24"/>
        </w:rPr>
      </w:pPr>
    </w:p>
    <w:p>
      <w:pPr>
        <w:pStyle w:val="17"/>
        <w:rPr>
          <w:rFonts w:hint="eastAsia"/>
        </w:rPr>
      </w:pPr>
      <w:bookmarkStart w:id="55" w:name="_Toc4172397"/>
      <w:r>
        <w:rPr>
          <w:rFonts w:hint="eastAsia"/>
          <w:b/>
          <w:bCs/>
        </w:rPr>
        <w:t>11.2 基金管理人、基金托管人的专门基金托管部门的重大人事变动</w:t>
      </w:r>
      <w:bookmarkEnd w:id="55"/>
    </w:p>
    <w:p>
      <w:pPr>
        <w:pStyle w:val="23"/>
        <w:spacing w:before="0"/>
        <w:ind w:left="0" w:firstLine="480"/>
        <w:rPr>
          <w:rFonts w:hint="eastAsia"/>
        </w:rPr>
      </w:pPr>
      <w:r>
        <w:rPr>
          <w:rFonts w:hint="eastAsia"/>
        </w:rPr>
        <w:t>本报告期内基金管理人、基金托管人的专门基金托管部门无重大人事变动。</w:t>
      </w:r>
    </w:p>
    <w:p>
      <w:pPr>
        <w:widowControl/>
        <w:jc w:val="left"/>
        <w:rPr>
          <w:rFonts w:hint="eastAsia" w:ascii="宋体" w:hAnsi="宋体" w:cs="宋体"/>
          <w:kern w:val="0"/>
          <w:sz w:val="24"/>
          <w:szCs w:val="24"/>
        </w:rPr>
      </w:pPr>
    </w:p>
    <w:p>
      <w:pPr>
        <w:pStyle w:val="17"/>
        <w:rPr>
          <w:rFonts w:hint="eastAsia"/>
        </w:rPr>
      </w:pPr>
      <w:bookmarkStart w:id="56" w:name="_Toc4172398"/>
      <w:r>
        <w:rPr>
          <w:rFonts w:hint="eastAsia"/>
          <w:b/>
          <w:bCs/>
        </w:rPr>
        <w:t>11.3 涉及基金管理人、基金财产、基金托管业务的诉讼</w:t>
      </w:r>
      <w:bookmarkEnd w:id="56"/>
    </w:p>
    <w:p>
      <w:pPr>
        <w:pStyle w:val="23"/>
        <w:spacing w:before="0"/>
        <w:ind w:left="0" w:firstLine="480"/>
        <w:rPr>
          <w:rFonts w:hint="eastAsia"/>
        </w:rPr>
      </w:pPr>
      <w:r>
        <w:rPr>
          <w:rFonts w:hint="eastAsia"/>
        </w:rPr>
        <w:t>本报告期内，未出现涉及基金管理人、基金财产、基金托管业务的诉讼。</w:t>
      </w:r>
    </w:p>
    <w:p>
      <w:pPr>
        <w:widowControl/>
        <w:jc w:val="left"/>
        <w:rPr>
          <w:rFonts w:hint="eastAsia" w:ascii="宋体" w:hAnsi="宋体" w:cs="宋体"/>
          <w:kern w:val="0"/>
          <w:sz w:val="24"/>
          <w:szCs w:val="24"/>
        </w:rPr>
      </w:pPr>
    </w:p>
    <w:p>
      <w:pPr>
        <w:pStyle w:val="17"/>
        <w:rPr>
          <w:rFonts w:hint="eastAsia"/>
        </w:rPr>
      </w:pPr>
      <w:bookmarkStart w:id="57" w:name="_Toc4172399"/>
      <w:r>
        <w:rPr>
          <w:rFonts w:hint="eastAsia"/>
          <w:b/>
          <w:bCs/>
        </w:rPr>
        <w:t>11.4 基金投资策略的改变</w:t>
      </w:r>
      <w:bookmarkEnd w:id="57"/>
    </w:p>
    <w:p>
      <w:pPr>
        <w:pStyle w:val="23"/>
        <w:spacing w:before="0"/>
        <w:ind w:left="0" w:firstLine="480"/>
        <w:rPr>
          <w:rFonts w:hint="eastAsia"/>
        </w:rPr>
      </w:pPr>
      <w:r>
        <w:rPr>
          <w:rFonts w:hint="eastAsia"/>
        </w:rPr>
        <w:t>本报告期内基金投资策略无重大改变。</w:t>
      </w:r>
    </w:p>
    <w:p>
      <w:pPr>
        <w:widowControl/>
        <w:jc w:val="left"/>
        <w:rPr>
          <w:rFonts w:hint="eastAsia" w:ascii="宋体" w:hAnsi="宋体" w:cs="宋体"/>
          <w:kern w:val="0"/>
          <w:sz w:val="24"/>
          <w:szCs w:val="24"/>
        </w:rPr>
      </w:pPr>
    </w:p>
    <w:p>
      <w:pPr>
        <w:pStyle w:val="17"/>
        <w:rPr>
          <w:rFonts w:hint="eastAsia"/>
        </w:rPr>
      </w:pPr>
      <w:bookmarkStart w:id="58" w:name="_Toc4172400"/>
      <w:r>
        <w:rPr>
          <w:rFonts w:hint="eastAsia"/>
          <w:b/>
          <w:bCs/>
        </w:rPr>
        <w:t>11.5 为基金进行审计的会计师事务所情况</w:t>
      </w:r>
      <w:bookmarkEnd w:id="58"/>
    </w:p>
    <w:p>
      <w:pPr>
        <w:pStyle w:val="23"/>
        <w:spacing w:before="0"/>
        <w:ind w:left="0" w:firstLine="480"/>
        <w:rPr>
          <w:rFonts w:hint="eastAsia"/>
        </w:rPr>
      </w:pPr>
      <w:r>
        <w:rPr>
          <w:rFonts w:hint="eastAsia"/>
        </w:rPr>
        <w:t xml:space="preserve">本报告期内本基金未更换会计师事务所,本年度支付给普华永道中天会计师事务所(特殊普通合伙)审计费用80,000.00元,该审计机构连续提供审计服务的年限为2年。 </w:t>
      </w:r>
    </w:p>
    <w:p>
      <w:pPr>
        <w:widowControl/>
        <w:jc w:val="left"/>
        <w:rPr>
          <w:rFonts w:hint="eastAsia" w:ascii="宋体" w:hAnsi="宋体" w:cs="宋体"/>
          <w:kern w:val="0"/>
          <w:sz w:val="24"/>
          <w:szCs w:val="24"/>
        </w:rPr>
      </w:pPr>
    </w:p>
    <w:p>
      <w:pPr>
        <w:pStyle w:val="17"/>
        <w:rPr>
          <w:rFonts w:hint="eastAsia"/>
        </w:rPr>
      </w:pPr>
      <w:bookmarkStart w:id="59" w:name="_Toc4172401"/>
      <w:r>
        <w:rPr>
          <w:rFonts w:hint="eastAsia"/>
          <w:b/>
          <w:bCs/>
        </w:rPr>
        <w:t>11.6 管理人、托管人及其高级管理人员受稽查或处罚等情况</w:t>
      </w:r>
      <w:bookmarkEnd w:id="59"/>
    </w:p>
    <w:p>
      <w:pPr>
        <w:pStyle w:val="23"/>
        <w:spacing w:before="0"/>
        <w:ind w:left="0" w:firstLine="480"/>
        <w:rPr>
          <w:rFonts w:hint="eastAsia"/>
        </w:rPr>
      </w:pPr>
      <w:r>
        <w:rPr>
          <w:rFonts w:hint="eastAsia"/>
        </w:rPr>
        <w:t>本报告期内，未出现管理人、托管人及其高级管理人员受监管部门稽查或处罚的情况。</w:t>
      </w:r>
    </w:p>
    <w:p>
      <w:pPr>
        <w:widowControl/>
        <w:jc w:val="left"/>
        <w:rPr>
          <w:rFonts w:hint="eastAsia" w:ascii="宋体" w:hAnsi="宋体" w:cs="宋体"/>
          <w:kern w:val="0"/>
          <w:sz w:val="24"/>
          <w:szCs w:val="24"/>
        </w:rPr>
      </w:pPr>
    </w:p>
    <w:p>
      <w:pPr>
        <w:pStyle w:val="17"/>
        <w:rPr>
          <w:rFonts w:hint="eastAsia"/>
        </w:rPr>
      </w:pPr>
      <w:bookmarkStart w:id="60" w:name="_Toc4172402"/>
      <w:r>
        <w:rPr>
          <w:rFonts w:hint="eastAsia"/>
          <w:b/>
          <w:bCs/>
        </w:rPr>
        <w:t>11.7 基金租用证券公司交易单元的有关情况</w:t>
      </w:r>
      <w:bookmarkEnd w:id="60"/>
    </w:p>
    <w:p>
      <w:pPr>
        <w:pStyle w:val="18"/>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10"/>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恒泰证券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53,905,641.45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9.52%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23,097.64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中金公司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华创证券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江海证券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47,958,345.82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8.47%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20,472.22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7,982,469.40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2,644.55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71,224,909.34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12.57%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51,643.97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15.76%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28,770,365.48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20,941.84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6.39%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34,624,631.75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14,713.87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4.49%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方正证券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44,013,312.70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18,879.58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5.76%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24,433,862.42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4.31%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10,386.59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161,085,702.42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28.44%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117,571.60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35.89%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25,723,211.12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4.54%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18,758.95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5.73%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66,697,737.45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11.78%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28,477.67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8.69%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w:t>
            </w:r>
          </w:p>
        </w:tc>
      </w:tr>
    </w:tbl>
    <w:p>
      <w:pPr>
        <w:pStyle w:val="23"/>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本基金报告期内新增方正证券、安信证券、中金公司、江海证券、恒泰证券、太平洋证券、华创证券7家券商的14个交易单元，退租金元证券的2个交易单元。</w:t>
      </w:r>
    </w:p>
    <w:p>
      <w:pPr>
        <w:widowControl/>
        <w:jc w:val="left"/>
        <w:rPr>
          <w:rFonts w:hint="eastAsia" w:ascii="宋体" w:hAnsi="宋体" w:cs="宋体"/>
          <w:kern w:val="0"/>
          <w:sz w:val="24"/>
          <w:szCs w:val="24"/>
        </w:rPr>
      </w:pPr>
    </w:p>
    <w:p>
      <w:pPr>
        <w:pStyle w:val="18"/>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10"/>
        <w:tblW w:w="9045" w:type="dxa"/>
        <w:tblInd w:w="108" w:type="dxa"/>
        <w:tblLayout w:type="autofit"/>
        <w:tblCellMar>
          <w:top w:w="0" w:type="dxa"/>
          <w:left w:w="108" w:type="dxa"/>
          <w:bottom w:w="0" w:type="dxa"/>
          <w:right w:w="108" w:type="dxa"/>
        </w:tblCellMar>
      </w:tblPr>
      <w:tblGrid>
        <w:gridCol w:w="904"/>
        <w:gridCol w:w="1808"/>
        <w:gridCol w:w="905"/>
        <w:gridCol w:w="1809"/>
        <w:gridCol w:w="905"/>
        <w:gridCol w:w="396"/>
        <w:gridCol w:w="961"/>
        <w:gridCol w:w="396"/>
        <w:gridCol w:w="961"/>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券商名称</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债券交易</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占当期债券成交总额的比例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恒泰证券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2,745,000,000.00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7.14%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中金公司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华创证券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江海证券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3,448,000,000.00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8.97%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630,000,000.00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5,493,800,000.00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14.29%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3,470,000,000.00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9.03%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3,075,000,000.00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方正证券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4,598,500,000.00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11.96%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3,682,000,000.00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5,582,000,000.00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14.52%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510,000,000.00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5,208,000,000.00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13.55%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17"/>
        <w:rPr>
          <w:rFonts w:hint="eastAsia"/>
        </w:rPr>
      </w:pPr>
      <w:bookmarkStart w:id="61" w:name="_Toc4172403"/>
      <w:r>
        <w:rPr>
          <w:rFonts w:hint="eastAsia"/>
          <w:b/>
          <w:bCs/>
        </w:rPr>
        <w:t>11.8 其他重大事件</w:t>
      </w:r>
      <w:bookmarkEnd w:id="61"/>
    </w:p>
    <w:tbl>
      <w:tblPr>
        <w:tblStyle w:val="10"/>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2018-01-02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创金合信优选回报灵活配置混合型证券投资基金2017年第4季度报告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2018-01-19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创金合信基金管理有限公司关于旗下部分开放式基金增加苏宁金融为代销机构的公告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2018-01-29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2018-02-02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创金合信基金管理有限公司关于创金合信优选回报灵活配置混合型证券投资基金修订基金合同、托管协议部分条款的公告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创金合信优选回报灵活配置混合型证券投资基金基金合同（2018年3月修订）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创金合信优选回报灵活配置混合型证券投资基金托管协议（2018年3月修订）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创金合信优选回报灵活配置混合型证券投资基金招募说明书（2018年3月修订）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创金合信优选回报灵活配置混合型证券投资基金2017年年度报告摘要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创金合信优选回报灵活配置混合型证券投资基金2017年年度报告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创金合信优选回报灵活配置混合型证券投资基金2018年第1季度报告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2018-04-19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创金合信优选回报灵活配置混合型证券投资基金（2018年第1号）招募说明书（更新）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2018-05-10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创金合信优选回报灵活配置混合型证券投资基金招募说明书（更新）摘要（2018年第1号）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2018-05-10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创金合信基金管理有限公司关于旗下开放式基金参与银河证券费率优惠活动的公告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2018-05-18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2018-05-19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创金合信基金管理有限公司关于旗下开放式基金参与第一创业证券费率优惠活动的公告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2018-05-24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2018-07-02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创金合信优选回报灵活配置混合型证券投资基金2018年第2季度报告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2018-07-20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创金合信基金管理有限公司关于旗下部分开放式基金增加长量基金为代销机构的公告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2018-08-10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创金合信基金管理有限公司关于旗下部分开放式基金增加和耕传承为代销机构的公告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2018-08-17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创金合信优选回报灵活配置混合型证券投资基金2018年半年度报告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2018-08-29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创金合信优选回报灵活配置混合型证券投资基金2018年第3季度报告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2018-10-25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创金合信基金管理有限公司关于旗下部分开放式基金增加植信基金为代销机构的公告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2018-10-26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创金合信优选回报灵活配置混合型证券投资基金（2018年第2号）招募说明书（更新）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2018-11-09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创金合信优选回报灵活配置混合型证券投资基金（更新）摘要（2018年第2号）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2018-11-09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创金合信基金管理有限公司关于旗下部分开放式基金增加中银国际证券为代销机构的公告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2018-11-13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创金合信基金管理有限公司关于旗下部分开放式基金增加阳光人寿为代销机构的公告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0"/>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2018-11-29</w:t>
            </w:r>
          </w:p>
        </w:tc>
      </w:tr>
    </w:tbl>
    <w:p>
      <w:pPr>
        <w:widowControl/>
        <w:jc w:val="left"/>
        <w:rPr>
          <w:rFonts w:hint="eastAsia" w:ascii="宋体" w:hAnsi="宋体" w:cs="宋体"/>
          <w:kern w:val="0"/>
          <w:sz w:val="24"/>
          <w:szCs w:val="24"/>
        </w:rPr>
      </w:pPr>
    </w:p>
    <w:p>
      <w:pPr>
        <w:pStyle w:val="16"/>
        <w:rPr>
          <w:rFonts w:hint="eastAsia"/>
        </w:rPr>
      </w:pPr>
      <w:bookmarkStart w:id="62" w:name="_Toc4172404"/>
      <w:r>
        <w:rPr>
          <w:rFonts w:hint="eastAsia" w:hAnsi="Calibri"/>
          <w:b/>
          <w:color w:val="000000"/>
        </w:rPr>
        <w:t>§12  影响投资者决策的其他重要信息</w:t>
      </w:r>
      <w:bookmarkEnd w:id="62"/>
    </w:p>
    <w:p>
      <w:pPr>
        <w:widowControl/>
        <w:jc w:val="left"/>
        <w:rPr>
          <w:rFonts w:hint="eastAsia" w:ascii="宋体" w:hAnsi="宋体" w:cs="宋体"/>
          <w:kern w:val="0"/>
          <w:sz w:val="24"/>
          <w:szCs w:val="24"/>
        </w:rPr>
      </w:pPr>
    </w:p>
    <w:p>
      <w:pPr>
        <w:pStyle w:val="17"/>
        <w:rPr>
          <w:rFonts w:hint="eastAsia"/>
        </w:rPr>
      </w:pPr>
      <w:bookmarkStart w:id="63" w:name="_Toc4172405"/>
      <w:r>
        <w:rPr>
          <w:rFonts w:hint="eastAsia"/>
          <w:b/>
          <w:bCs/>
        </w:rPr>
        <w:t>12.1 报告期内单一投资者持有基金份额比例达到或超过20%的情况</w:t>
      </w:r>
      <w:bookmarkEnd w:id="63"/>
    </w:p>
    <w:p>
      <w:pPr>
        <w:pStyle w:val="23"/>
        <w:rPr>
          <w:rFonts w:hint="eastAsia"/>
        </w:rPr>
      </w:pPr>
      <w:r>
        <w:rPr>
          <w:rFonts w:hint="eastAsia"/>
        </w:rPr>
        <w:t>本基金在报告期内不存在单一投资者持有基金份额比例达到或超过20%的情况。 </w:t>
      </w:r>
    </w:p>
    <w:p>
      <w:pPr>
        <w:widowControl/>
        <w:jc w:val="left"/>
        <w:rPr>
          <w:rFonts w:hint="eastAsia" w:ascii="宋体" w:hAnsi="宋体" w:cs="宋体"/>
          <w:kern w:val="0"/>
          <w:sz w:val="24"/>
          <w:szCs w:val="24"/>
        </w:rPr>
      </w:pPr>
    </w:p>
    <w:p>
      <w:pPr>
        <w:pStyle w:val="17"/>
        <w:rPr>
          <w:rFonts w:hint="eastAsia"/>
        </w:rPr>
      </w:pPr>
      <w:bookmarkStart w:id="64" w:name="_Toc4172406"/>
      <w:r>
        <w:rPr>
          <w:rFonts w:hint="eastAsia"/>
          <w:b/>
          <w:bCs/>
        </w:rPr>
        <w:t>12.2 影响投资者决策的其他重要信息</w:t>
      </w:r>
      <w:bookmarkEnd w:id="64"/>
    </w:p>
    <w:p>
      <w:pPr>
        <w:pStyle w:val="20"/>
        <w:spacing w:before="0"/>
        <w:ind w:left="0" w:firstLine="480"/>
        <w:rPr>
          <w:rFonts w:hint="eastAsia"/>
        </w:rPr>
      </w:pPr>
      <w:r>
        <w:rPr>
          <w:rFonts w:hint="eastAsia"/>
        </w:rPr>
        <w:t>本报告期，未出现影响投资者决策的其他重要信息。</w:t>
      </w:r>
    </w:p>
    <w:p>
      <w:pPr>
        <w:widowControl/>
        <w:jc w:val="left"/>
        <w:rPr>
          <w:rFonts w:hint="eastAsia" w:ascii="宋体" w:hAnsi="宋体" w:cs="宋体"/>
          <w:kern w:val="0"/>
          <w:sz w:val="24"/>
          <w:szCs w:val="24"/>
        </w:rPr>
      </w:pPr>
    </w:p>
    <w:p>
      <w:pPr>
        <w:pStyle w:val="16"/>
        <w:rPr>
          <w:rFonts w:hint="eastAsia"/>
        </w:rPr>
      </w:pPr>
      <w:bookmarkStart w:id="65" w:name="_Toc4172407"/>
      <w:r>
        <w:rPr>
          <w:rFonts w:hint="eastAsia" w:hAnsi="Calibri"/>
          <w:b/>
          <w:color w:val="000000"/>
        </w:rPr>
        <w:t>§13  备查文件目录</w:t>
      </w:r>
      <w:bookmarkEnd w:id="65"/>
    </w:p>
    <w:p>
      <w:pPr>
        <w:widowControl/>
        <w:jc w:val="left"/>
        <w:rPr>
          <w:rFonts w:hint="eastAsia" w:ascii="宋体" w:hAnsi="宋体" w:cs="宋体"/>
          <w:kern w:val="0"/>
          <w:sz w:val="24"/>
          <w:szCs w:val="24"/>
        </w:rPr>
      </w:pPr>
    </w:p>
    <w:p>
      <w:pPr>
        <w:pStyle w:val="17"/>
        <w:rPr>
          <w:rFonts w:hint="eastAsia"/>
        </w:rPr>
      </w:pPr>
      <w:bookmarkStart w:id="66" w:name="_Toc4172408"/>
      <w:r>
        <w:rPr>
          <w:rFonts w:hint="eastAsia"/>
          <w:b/>
          <w:bCs/>
        </w:rPr>
        <w:t>13.1 备查文件目录</w:t>
      </w:r>
      <w:bookmarkEnd w:id="66"/>
    </w:p>
    <w:p>
      <w:pPr>
        <w:pStyle w:val="23"/>
        <w:spacing w:before="0"/>
        <w:ind w:left="0" w:firstLine="480"/>
        <w:rPr>
          <w:rFonts w:hint="eastAsia"/>
        </w:rPr>
      </w:pPr>
      <w:r>
        <w:rPr>
          <w:rFonts w:hint="eastAsia"/>
        </w:rPr>
        <w:t>1、《创金合信优选回报灵活配置混合型证券投资基金基金合同》；</w:t>
      </w:r>
    </w:p>
    <w:p>
      <w:pPr>
        <w:pStyle w:val="23"/>
        <w:spacing w:before="0"/>
        <w:ind w:left="0" w:firstLine="480"/>
        <w:rPr>
          <w:rFonts w:hint="eastAsia"/>
        </w:rPr>
      </w:pPr>
      <w:r>
        <w:rPr>
          <w:rFonts w:hint="eastAsia"/>
        </w:rPr>
        <w:t>2、《创金合信优选回报灵活配置混合型证券投资基金托管协议》；</w:t>
      </w:r>
    </w:p>
    <w:p>
      <w:pPr>
        <w:pStyle w:val="23"/>
        <w:spacing w:before="0"/>
        <w:ind w:left="0" w:firstLine="480"/>
        <w:rPr>
          <w:rFonts w:hint="eastAsia"/>
        </w:rPr>
      </w:pPr>
      <w:r>
        <w:rPr>
          <w:rFonts w:hint="eastAsia"/>
        </w:rPr>
        <w:t>3、创金合信优选回报灵活配置混合型证券投资基金2018年年度报告。</w:t>
      </w:r>
    </w:p>
    <w:p>
      <w:pPr>
        <w:widowControl/>
        <w:jc w:val="left"/>
        <w:rPr>
          <w:rFonts w:hint="eastAsia" w:ascii="宋体" w:hAnsi="宋体" w:cs="宋体"/>
          <w:kern w:val="0"/>
          <w:sz w:val="24"/>
          <w:szCs w:val="24"/>
        </w:rPr>
      </w:pPr>
    </w:p>
    <w:p>
      <w:pPr>
        <w:pStyle w:val="17"/>
        <w:rPr>
          <w:rFonts w:hint="eastAsia"/>
        </w:rPr>
      </w:pPr>
      <w:bookmarkStart w:id="67" w:name="_Toc4172409"/>
      <w:r>
        <w:rPr>
          <w:rFonts w:hint="eastAsia"/>
          <w:b/>
          <w:bCs/>
        </w:rPr>
        <w:t>13.2 存放地点</w:t>
      </w:r>
      <w:bookmarkEnd w:id="67"/>
    </w:p>
    <w:p>
      <w:pPr>
        <w:pStyle w:val="23"/>
        <w:spacing w:before="0"/>
        <w:ind w:left="0" w:firstLine="480"/>
        <w:rPr>
          <w:rFonts w:hint="eastAsia"/>
        </w:rPr>
      </w:pPr>
      <w:r>
        <w:rPr>
          <w:rFonts w:hint="eastAsia"/>
        </w:rPr>
        <w:t>深圳市福田中心区福华一路115号投行大厦15楼</w:t>
      </w:r>
    </w:p>
    <w:p>
      <w:pPr>
        <w:widowControl/>
        <w:jc w:val="left"/>
        <w:rPr>
          <w:rFonts w:hint="eastAsia" w:ascii="宋体" w:hAnsi="宋体" w:cs="宋体"/>
          <w:kern w:val="0"/>
          <w:sz w:val="24"/>
          <w:szCs w:val="24"/>
        </w:rPr>
      </w:pPr>
    </w:p>
    <w:p>
      <w:pPr>
        <w:pStyle w:val="17"/>
        <w:rPr>
          <w:rFonts w:hint="eastAsia"/>
        </w:rPr>
      </w:pPr>
      <w:bookmarkStart w:id="68" w:name="_Toc4172410"/>
      <w:r>
        <w:rPr>
          <w:rFonts w:hint="eastAsia"/>
          <w:b/>
          <w:bCs/>
        </w:rPr>
        <w:t>13.3 查阅方式</w:t>
      </w:r>
      <w:bookmarkEnd w:id="68"/>
    </w:p>
    <w:p>
      <w:pPr>
        <w:pStyle w:val="23"/>
        <w:spacing w:before="0"/>
        <w:ind w:left="0" w:firstLine="480"/>
        <w:rPr>
          <w:rFonts w:hint="eastAsia"/>
        </w:rPr>
      </w:pPr>
      <w:r>
        <w:rPr>
          <w:rFonts w:hint="eastAsia"/>
        </w:rPr>
        <w:t>www.cjhxfund.com</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22"/>
        <w:rPr>
          <w:rFonts w:hint="eastAsia"/>
        </w:rPr>
      </w:pPr>
      <w:r>
        <w:rPr>
          <w:rFonts w:hint="eastAsia" w:hAnsi="Calibri"/>
          <w:b/>
          <w:bCs/>
          <w:color w:val="000000"/>
        </w:rPr>
        <w:t>创金合信基金管理有限公司</w:t>
      </w:r>
    </w:p>
    <w:p>
      <w:pPr>
        <w:pStyle w:val="22"/>
        <w:rPr>
          <w:rFonts w:hint="eastAsia"/>
        </w:rPr>
      </w:pPr>
      <w:r>
        <w:rPr>
          <w:rFonts w:hint="eastAsia" w:hAnsi="Calibri"/>
          <w:b/>
          <w:bCs/>
          <w:color w:val="000000"/>
        </w:rPr>
        <w:t>二〇一九年三月二十九日</w:t>
      </w:r>
    </w:p>
    <w:p>
      <w:pPr>
        <w:pStyle w:val="27"/>
        <w:autoSpaceDE w:val="0"/>
        <w:autoSpaceDN w:val="0"/>
        <w:adjustRightInd w:val="0"/>
        <w:spacing w:before="145" w:beforeAutospacing="0" w:after="0" w:afterAutospacing="0" w:line="288" w:lineRule="auto"/>
        <w:ind w:left="15"/>
        <w:jc w:val="right"/>
        <w:rPr>
          <w:rFonts w:hint="eastAsia"/>
          <w:b/>
        </w:rPr>
      </w:pPr>
    </w:p>
    <w:sectPr>
      <w:headerReference r:id="rId3" w:type="default"/>
      <w:footerReference r:id="rId4" w:type="default"/>
      <w:footerReference r:id="rId5"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2"/>
      </w:rPr>
    </w:pPr>
    <w:r>
      <w:rPr>
        <w:rStyle w:val="12"/>
      </w:rPr>
      <w:fldChar w:fldCharType="begin"/>
    </w:r>
    <w:r>
      <w:rPr>
        <w:rStyle w:val="12"/>
      </w:rPr>
      <w:instrText xml:space="preserve">PAGE  </w:instrText>
    </w:r>
    <w:r>
      <w:rPr>
        <w:rStyle w:val="12"/>
      </w:rPr>
      <w:fldChar w:fldCharType="separate"/>
    </w:r>
    <w:r>
      <w:rPr>
        <w:rStyle w:val="12"/>
        <w:lang/>
      </w:rPr>
      <w:t>46</w:t>
    </w:r>
    <w:r>
      <w:rPr>
        <w:rStyle w:val="12"/>
      </w:rPr>
      <w:fldChar w:fldCharType="end"/>
    </w:r>
  </w:p>
  <w:p>
    <w:pPr>
      <w:pStyle w:val="4"/>
      <w:jc w:val="center"/>
    </w:pPr>
    <w:r>
      <w:rPr>
        <w:rFonts w:hint="eastAsia"/>
      </w:rPr>
      <w:t xml:space="preserve">                   第       页，共64页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2"/>
      </w:rPr>
    </w:pPr>
    <w:r>
      <w:rPr>
        <w:rStyle w:val="12"/>
      </w:rPr>
      <w:fldChar w:fldCharType="begin"/>
    </w:r>
    <w:r>
      <w:rPr>
        <w:rStyle w:val="12"/>
      </w:rPr>
      <w:instrText xml:space="preserve">PAGE  </w:instrText>
    </w:r>
    <w:r>
      <w:rPr>
        <w:rStyle w:val="12"/>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5"/>
      <w:jc w:val="right"/>
    </w:pPr>
    <w:r>
      <w:rPr>
        <w:rFonts w:hint="eastAsia"/>
      </w:rPr>
      <w:t>创金合信优选回报灵活配置混合型证券投资基金2018年年度报告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3733F"/>
    <w:rsid w:val="0023733F"/>
    <w:rsid w:val="00336196"/>
    <w:rsid w:val="004B6152"/>
    <w:rsid w:val="00503ABA"/>
    <w:rsid w:val="0054276B"/>
    <w:rsid w:val="00826298"/>
    <w:rsid w:val="008517F7"/>
    <w:rsid w:val="00A46BFE"/>
    <w:rsid w:val="00B97D92"/>
    <w:rsid w:val="00BC3789"/>
    <w:rsid w:val="00D40D18"/>
    <w:rsid w:val="00FA3C89"/>
    <w:rsid w:val="00FC4E69"/>
    <w:rsid w:val="1EC56E1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11">
    <w:name w:val="Default Paragraph Font"/>
    <w:semiHidden/>
    <w:unhideWhenUsed/>
    <w:uiPriority w:val="1"/>
  </w:style>
  <w:style w:type="table" w:default="1" w:styleId="10">
    <w:name w:val="Normal Table"/>
    <w:semiHidden/>
    <w:unhideWhenUsed/>
    <w:uiPriority w:val="99"/>
    <w:tblPr>
      <w:tblStyle w:val="10"/>
      <w:tblCellMar>
        <w:top w:w="0" w:type="dxa"/>
        <w:left w:w="108" w:type="dxa"/>
        <w:bottom w:w="0" w:type="dxa"/>
        <w:right w:w="108" w:type="dxa"/>
      </w:tblCellMar>
    </w:tblPr>
    <w:trPr>
      <w:wBefore w:w="0" w:type="dxa"/>
    </w:trPr>
  </w:style>
  <w:style w:type="paragraph" w:styleId="2">
    <w:name w:val="annotation text"/>
    <w:basedOn w:val="1"/>
    <w:link w:val="30"/>
    <w:semiHidden/>
    <w:unhideWhenUsed/>
    <w:uiPriority w:val="99"/>
    <w:pPr>
      <w:jc w:val="left"/>
    </w:pPr>
  </w:style>
  <w:style w:type="paragraph" w:styleId="3">
    <w:name w:val="Balloon Text"/>
    <w:basedOn w:val="1"/>
    <w:link w:val="32"/>
    <w:semiHidden/>
    <w:unhideWhenUsed/>
    <w:uiPriority w:val="99"/>
    <w:rPr>
      <w:sz w:val="18"/>
      <w:szCs w:val="18"/>
    </w:rPr>
  </w:style>
  <w:style w:type="paragraph" w:styleId="4">
    <w:name w:val="footer"/>
    <w:basedOn w:val="1"/>
    <w:link w:val="29"/>
    <w:unhideWhenUsed/>
    <w:uiPriority w:val="99"/>
    <w:pPr>
      <w:tabs>
        <w:tab w:val="center" w:pos="4153"/>
        <w:tab w:val="right" w:pos="8306"/>
      </w:tabs>
      <w:snapToGrid w:val="0"/>
      <w:jc w:val="left"/>
    </w:pPr>
    <w:rPr>
      <w:sz w:val="18"/>
      <w:szCs w:val="18"/>
    </w:rPr>
  </w:style>
  <w:style w:type="paragraph" w:styleId="5">
    <w:name w:val="header"/>
    <w:basedOn w:val="1"/>
    <w:link w:val="28"/>
    <w:unhideWhenUsed/>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uiPriority w:val="39"/>
  </w:style>
  <w:style w:type="paragraph" w:styleId="7">
    <w:name w:val="toc 2"/>
    <w:basedOn w:val="1"/>
    <w:next w:val="1"/>
    <w:unhideWhenUsed/>
    <w:uiPriority w:val="39"/>
    <w:pPr>
      <w:ind w:left="420" w:leftChars="200"/>
    </w:pPr>
  </w:style>
  <w:style w:type="paragraph" w:styleId="8">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9">
    <w:name w:val="annotation subject"/>
    <w:basedOn w:val="2"/>
    <w:next w:val="2"/>
    <w:link w:val="31"/>
    <w:semiHidden/>
    <w:unhideWhenUsed/>
    <w:uiPriority w:val="99"/>
    <w:rPr>
      <w:b/>
      <w:bCs/>
    </w:rPr>
  </w:style>
  <w:style w:type="character" w:styleId="12">
    <w:name w:val="page number"/>
    <w:semiHidden/>
    <w:unhideWhenUsed/>
    <w:uiPriority w:val="99"/>
  </w:style>
  <w:style w:type="character" w:styleId="13">
    <w:name w:val="Hyperlink"/>
    <w:unhideWhenUsed/>
    <w:uiPriority w:val="99"/>
    <w:rPr>
      <w:color w:val="0563C1"/>
      <w:u w:val="single"/>
    </w:rPr>
  </w:style>
  <w:style w:type="character" w:styleId="14">
    <w:name w:val="annotation reference"/>
    <w:semiHidden/>
    <w:unhideWhenUsed/>
    <w:uiPriority w:val="99"/>
    <w:rPr>
      <w:sz w:val="21"/>
      <w:szCs w:val="21"/>
    </w:rPr>
  </w:style>
  <w:style w:type="paragraph" w:customStyle="1" w:styleId="15">
    <w:name w:val="msonormal1"/>
    <w:qFormat/>
    <w:uiPriority w:val="0"/>
    <w:pPr>
      <w:widowControl w:val="0"/>
      <w:jc w:val="both"/>
    </w:pPr>
    <w:rPr>
      <w:kern w:val="2"/>
      <w:sz w:val="21"/>
      <w:szCs w:val="22"/>
      <w:lang w:val="en-US" w:eastAsia="zh-CN" w:bidi="ar-SA"/>
    </w:rPr>
  </w:style>
  <w:style w:type="paragraph" w:customStyle="1" w:styleId="16">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7">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8">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9">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20">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2">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3">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4">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5">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6">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7">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8">
    <w:name w:val="页眉 Char"/>
    <w:link w:val="5"/>
    <w:locked/>
    <w:uiPriority w:val="99"/>
    <w:rPr>
      <w:rFonts w:hint="default" w:ascii="Times New Roman" w:hAnsi="Times New Roman" w:cs="Times New Roman"/>
      <w:sz w:val="18"/>
      <w:szCs w:val="18"/>
    </w:rPr>
  </w:style>
  <w:style w:type="character" w:customStyle="1" w:styleId="29">
    <w:name w:val="页脚 Char"/>
    <w:link w:val="4"/>
    <w:locked/>
    <w:uiPriority w:val="99"/>
    <w:rPr>
      <w:rFonts w:hint="default" w:ascii="Times New Roman" w:hAnsi="Times New Roman" w:cs="Times New Roman"/>
      <w:sz w:val="18"/>
      <w:szCs w:val="18"/>
    </w:rPr>
  </w:style>
  <w:style w:type="character" w:customStyle="1" w:styleId="30">
    <w:name w:val="批注文字 Char"/>
    <w:link w:val="2"/>
    <w:semiHidden/>
    <w:uiPriority w:val="99"/>
    <w:rPr>
      <w:kern w:val="2"/>
      <w:sz w:val="21"/>
      <w:szCs w:val="22"/>
    </w:rPr>
  </w:style>
  <w:style w:type="character" w:customStyle="1" w:styleId="31">
    <w:name w:val="批注主题 Char"/>
    <w:link w:val="9"/>
    <w:semiHidden/>
    <w:uiPriority w:val="99"/>
    <w:rPr>
      <w:b/>
      <w:bCs/>
      <w:kern w:val="2"/>
      <w:sz w:val="21"/>
      <w:szCs w:val="22"/>
    </w:rPr>
  </w:style>
  <w:style w:type="character" w:customStyle="1" w:styleId="32">
    <w:name w:val="批注框文本 Char"/>
    <w:link w:val="3"/>
    <w:semiHidden/>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62</Pages>
  <Words>7256</Words>
  <Characters>41361</Characters>
  <Lines>344</Lines>
  <Paragraphs>97</Paragraphs>
  <TotalTime>0</TotalTime>
  <ScaleCrop>false</ScaleCrop>
  <LinksUpToDate>false</LinksUpToDate>
  <CharactersWithSpaces>48520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2019-03-22T10:38:00Z</dcterms:created>
  <dc:creator>石怡翔</dc:creator>
  <cp:lastModifiedBy>Administrator</cp:lastModifiedBy>
  <dcterms:modified xsi:type="dcterms:W3CDTF">2019-12-26T14:10:03Z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