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70" w:name="_GoBack"/>
      <w:bookmarkEnd w:id="70"/>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创金合信中证红利低波动指数发起式证券投资基金</w:t>
      </w:r>
    </w:p>
    <w:p>
      <w:pPr>
        <w:widowControl/>
        <w:spacing w:before="240" w:after="120"/>
        <w:jc w:val="center"/>
        <w:rPr>
          <w:rFonts w:ascii="宋体" w:hAnsi="宋体"/>
          <w:b/>
          <w:color w:val="000000"/>
          <w:sz w:val="36"/>
        </w:rPr>
      </w:pPr>
    </w:p>
    <w:p>
      <w:pPr>
        <w:widowControl/>
        <w:spacing w:before="240" w:after="120"/>
        <w:jc w:val="center"/>
        <w:rPr>
          <w:rFonts w:ascii="黑体" w:hAnsi="黑体" w:eastAsia="黑体"/>
          <w:b/>
          <w:color w:val="000000"/>
          <w:sz w:val="36"/>
        </w:rPr>
      </w:pPr>
      <w:r>
        <w:rPr>
          <w:rFonts w:ascii="黑体" w:hAnsi="黑体" w:eastAsia="黑体"/>
          <w:b/>
          <w:color w:val="000000"/>
          <w:sz w:val="36"/>
        </w:rPr>
        <w:t>2018年年度报告</w:t>
      </w:r>
    </w:p>
    <w:p>
      <w:pPr>
        <w:widowControl/>
        <w:spacing w:before="240" w:after="120"/>
        <w:jc w:val="center"/>
        <w:rPr>
          <w:rFonts w:ascii="宋体" w:hAnsi="宋体"/>
          <w:b/>
          <w:color w:val="000000"/>
          <w:sz w:val="24"/>
        </w:rPr>
      </w:pPr>
      <w:r>
        <w:rPr>
          <w:rFonts w:ascii="宋体" w:hAnsi="宋体"/>
          <w:b/>
          <w:color w:val="000000"/>
          <w:sz w:val="24"/>
        </w:rPr>
        <w:t>2018年12月31日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基金托管人:招商银行股份有限公司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送出日期:2019年03月29日</w:t>
      </w:r>
      <w:r>
        <w:rPr>
          <w:b/>
          <w:color w:val="000000"/>
        </w:rPr>
        <w:br w:type="page"/>
      </w:r>
    </w:p>
    <w:p>
      <w:pPr>
        <w:pStyle w:val="13"/>
        <w:spacing w:before="240" w:after="120"/>
      </w:pPr>
      <w:bookmarkStart w:id="0" w:name="_Toc4173486"/>
      <w:r>
        <w:rPr>
          <w:rFonts w:hint="eastAsia" w:hAnsi="Calibri"/>
          <w:b/>
          <w:color w:val="000000"/>
        </w:rPr>
        <w:t>§1  重要提示及目录</w:t>
      </w:r>
      <w:bookmarkEnd w:id="0"/>
      <w:r>
        <w:rPr>
          <w:rFonts w:hint="eastAsia"/>
        </w:rPr>
        <w:t xml:space="preserve"> </w:t>
      </w:r>
    </w:p>
    <w:p>
      <w:pPr>
        <w:pStyle w:val="14"/>
        <w:rPr>
          <w:rFonts w:hint="eastAsia"/>
        </w:rPr>
      </w:pPr>
      <w:bookmarkStart w:id="1" w:name="_Toc4173487"/>
      <w:r>
        <w:rPr>
          <w:rFonts w:hint="eastAsia"/>
          <w:b/>
          <w:bCs/>
        </w:rPr>
        <w:t>1.1 重要提示</w:t>
      </w:r>
      <w:bookmarkEnd w:id="1"/>
    </w:p>
    <w:tbl>
      <w:tblPr>
        <w:tblStyle w:val="7"/>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pStyle w:val="17"/>
              <w:wordWrap w:val="0"/>
              <w:spacing w:before="0"/>
              <w:ind w:left="0" w:firstLine="480"/>
              <w:rPr>
                <w:rFonts w:hint="eastAsia"/>
              </w:rPr>
            </w:pPr>
            <w:r>
              <w:rPr>
                <w:rFonts w:hint="eastAsia"/>
              </w:rPr>
              <w:t>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p>
          <w:p>
            <w:pPr>
              <w:pStyle w:val="20"/>
              <w:wordWrap w:val="0"/>
              <w:spacing w:before="0"/>
              <w:ind w:left="0" w:firstLine="480"/>
              <w:rPr>
                <w:rFonts w:hint="eastAsia"/>
              </w:rPr>
            </w:pPr>
            <w:r>
              <w:rPr>
                <w:rFonts w:hint="eastAsia"/>
              </w:rPr>
              <w:t>基金托管人招商银行股份有限公司根据本基金合同规定，于2019年3月27日复核了本报告中的财务指标、净值表现、利润分配情况、财务会计报告、投资组合报告等内容，保证复核内容不存在虚假记载、误导性陈述或者重大遗漏。　　</w:t>
            </w:r>
          </w:p>
          <w:p>
            <w:pPr>
              <w:pStyle w:val="20"/>
              <w:wordWrap w:val="0"/>
              <w:spacing w:before="0"/>
              <w:ind w:left="0" w:firstLine="480"/>
              <w:rPr>
                <w:rFonts w:hint="eastAsia"/>
              </w:rPr>
            </w:pPr>
            <w:r>
              <w:rPr>
                <w:rFonts w:hint="eastAsia"/>
              </w:rPr>
              <w:t>基金管理人承诺以诚实信用、勤勉尽责的原则管理和运用基金资产，但不保证基金一定盈利。</w:t>
            </w:r>
          </w:p>
          <w:p>
            <w:pPr>
              <w:pStyle w:val="20"/>
              <w:wordWrap w:val="0"/>
              <w:spacing w:before="0"/>
              <w:ind w:left="0" w:firstLine="480"/>
              <w:rPr>
                <w:rFonts w:hint="eastAsia"/>
              </w:rPr>
            </w:pPr>
            <w:r>
              <w:rPr>
                <w:rFonts w:hint="eastAsia"/>
              </w:rPr>
              <w:t>基金的过往业绩并不代表其未来表现。投资有风险，投资者在作出投资决策前应仔细阅读本基金的招募说明书及其更新。</w:t>
            </w:r>
          </w:p>
          <w:p>
            <w:pPr>
              <w:pStyle w:val="20"/>
              <w:wordWrap w:val="0"/>
              <w:spacing w:before="0"/>
              <w:ind w:left="0" w:firstLine="480"/>
              <w:rPr>
                <w:rFonts w:hint="eastAsia"/>
              </w:rPr>
            </w:pPr>
            <w:r>
              <w:rPr>
                <w:rFonts w:hint="eastAsia"/>
              </w:rPr>
              <w:t>本报告期自2018年04月26日起至2018年12月31日止。</w:t>
            </w:r>
          </w:p>
        </w:tc>
      </w:tr>
    </w:tbl>
    <w:p>
      <w:pPr>
        <w:pStyle w:val="14"/>
        <w:rPr>
          <w:rFonts w:hint="eastAsia"/>
        </w:rPr>
      </w:pPr>
      <w:r>
        <w:rPr>
          <w:rFonts w:ascii="Times New Roman" w:hAnsi="Times New Roman"/>
        </w:rPr>
        <w:br w:type="page"/>
      </w:r>
      <w:bookmarkStart w:id="2" w:name="_Toc4173488"/>
      <w:r>
        <w:rPr>
          <w:rFonts w:hint="eastAsia"/>
          <w:b/>
          <w:bCs/>
        </w:rPr>
        <w:t>1.2 目录</w:t>
      </w:r>
      <w:bookmarkEnd w:id="2"/>
    </w:p>
    <w:p>
      <w:pPr>
        <w:pStyle w:val="4"/>
        <w:tabs>
          <w:tab w:val="right" w:leader="dot" w:pos="9080"/>
        </w:tabs>
        <w:rPr>
          <w:lang/>
        </w:rPr>
      </w:pPr>
      <w:r>
        <w:rPr>
          <w:rFonts w:ascii="Times New Roman" w:hAnsi="Times New Roman"/>
        </w:rPr>
        <w:fldChar w:fldCharType="begin"/>
      </w:r>
      <w:r>
        <w:rPr>
          <w:rFonts w:ascii="Times New Roman" w:hAnsi="Times New Roman"/>
        </w:rPr>
        <w:instrText xml:space="preserve"> TOC \o "1-4" \f 1 \h \z \t "-1" </w:instrText>
      </w:r>
      <w:r>
        <w:rPr>
          <w:rFonts w:ascii="Times New Roman" w:hAnsi="Times New Roman"/>
        </w:rPr>
        <w:fldChar w:fldCharType="separate"/>
      </w:r>
      <w:r>
        <w:rPr>
          <w:rStyle w:val="11"/>
          <w:lang/>
        </w:rPr>
        <w:fldChar w:fldCharType="begin"/>
      </w:r>
      <w:r>
        <w:rPr>
          <w:rStyle w:val="11"/>
          <w:lang/>
        </w:rPr>
        <w:instrText xml:space="preserve"> </w:instrText>
      </w:r>
      <w:r>
        <w:rPr>
          <w:lang/>
        </w:rPr>
        <w:instrText xml:space="preserve">HYPERLINK \l "_Toc4173486"</w:instrText>
      </w:r>
      <w:r>
        <w:rPr>
          <w:rStyle w:val="11"/>
          <w:lang/>
        </w:rPr>
        <w:instrText xml:space="preserve"> </w:instrText>
      </w:r>
      <w:r>
        <w:rPr>
          <w:rStyle w:val="11"/>
          <w:lang/>
        </w:rPr>
        <w:fldChar w:fldCharType="separate"/>
      </w:r>
      <w:r>
        <w:rPr>
          <w:rStyle w:val="11"/>
          <w:b/>
          <w:lang/>
        </w:rPr>
        <w:t xml:space="preserve">§1  </w:t>
      </w:r>
      <w:r>
        <w:rPr>
          <w:rStyle w:val="11"/>
          <w:rFonts w:hint="eastAsia"/>
          <w:b/>
          <w:lang/>
        </w:rPr>
        <w:t>重要提示及目录</w:t>
      </w:r>
      <w:r>
        <w:rPr>
          <w:lang/>
        </w:rPr>
        <w:tab/>
      </w:r>
      <w:r>
        <w:rPr>
          <w:lang/>
        </w:rPr>
        <w:fldChar w:fldCharType="begin"/>
      </w:r>
      <w:r>
        <w:rPr>
          <w:lang/>
        </w:rPr>
        <w:instrText xml:space="preserve"> PAGEREF _Toc4173486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"_Toc4173487"</w:instrText>
      </w:r>
      <w:r>
        <w:rPr>
          <w:rStyle w:val="11"/>
          <w:lang/>
        </w:rPr>
        <w:instrText xml:space="preserve"> </w:instrText>
      </w:r>
      <w:r>
        <w:rPr>
          <w:rStyle w:val="11"/>
          <w:lang/>
        </w:rPr>
        <w:fldChar w:fldCharType="separate"/>
      </w:r>
      <w:r>
        <w:rPr>
          <w:rStyle w:val="11"/>
          <w:b/>
          <w:bCs/>
          <w:lang/>
        </w:rPr>
        <w:t xml:space="preserve">1.1 </w:t>
      </w:r>
      <w:r>
        <w:rPr>
          <w:rStyle w:val="11"/>
          <w:rFonts w:hint="eastAsia"/>
          <w:b/>
          <w:bCs/>
          <w:lang/>
        </w:rPr>
        <w:t>重要提示</w:t>
      </w:r>
      <w:r>
        <w:rPr>
          <w:lang/>
        </w:rPr>
        <w:tab/>
      </w:r>
      <w:r>
        <w:rPr>
          <w:lang/>
        </w:rPr>
        <w:fldChar w:fldCharType="begin"/>
      </w:r>
      <w:r>
        <w:rPr>
          <w:lang/>
        </w:rPr>
        <w:instrText xml:space="preserve"> PAGEREF _Toc4173487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"_Toc4173488"</w:instrText>
      </w:r>
      <w:r>
        <w:rPr>
          <w:rStyle w:val="11"/>
          <w:lang/>
        </w:rPr>
        <w:instrText xml:space="preserve"> </w:instrText>
      </w:r>
      <w:r>
        <w:rPr>
          <w:rStyle w:val="11"/>
          <w:lang/>
        </w:rPr>
        <w:fldChar w:fldCharType="separate"/>
      </w:r>
      <w:r>
        <w:rPr>
          <w:rStyle w:val="11"/>
          <w:b/>
          <w:bCs/>
          <w:lang/>
        </w:rPr>
        <w:t xml:space="preserve">1.2 </w:t>
      </w:r>
      <w:r>
        <w:rPr>
          <w:rStyle w:val="11"/>
          <w:rFonts w:hint="eastAsia"/>
          <w:b/>
          <w:bCs/>
          <w:lang/>
        </w:rPr>
        <w:t>目录</w:t>
      </w:r>
      <w:r>
        <w:rPr>
          <w:lang/>
        </w:rPr>
        <w:tab/>
      </w:r>
      <w:r>
        <w:rPr>
          <w:lang/>
        </w:rPr>
        <w:fldChar w:fldCharType="begin"/>
      </w:r>
      <w:r>
        <w:rPr>
          <w:lang/>
        </w:rPr>
        <w:instrText xml:space="preserve"> PAGEREF _Toc4173488 \h </w:instrText>
      </w:r>
      <w:r>
        <w:rPr>
          <w:lang/>
        </w:rPr>
        <w:fldChar w:fldCharType="separate"/>
      </w:r>
      <w:r>
        <w:rPr>
          <w:lang/>
        </w:rPr>
        <w:t>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"_Toc4173489"</w:instrText>
      </w:r>
      <w:r>
        <w:rPr>
          <w:rStyle w:val="11"/>
          <w:lang/>
        </w:rPr>
        <w:instrText xml:space="preserve"> </w:instrText>
      </w:r>
      <w:r>
        <w:rPr>
          <w:rStyle w:val="11"/>
          <w:lang/>
        </w:rPr>
        <w:fldChar w:fldCharType="separate"/>
      </w:r>
      <w:r>
        <w:rPr>
          <w:rStyle w:val="11"/>
          <w:b/>
          <w:lang/>
        </w:rPr>
        <w:t xml:space="preserve">§2  </w:t>
      </w:r>
      <w:r>
        <w:rPr>
          <w:rStyle w:val="11"/>
          <w:rFonts w:hint="eastAsia"/>
          <w:b/>
          <w:lang/>
        </w:rPr>
        <w:t>基金简介</w:t>
      </w:r>
      <w:r>
        <w:rPr>
          <w:lang/>
        </w:rPr>
        <w:tab/>
      </w:r>
      <w:r>
        <w:rPr>
          <w:lang/>
        </w:rPr>
        <w:fldChar w:fldCharType="begin"/>
      </w:r>
      <w:r>
        <w:rPr>
          <w:lang/>
        </w:rPr>
        <w:instrText xml:space="preserve"> PAGEREF _Toc4173489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"_Toc4173490"</w:instrText>
      </w:r>
      <w:r>
        <w:rPr>
          <w:rStyle w:val="11"/>
          <w:lang/>
        </w:rPr>
        <w:instrText xml:space="preserve"> </w:instrText>
      </w:r>
      <w:r>
        <w:rPr>
          <w:rStyle w:val="11"/>
          <w:lang/>
        </w:rPr>
        <w:fldChar w:fldCharType="separate"/>
      </w:r>
      <w:r>
        <w:rPr>
          <w:rStyle w:val="11"/>
          <w:b/>
          <w:bCs/>
          <w:lang/>
        </w:rPr>
        <w:t xml:space="preserve">2.1 </w:t>
      </w:r>
      <w:r>
        <w:rPr>
          <w:rStyle w:val="11"/>
          <w:rFonts w:hint="eastAsia"/>
          <w:b/>
          <w:bCs/>
          <w:lang/>
        </w:rPr>
        <w:t>基金基本情况</w:t>
      </w:r>
      <w:r>
        <w:rPr>
          <w:lang/>
        </w:rPr>
        <w:tab/>
      </w:r>
      <w:r>
        <w:rPr>
          <w:lang/>
        </w:rPr>
        <w:fldChar w:fldCharType="begin"/>
      </w:r>
      <w:r>
        <w:rPr>
          <w:lang/>
        </w:rPr>
        <w:instrText xml:space="preserve"> PAGEREF _Toc4173490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"_Toc4173491"</w:instrText>
      </w:r>
      <w:r>
        <w:rPr>
          <w:rStyle w:val="11"/>
          <w:lang/>
        </w:rPr>
        <w:instrText xml:space="preserve"> </w:instrText>
      </w:r>
      <w:r>
        <w:rPr>
          <w:rStyle w:val="11"/>
          <w:lang/>
        </w:rPr>
        <w:fldChar w:fldCharType="separate"/>
      </w:r>
      <w:r>
        <w:rPr>
          <w:rStyle w:val="11"/>
          <w:b/>
          <w:bCs/>
          <w:lang/>
        </w:rPr>
        <w:t xml:space="preserve">2.2 </w:t>
      </w:r>
      <w:r>
        <w:rPr>
          <w:rStyle w:val="11"/>
          <w:rFonts w:hint="eastAsia"/>
          <w:b/>
          <w:bCs/>
          <w:lang/>
        </w:rPr>
        <w:t>基金产品说明</w:t>
      </w:r>
      <w:r>
        <w:rPr>
          <w:lang/>
        </w:rPr>
        <w:tab/>
      </w:r>
      <w:r>
        <w:rPr>
          <w:lang/>
        </w:rPr>
        <w:fldChar w:fldCharType="begin"/>
      </w:r>
      <w:r>
        <w:rPr>
          <w:lang/>
        </w:rPr>
        <w:instrText xml:space="preserve"> PAGEREF _Toc4173491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"_Toc4173492"</w:instrText>
      </w:r>
      <w:r>
        <w:rPr>
          <w:rStyle w:val="11"/>
          <w:lang/>
        </w:rPr>
        <w:instrText xml:space="preserve"> </w:instrText>
      </w:r>
      <w:r>
        <w:rPr>
          <w:rStyle w:val="11"/>
          <w:lang/>
        </w:rPr>
        <w:fldChar w:fldCharType="separate"/>
      </w:r>
      <w:r>
        <w:rPr>
          <w:rStyle w:val="11"/>
          <w:b/>
          <w:bCs/>
          <w:lang/>
        </w:rPr>
        <w:t xml:space="preserve">2.3 </w:t>
      </w:r>
      <w:r>
        <w:rPr>
          <w:rStyle w:val="11"/>
          <w:rFonts w:hint="eastAsia"/>
          <w:b/>
          <w:bCs/>
          <w:lang/>
        </w:rPr>
        <w:t>基金管理人和基金托管人</w:t>
      </w:r>
      <w:r>
        <w:rPr>
          <w:lang/>
        </w:rPr>
        <w:tab/>
      </w:r>
      <w:r>
        <w:rPr>
          <w:lang/>
        </w:rPr>
        <w:fldChar w:fldCharType="begin"/>
      </w:r>
      <w:r>
        <w:rPr>
          <w:lang/>
        </w:rPr>
        <w:instrText xml:space="preserve"> PAGEREF _Toc4173492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"_Toc4173493"</w:instrText>
      </w:r>
      <w:r>
        <w:rPr>
          <w:rStyle w:val="11"/>
          <w:lang/>
        </w:rPr>
        <w:instrText xml:space="preserve"> </w:instrText>
      </w:r>
      <w:r>
        <w:rPr>
          <w:rStyle w:val="11"/>
          <w:lang/>
        </w:rPr>
        <w:fldChar w:fldCharType="separate"/>
      </w:r>
      <w:r>
        <w:rPr>
          <w:rStyle w:val="11"/>
          <w:b/>
          <w:bCs/>
          <w:lang/>
        </w:rPr>
        <w:t xml:space="preserve">2.4 </w:t>
      </w:r>
      <w:r>
        <w:rPr>
          <w:rStyle w:val="11"/>
          <w:rFonts w:hint="eastAsia"/>
          <w:b/>
          <w:bCs/>
          <w:lang/>
        </w:rPr>
        <w:t>信息披露方式</w:t>
      </w:r>
      <w:r>
        <w:rPr>
          <w:lang/>
        </w:rPr>
        <w:tab/>
      </w:r>
      <w:r>
        <w:rPr>
          <w:lang/>
        </w:rPr>
        <w:fldChar w:fldCharType="begin"/>
      </w:r>
      <w:r>
        <w:rPr>
          <w:lang/>
        </w:rPr>
        <w:instrText xml:space="preserve"> PAGEREF _Toc4173493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"_Toc4173494"</w:instrText>
      </w:r>
      <w:r>
        <w:rPr>
          <w:rStyle w:val="11"/>
          <w:lang/>
        </w:rPr>
        <w:instrText xml:space="preserve"> </w:instrText>
      </w:r>
      <w:r>
        <w:rPr>
          <w:rStyle w:val="11"/>
          <w:lang/>
        </w:rPr>
        <w:fldChar w:fldCharType="separate"/>
      </w:r>
      <w:r>
        <w:rPr>
          <w:rStyle w:val="11"/>
          <w:b/>
          <w:bCs/>
          <w:lang/>
        </w:rPr>
        <w:t xml:space="preserve">2.5 </w:t>
      </w:r>
      <w:r>
        <w:rPr>
          <w:rStyle w:val="11"/>
          <w:rFonts w:hint="eastAsia"/>
          <w:b/>
          <w:bCs/>
          <w:lang/>
        </w:rPr>
        <w:t>其他相关资料</w:t>
      </w:r>
      <w:r>
        <w:rPr>
          <w:lang/>
        </w:rPr>
        <w:tab/>
      </w:r>
      <w:r>
        <w:rPr>
          <w:lang/>
        </w:rPr>
        <w:fldChar w:fldCharType="begin"/>
      </w:r>
      <w:r>
        <w:rPr>
          <w:lang/>
        </w:rPr>
        <w:instrText xml:space="preserve"> PAGEREF _Toc4173494 \h </w:instrText>
      </w:r>
      <w:r>
        <w:rPr>
          <w:lang/>
        </w:rPr>
        <w:fldChar w:fldCharType="separate"/>
      </w:r>
      <w:r>
        <w:rPr>
          <w:lang/>
        </w:rPr>
        <w:t>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"_Toc4173495"</w:instrText>
      </w:r>
      <w:r>
        <w:rPr>
          <w:rStyle w:val="11"/>
          <w:lang/>
        </w:rPr>
        <w:instrText xml:space="preserve"> </w:instrText>
      </w:r>
      <w:r>
        <w:rPr>
          <w:rStyle w:val="11"/>
          <w:lang/>
        </w:rPr>
        <w:fldChar w:fldCharType="separate"/>
      </w:r>
      <w:r>
        <w:rPr>
          <w:rStyle w:val="11"/>
          <w:b/>
          <w:lang/>
        </w:rPr>
        <w:t xml:space="preserve">§3  </w:t>
      </w:r>
      <w:r>
        <w:rPr>
          <w:rStyle w:val="11"/>
          <w:rFonts w:hint="eastAsia"/>
          <w:b/>
          <w:lang/>
        </w:rPr>
        <w:t>主要财务指标、基金净值表现及利润分配情况</w:t>
      </w:r>
      <w:r>
        <w:rPr>
          <w:lang/>
        </w:rPr>
        <w:tab/>
      </w:r>
      <w:r>
        <w:rPr>
          <w:lang/>
        </w:rPr>
        <w:fldChar w:fldCharType="begin"/>
      </w:r>
      <w:r>
        <w:rPr>
          <w:lang/>
        </w:rPr>
        <w:instrText xml:space="preserve"> PAGEREF _Toc4173495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"_Toc4173496"</w:instrText>
      </w:r>
      <w:r>
        <w:rPr>
          <w:rStyle w:val="11"/>
          <w:lang/>
        </w:rPr>
        <w:instrText xml:space="preserve"> </w:instrText>
      </w:r>
      <w:r>
        <w:rPr>
          <w:rStyle w:val="11"/>
          <w:lang/>
        </w:rPr>
        <w:fldChar w:fldCharType="separate"/>
      </w:r>
      <w:r>
        <w:rPr>
          <w:rStyle w:val="11"/>
          <w:b/>
          <w:bCs/>
          <w:lang/>
        </w:rPr>
        <w:t xml:space="preserve">3.1 </w:t>
      </w:r>
      <w:r>
        <w:rPr>
          <w:rStyle w:val="11"/>
          <w:rFonts w:hint="eastAsia"/>
          <w:b/>
          <w:bCs/>
          <w:lang/>
        </w:rPr>
        <w:t>主要会计数据和财务指标</w:t>
      </w:r>
      <w:r>
        <w:rPr>
          <w:lang/>
        </w:rPr>
        <w:tab/>
      </w:r>
      <w:r>
        <w:rPr>
          <w:lang/>
        </w:rPr>
        <w:fldChar w:fldCharType="begin"/>
      </w:r>
      <w:r>
        <w:rPr>
          <w:lang/>
        </w:rPr>
        <w:instrText xml:space="preserve"> PAGEREF _Toc4173496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"_Toc4173497"</w:instrText>
      </w:r>
      <w:r>
        <w:rPr>
          <w:rStyle w:val="11"/>
          <w:lang/>
        </w:rPr>
        <w:instrText xml:space="preserve"> </w:instrText>
      </w:r>
      <w:r>
        <w:rPr>
          <w:rStyle w:val="11"/>
          <w:lang/>
        </w:rPr>
        <w:fldChar w:fldCharType="separate"/>
      </w:r>
      <w:r>
        <w:rPr>
          <w:rStyle w:val="11"/>
          <w:b/>
          <w:bCs/>
          <w:lang/>
        </w:rPr>
        <w:t xml:space="preserve">3.2 </w:t>
      </w:r>
      <w:r>
        <w:rPr>
          <w:rStyle w:val="11"/>
          <w:rFonts w:hint="eastAsia"/>
          <w:b/>
          <w:bCs/>
          <w:lang/>
        </w:rPr>
        <w:t>基金净值表现</w:t>
      </w:r>
      <w:r>
        <w:rPr>
          <w:lang/>
        </w:rPr>
        <w:tab/>
      </w:r>
      <w:r>
        <w:rPr>
          <w:lang/>
        </w:rPr>
        <w:fldChar w:fldCharType="begin"/>
      </w:r>
      <w:r>
        <w:rPr>
          <w:lang/>
        </w:rPr>
        <w:instrText xml:space="preserve"> PAGEREF _Toc4173497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"_Toc4173498"</w:instrText>
      </w:r>
      <w:r>
        <w:rPr>
          <w:rStyle w:val="11"/>
          <w:lang/>
        </w:rPr>
        <w:instrText xml:space="preserve"> </w:instrText>
      </w:r>
      <w:r>
        <w:rPr>
          <w:rStyle w:val="11"/>
          <w:lang/>
        </w:rPr>
        <w:fldChar w:fldCharType="separate"/>
      </w:r>
      <w:r>
        <w:rPr>
          <w:rStyle w:val="11"/>
          <w:b/>
          <w:lang/>
        </w:rPr>
        <w:t xml:space="preserve">3.3 </w:t>
      </w:r>
      <w:r>
        <w:rPr>
          <w:rStyle w:val="11"/>
          <w:rFonts w:hint="eastAsia"/>
          <w:b/>
          <w:lang/>
        </w:rPr>
        <w:t>过去三年基金的利润分配情况</w:t>
      </w:r>
      <w:r>
        <w:rPr>
          <w:lang/>
        </w:rPr>
        <w:tab/>
      </w:r>
      <w:r>
        <w:rPr>
          <w:lang/>
        </w:rPr>
        <w:fldChar w:fldCharType="begin"/>
      </w:r>
      <w:r>
        <w:rPr>
          <w:lang/>
        </w:rPr>
        <w:instrText xml:space="preserve"> PAGEREF _Toc4173498 \h </w:instrText>
      </w:r>
      <w:r>
        <w:rPr>
          <w:lang/>
        </w:rPr>
        <w:fldChar w:fldCharType="separate"/>
      </w:r>
      <w:r>
        <w:rPr>
          <w:lang/>
        </w:rPr>
        <w:t>10</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"_Toc4173499"</w:instrText>
      </w:r>
      <w:r>
        <w:rPr>
          <w:rStyle w:val="11"/>
          <w:lang/>
        </w:rPr>
        <w:instrText xml:space="preserve"> </w:instrText>
      </w:r>
      <w:r>
        <w:rPr>
          <w:rStyle w:val="11"/>
          <w:lang/>
        </w:rPr>
        <w:fldChar w:fldCharType="separate"/>
      </w:r>
      <w:r>
        <w:rPr>
          <w:rStyle w:val="11"/>
          <w:b/>
          <w:lang/>
        </w:rPr>
        <w:t xml:space="preserve">§4  </w:t>
      </w:r>
      <w:r>
        <w:rPr>
          <w:rStyle w:val="11"/>
          <w:rFonts w:hint="eastAsia"/>
          <w:b/>
          <w:lang/>
        </w:rPr>
        <w:t>管理人报告</w:t>
      </w:r>
      <w:r>
        <w:rPr>
          <w:lang/>
        </w:rPr>
        <w:tab/>
      </w:r>
      <w:r>
        <w:rPr>
          <w:lang/>
        </w:rPr>
        <w:fldChar w:fldCharType="begin"/>
      </w:r>
      <w:r>
        <w:rPr>
          <w:lang/>
        </w:rPr>
        <w:instrText xml:space="preserve"> PAGEREF _Toc4173499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"_Toc4173500"</w:instrText>
      </w:r>
      <w:r>
        <w:rPr>
          <w:rStyle w:val="11"/>
          <w:lang/>
        </w:rPr>
        <w:instrText xml:space="preserve"> </w:instrText>
      </w:r>
      <w:r>
        <w:rPr>
          <w:rStyle w:val="11"/>
          <w:lang/>
        </w:rPr>
        <w:fldChar w:fldCharType="separate"/>
      </w:r>
      <w:r>
        <w:rPr>
          <w:rStyle w:val="11"/>
          <w:b/>
          <w:bCs/>
          <w:lang/>
        </w:rPr>
        <w:t xml:space="preserve">4.1 </w:t>
      </w:r>
      <w:r>
        <w:rPr>
          <w:rStyle w:val="11"/>
          <w:rFonts w:hint="eastAsia"/>
          <w:b/>
          <w:bCs/>
          <w:lang/>
        </w:rPr>
        <w:t>基金管理人及基金经理情况</w:t>
      </w:r>
      <w:r>
        <w:rPr>
          <w:lang/>
        </w:rPr>
        <w:tab/>
      </w:r>
      <w:r>
        <w:rPr>
          <w:lang/>
        </w:rPr>
        <w:fldChar w:fldCharType="begin"/>
      </w:r>
      <w:r>
        <w:rPr>
          <w:lang/>
        </w:rPr>
        <w:instrText xml:space="preserve"> PAGEREF _Toc4173500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"_Toc4173501"</w:instrText>
      </w:r>
      <w:r>
        <w:rPr>
          <w:rStyle w:val="11"/>
          <w:lang/>
        </w:rPr>
        <w:instrText xml:space="preserve"> </w:instrText>
      </w:r>
      <w:r>
        <w:rPr>
          <w:rStyle w:val="11"/>
          <w:lang/>
        </w:rPr>
        <w:fldChar w:fldCharType="separate"/>
      </w:r>
      <w:r>
        <w:rPr>
          <w:rStyle w:val="11"/>
          <w:b/>
          <w:lang/>
        </w:rPr>
        <w:t xml:space="preserve">4.2 </w:t>
      </w:r>
      <w:r>
        <w:rPr>
          <w:rStyle w:val="11"/>
          <w:rFonts w:hint="eastAsia"/>
          <w:b/>
          <w:lang/>
        </w:rPr>
        <w:t>管理人对报告期内本基金运作遵规守信情况的说明</w:t>
      </w:r>
      <w:r>
        <w:rPr>
          <w:lang/>
        </w:rPr>
        <w:tab/>
      </w:r>
      <w:r>
        <w:rPr>
          <w:lang/>
        </w:rPr>
        <w:fldChar w:fldCharType="begin"/>
      </w:r>
      <w:r>
        <w:rPr>
          <w:lang/>
        </w:rPr>
        <w:instrText xml:space="preserve"> PAGEREF _Toc4173501 \h </w:instrText>
      </w:r>
      <w:r>
        <w:rPr>
          <w:lang/>
        </w:rPr>
        <w:fldChar w:fldCharType="separate"/>
      </w:r>
      <w:r>
        <w:rPr>
          <w:lang/>
        </w:rPr>
        <w:t>12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"_Toc4173502"</w:instrText>
      </w:r>
      <w:r>
        <w:rPr>
          <w:rStyle w:val="11"/>
          <w:lang/>
        </w:rPr>
        <w:instrText xml:space="preserve"> </w:instrText>
      </w:r>
      <w:r>
        <w:rPr>
          <w:rStyle w:val="11"/>
          <w:lang/>
        </w:rPr>
        <w:fldChar w:fldCharType="separate"/>
      </w:r>
      <w:r>
        <w:rPr>
          <w:rStyle w:val="11"/>
          <w:b/>
          <w:lang/>
        </w:rPr>
        <w:t xml:space="preserve">4.3 </w:t>
      </w:r>
      <w:r>
        <w:rPr>
          <w:rStyle w:val="11"/>
          <w:rFonts w:hint="eastAsia"/>
          <w:b/>
          <w:lang/>
        </w:rPr>
        <w:t>管理人对报告期内公平交易情况的专项说明</w:t>
      </w:r>
      <w:r>
        <w:rPr>
          <w:lang/>
        </w:rPr>
        <w:tab/>
      </w:r>
      <w:r>
        <w:rPr>
          <w:lang/>
        </w:rPr>
        <w:fldChar w:fldCharType="begin"/>
      </w:r>
      <w:r>
        <w:rPr>
          <w:lang/>
        </w:rPr>
        <w:instrText xml:space="preserve"> PAGEREF _Toc4173502 \h </w:instrText>
      </w:r>
      <w:r>
        <w:rPr>
          <w:lang/>
        </w:rPr>
        <w:fldChar w:fldCharType="separate"/>
      </w:r>
      <w:r>
        <w:rPr>
          <w:lang/>
        </w:rPr>
        <w:t>12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"_Toc4173503"</w:instrText>
      </w:r>
      <w:r>
        <w:rPr>
          <w:rStyle w:val="11"/>
          <w:lang/>
        </w:rPr>
        <w:instrText xml:space="preserve"> </w:instrText>
      </w:r>
      <w:r>
        <w:rPr>
          <w:rStyle w:val="11"/>
          <w:lang/>
        </w:rPr>
        <w:fldChar w:fldCharType="separate"/>
      </w:r>
      <w:r>
        <w:rPr>
          <w:rStyle w:val="11"/>
          <w:b/>
          <w:lang/>
        </w:rPr>
        <w:t xml:space="preserve">4.4 </w:t>
      </w:r>
      <w:r>
        <w:rPr>
          <w:rStyle w:val="11"/>
          <w:rFonts w:hint="eastAsia"/>
          <w:b/>
          <w:lang/>
        </w:rPr>
        <w:t>管理人对报告期内基金的投资策略和业绩表现的说明</w:t>
      </w:r>
      <w:r>
        <w:rPr>
          <w:lang/>
        </w:rPr>
        <w:tab/>
      </w:r>
      <w:r>
        <w:rPr>
          <w:lang/>
        </w:rPr>
        <w:fldChar w:fldCharType="begin"/>
      </w:r>
      <w:r>
        <w:rPr>
          <w:lang/>
        </w:rPr>
        <w:instrText xml:space="preserve"> PAGEREF _Toc4173503 \h </w:instrText>
      </w:r>
      <w:r>
        <w:rPr>
          <w:lang/>
        </w:rPr>
        <w:fldChar w:fldCharType="separate"/>
      </w:r>
      <w:r>
        <w:rPr>
          <w:lang/>
        </w:rPr>
        <w:t>13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"_Toc4173504"</w:instrText>
      </w:r>
      <w:r>
        <w:rPr>
          <w:rStyle w:val="11"/>
          <w:lang/>
        </w:rPr>
        <w:instrText xml:space="preserve"> </w:instrText>
      </w:r>
      <w:r>
        <w:rPr>
          <w:rStyle w:val="11"/>
          <w:lang/>
        </w:rPr>
        <w:fldChar w:fldCharType="separate"/>
      </w:r>
      <w:r>
        <w:rPr>
          <w:rStyle w:val="11"/>
          <w:b/>
          <w:lang/>
        </w:rPr>
        <w:t xml:space="preserve">4.5 </w:t>
      </w:r>
      <w:r>
        <w:rPr>
          <w:rStyle w:val="11"/>
          <w:rFonts w:hint="eastAsia"/>
          <w:b/>
          <w:lang/>
        </w:rPr>
        <w:t>管理人对宏观经济、证券市场及行业走势的简要展望</w:t>
      </w:r>
      <w:r>
        <w:rPr>
          <w:lang/>
        </w:rPr>
        <w:tab/>
      </w:r>
      <w:r>
        <w:rPr>
          <w:lang/>
        </w:rPr>
        <w:fldChar w:fldCharType="begin"/>
      </w:r>
      <w:r>
        <w:rPr>
          <w:lang/>
        </w:rPr>
        <w:instrText xml:space="preserve"> PAGEREF _Toc4173504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"_Toc4173505"</w:instrText>
      </w:r>
      <w:r>
        <w:rPr>
          <w:rStyle w:val="11"/>
          <w:lang/>
        </w:rPr>
        <w:instrText xml:space="preserve"> </w:instrText>
      </w:r>
      <w:r>
        <w:rPr>
          <w:rStyle w:val="11"/>
          <w:lang/>
        </w:rPr>
        <w:fldChar w:fldCharType="separate"/>
      </w:r>
      <w:r>
        <w:rPr>
          <w:rStyle w:val="11"/>
          <w:b/>
          <w:lang/>
        </w:rPr>
        <w:t xml:space="preserve">4.6 </w:t>
      </w:r>
      <w:r>
        <w:rPr>
          <w:rStyle w:val="11"/>
          <w:rFonts w:hint="eastAsia"/>
          <w:b/>
          <w:lang/>
        </w:rPr>
        <w:t>管理人内部有关本基金的监察稽核工作情况</w:t>
      </w:r>
      <w:r>
        <w:rPr>
          <w:lang/>
        </w:rPr>
        <w:tab/>
      </w:r>
      <w:r>
        <w:rPr>
          <w:lang/>
        </w:rPr>
        <w:fldChar w:fldCharType="begin"/>
      </w:r>
      <w:r>
        <w:rPr>
          <w:lang/>
        </w:rPr>
        <w:instrText xml:space="preserve"> PAGEREF _Toc4173505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"_Toc4173506"</w:instrText>
      </w:r>
      <w:r>
        <w:rPr>
          <w:rStyle w:val="11"/>
          <w:lang/>
        </w:rPr>
        <w:instrText xml:space="preserve"> </w:instrText>
      </w:r>
      <w:r>
        <w:rPr>
          <w:rStyle w:val="11"/>
          <w:lang/>
        </w:rPr>
        <w:fldChar w:fldCharType="separate"/>
      </w:r>
      <w:r>
        <w:rPr>
          <w:rStyle w:val="11"/>
          <w:b/>
          <w:lang/>
        </w:rPr>
        <w:t xml:space="preserve">4.7 </w:t>
      </w:r>
      <w:r>
        <w:rPr>
          <w:rStyle w:val="11"/>
          <w:rFonts w:hint="eastAsia"/>
          <w:b/>
          <w:lang/>
        </w:rPr>
        <w:t>管理人对报告期内基金估值程序等事项的说明</w:t>
      </w:r>
      <w:r>
        <w:rPr>
          <w:lang/>
        </w:rPr>
        <w:tab/>
      </w:r>
      <w:r>
        <w:rPr>
          <w:lang/>
        </w:rPr>
        <w:fldChar w:fldCharType="begin"/>
      </w:r>
      <w:r>
        <w:rPr>
          <w:lang/>
        </w:rPr>
        <w:instrText xml:space="preserve"> PAGEREF _Toc4173506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"_Toc4173507"</w:instrText>
      </w:r>
      <w:r>
        <w:rPr>
          <w:rStyle w:val="11"/>
          <w:lang/>
        </w:rPr>
        <w:instrText xml:space="preserve"> </w:instrText>
      </w:r>
      <w:r>
        <w:rPr>
          <w:rStyle w:val="11"/>
          <w:lang/>
        </w:rPr>
        <w:fldChar w:fldCharType="separate"/>
      </w:r>
      <w:r>
        <w:rPr>
          <w:rStyle w:val="11"/>
          <w:b/>
          <w:bCs/>
          <w:lang/>
        </w:rPr>
        <w:t xml:space="preserve">4.8 </w:t>
      </w:r>
      <w:r>
        <w:rPr>
          <w:rStyle w:val="11"/>
          <w:rFonts w:hint="eastAsia"/>
          <w:b/>
          <w:bCs/>
          <w:lang/>
        </w:rPr>
        <w:t>管理人对报告期内基金利润分配情况的说明</w:t>
      </w:r>
      <w:r>
        <w:rPr>
          <w:lang/>
        </w:rPr>
        <w:tab/>
      </w:r>
      <w:r>
        <w:rPr>
          <w:lang/>
        </w:rPr>
        <w:fldChar w:fldCharType="begin"/>
      </w:r>
      <w:r>
        <w:rPr>
          <w:lang/>
        </w:rPr>
        <w:instrText xml:space="preserve"> PAGEREF _Toc4173507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"_Toc4173508"</w:instrText>
      </w:r>
      <w:r>
        <w:rPr>
          <w:rStyle w:val="11"/>
          <w:lang/>
        </w:rPr>
        <w:instrText xml:space="preserve"> </w:instrText>
      </w:r>
      <w:r>
        <w:rPr>
          <w:rStyle w:val="11"/>
          <w:lang/>
        </w:rPr>
        <w:fldChar w:fldCharType="separate"/>
      </w:r>
      <w:r>
        <w:rPr>
          <w:rStyle w:val="11"/>
          <w:b/>
          <w:bCs/>
          <w:lang/>
        </w:rPr>
        <w:t xml:space="preserve">4.9 </w:t>
      </w:r>
      <w:r>
        <w:rPr>
          <w:rStyle w:val="11"/>
          <w:rFonts w:hint="eastAsia"/>
          <w:b/>
          <w:bCs/>
          <w:lang/>
        </w:rPr>
        <w:t>报告期内管理人对本基金持有人数或基金资产净值预警情形的说明</w:t>
      </w:r>
      <w:r>
        <w:rPr>
          <w:lang/>
        </w:rPr>
        <w:tab/>
      </w:r>
      <w:r>
        <w:rPr>
          <w:lang/>
        </w:rPr>
        <w:fldChar w:fldCharType="begin"/>
      </w:r>
      <w:r>
        <w:rPr>
          <w:lang/>
        </w:rPr>
        <w:instrText xml:space="preserve"> PAGEREF _Toc4173508 \h </w:instrText>
      </w:r>
      <w:r>
        <w:rPr>
          <w:lang/>
        </w:rPr>
        <w:fldChar w:fldCharType="separate"/>
      </w:r>
      <w:r>
        <w:rPr>
          <w:lang/>
        </w:rPr>
        <w:t>15</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"_Toc4173509"</w:instrText>
      </w:r>
      <w:r>
        <w:rPr>
          <w:rStyle w:val="11"/>
          <w:lang/>
        </w:rPr>
        <w:instrText xml:space="preserve"> </w:instrText>
      </w:r>
      <w:r>
        <w:rPr>
          <w:rStyle w:val="11"/>
          <w:lang/>
        </w:rPr>
        <w:fldChar w:fldCharType="separate"/>
      </w:r>
      <w:r>
        <w:rPr>
          <w:rStyle w:val="11"/>
          <w:b/>
          <w:lang/>
        </w:rPr>
        <w:t xml:space="preserve">§5  </w:t>
      </w:r>
      <w:r>
        <w:rPr>
          <w:rStyle w:val="11"/>
          <w:rFonts w:hint="eastAsia"/>
          <w:b/>
          <w:lang/>
        </w:rPr>
        <w:t>托管人报告</w:t>
      </w:r>
      <w:r>
        <w:rPr>
          <w:lang/>
        </w:rPr>
        <w:tab/>
      </w:r>
      <w:r>
        <w:rPr>
          <w:lang/>
        </w:rPr>
        <w:fldChar w:fldCharType="begin"/>
      </w:r>
      <w:r>
        <w:rPr>
          <w:lang/>
        </w:rPr>
        <w:instrText xml:space="preserve"> PAGEREF _Toc4173509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"_Toc4173510"</w:instrText>
      </w:r>
      <w:r>
        <w:rPr>
          <w:rStyle w:val="11"/>
          <w:lang/>
        </w:rPr>
        <w:instrText xml:space="preserve"> </w:instrText>
      </w:r>
      <w:r>
        <w:rPr>
          <w:rStyle w:val="11"/>
          <w:lang/>
        </w:rPr>
        <w:fldChar w:fldCharType="separate"/>
      </w:r>
      <w:r>
        <w:rPr>
          <w:rStyle w:val="11"/>
          <w:b/>
          <w:bCs/>
          <w:lang/>
        </w:rPr>
        <w:t xml:space="preserve">5.1 </w:t>
      </w:r>
      <w:r>
        <w:rPr>
          <w:rStyle w:val="11"/>
          <w:rFonts w:hint="eastAsia"/>
          <w:b/>
          <w:bCs/>
          <w:lang/>
        </w:rPr>
        <w:t>报告期内本基金托管人遵规守信情况声明</w:t>
      </w:r>
      <w:r>
        <w:rPr>
          <w:lang/>
        </w:rPr>
        <w:tab/>
      </w:r>
      <w:r>
        <w:rPr>
          <w:lang/>
        </w:rPr>
        <w:fldChar w:fldCharType="begin"/>
      </w:r>
      <w:r>
        <w:rPr>
          <w:lang/>
        </w:rPr>
        <w:instrText xml:space="preserve"> PAGEREF _Toc4173510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"_Toc4173511"</w:instrText>
      </w:r>
      <w:r>
        <w:rPr>
          <w:rStyle w:val="11"/>
          <w:lang/>
        </w:rPr>
        <w:instrText xml:space="preserve"> </w:instrText>
      </w:r>
      <w:r>
        <w:rPr>
          <w:rStyle w:val="11"/>
          <w:lang/>
        </w:rPr>
        <w:fldChar w:fldCharType="separate"/>
      </w:r>
      <w:r>
        <w:rPr>
          <w:rStyle w:val="11"/>
          <w:b/>
          <w:bCs/>
          <w:lang/>
        </w:rPr>
        <w:t xml:space="preserve">5.2 </w:t>
      </w:r>
      <w:r>
        <w:rPr>
          <w:rStyle w:val="11"/>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_Toc4173511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"_Toc4173512"</w:instrText>
      </w:r>
      <w:r>
        <w:rPr>
          <w:rStyle w:val="11"/>
          <w:lang/>
        </w:rPr>
        <w:instrText xml:space="preserve"> </w:instrText>
      </w:r>
      <w:r>
        <w:rPr>
          <w:rStyle w:val="11"/>
          <w:lang/>
        </w:rPr>
        <w:fldChar w:fldCharType="separate"/>
      </w:r>
      <w:r>
        <w:rPr>
          <w:rStyle w:val="11"/>
          <w:b/>
          <w:bCs/>
          <w:lang/>
        </w:rPr>
        <w:t xml:space="preserve">5.3 </w:t>
      </w:r>
      <w:r>
        <w:rPr>
          <w:rStyle w:val="11"/>
          <w:rFonts w:hint="eastAsia"/>
          <w:b/>
          <w:bCs/>
          <w:lang/>
        </w:rPr>
        <w:t>托管人对本年度报告中财务信息等内容的真实、准确和完整发表意见</w:t>
      </w:r>
      <w:r>
        <w:rPr>
          <w:lang/>
        </w:rPr>
        <w:tab/>
      </w:r>
      <w:r>
        <w:rPr>
          <w:lang/>
        </w:rPr>
        <w:fldChar w:fldCharType="begin"/>
      </w:r>
      <w:r>
        <w:rPr>
          <w:lang/>
        </w:rPr>
        <w:instrText xml:space="preserve"> PAGEREF _Toc4173512 \h </w:instrText>
      </w:r>
      <w:r>
        <w:rPr>
          <w:lang/>
        </w:rPr>
        <w:fldChar w:fldCharType="separate"/>
      </w:r>
      <w:r>
        <w:rPr>
          <w:lang/>
        </w:rPr>
        <w:t>15</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"_Toc4173513"</w:instrText>
      </w:r>
      <w:r>
        <w:rPr>
          <w:rStyle w:val="11"/>
          <w:lang/>
        </w:rPr>
        <w:instrText xml:space="preserve"> </w:instrText>
      </w:r>
      <w:r>
        <w:rPr>
          <w:rStyle w:val="11"/>
          <w:lang/>
        </w:rPr>
        <w:fldChar w:fldCharType="separate"/>
      </w:r>
      <w:r>
        <w:rPr>
          <w:rStyle w:val="11"/>
          <w:b/>
          <w:lang/>
        </w:rPr>
        <w:t xml:space="preserve">§6  </w:t>
      </w:r>
      <w:r>
        <w:rPr>
          <w:rStyle w:val="11"/>
          <w:rFonts w:hint="eastAsia"/>
          <w:b/>
          <w:lang/>
        </w:rPr>
        <w:t>审计报告</w:t>
      </w:r>
      <w:r>
        <w:rPr>
          <w:lang/>
        </w:rPr>
        <w:tab/>
      </w:r>
      <w:r>
        <w:rPr>
          <w:lang/>
        </w:rPr>
        <w:fldChar w:fldCharType="begin"/>
      </w:r>
      <w:r>
        <w:rPr>
          <w:lang/>
        </w:rPr>
        <w:instrText xml:space="preserve"> PAGEREF _Toc4173513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"_Toc4173514"</w:instrText>
      </w:r>
      <w:r>
        <w:rPr>
          <w:rStyle w:val="11"/>
          <w:lang/>
        </w:rPr>
        <w:instrText xml:space="preserve"> </w:instrText>
      </w:r>
      <w:r>
        <w:rPr>
          <w:rStyle w:val="11"/>
          <w:lang/>
        </w:rPr>
        <w:fldChar w:fldCharType="separate"/>
      </w:r>
      <w:r>
        <w:rPr>
          <w:rStyle w:val="11"/>
          <w:b/>
          <w:bCs/>
          <w:lang/>
        </w:rPr>
        <w:t xml:space="preserve">6.1 </w:t>
      </w:r>
      <w:r>
        <w:rPr>
          <w:rStyle w:val="11"/>
          <w:rFonts w:hint="eastAsia"/>
          <w:b/>
          <w:bCs/>
          <w:lang/>
        </w:rPr>
        <w:t>审计报告基本信息</w:t>
      </w:r>
      <w:r>
        <w:rPr>
          <w:lang/>
        </w:rPr>
        <w:tab/>
      </w:r>
      <w:r>
        <w:rPr>
          <w:lang/>
        </w:rPr>
        <w:fldChar w:fldCharType="begin"/>
      </w:r>
      <w:r>
        <w:rPr>
          <w:lang/>
        </w:rPr>
        <w:instrText xml:space="preserve"> PAGEREF _Toc4173514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"_Toc4173515"</w:instrText>
      </w:r>
      <w:r>
        <w:rPr>
          <w:rStyle w:val="11"/>
          <w:lang/>
        </w:rPr>
        <w:instrText xml:space="preserve"> </w:instrText>
      </w:r>
      <w:r>
        <w:rPr>
          <w:rStyle w:val="11"/>
          <w:lang/>
        </w:rPr>
        <w:fldChar w:fldCharType="separate"/>
      </w:r>
      <w:r>
        <w:rPr>
          <w:rStyle w:val="11"/>
          <w:b/>
          <w:bCs/>
          <w:lang/>
        </w:rPr>
        <w:t xml:space="preserve">6.2 </w:t>
      </w:r>
      <w:r>
        <w:rPr>
          <w:rStyle w:val="11"/>
          <w:rFonts w:hint="eastAsia"/>
          <w:b/>
          <w:bCs/>
          <w:lang/>
        </w:rPr>
        <w:t>审计报告的基本内容</w:t>
      </w:r>
      <w:r>
        <w:rPr>
          <w:lang/>
        </w:rPr>
        <w:tab/>
      </w:r>
      <w:r>
        <w:rPr>
          <w:lang/>
        </w:rPr>
        <w:fldChar w:fldCharType="begin"/>
      </w:r>
      <w:r>
        <w:rPr>
          <w:lang/>
        </w:rPr>
        <w:instrText xml:space="preserve"> PAGEREF _Toc4173515 \h </w:instrText>
      </w:r>
      <w:r>
        <w:rPr>
          <w:lang/>
        </w:rPr>
        <w:fldChar w:fldCharType="separate"/>
      </w:r>
      <w:r>
        <w:rPr>
          <w:lang/>
        </w:rPr>
        <w:t>16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"_Toc4173516"</w:instrText>
      </w:r>
      <w:r>
        <w:rPr>
          <w:rStyle w:val="11"/>
          <w:lang/>
        </w:rPr>
        <w:instrText xml:space="preserve"> </w:instrText>
      </w:r>
      <w:r>
        <w:rPr>
          <w:rStyle w:val="11"/>
          <w:lang/>
        </w:rPr>
        <w:fldChar w:fldCharType="separate"/>
      </w:r>
      <w:r>
        <w:rPr>
          <w:rStyle w:val="11"/>
          <w:b/>
          <w:lang/>
        </w:rPr>
        <w:t xml:space="preserve">§7  </w:t>
      </w:r>
      <w:r>
        <w:rPr>
          <w:rStyle w:val="11"/>
          <w:rFonts w:hint="eastAsia"/>
          <w:b/>
          <w:lang/>
        </w:rPr>
        <w:t>年度财务报表</w:t>
      </w:r>
      <w:r>
        <w:rPr>
          <w:lang/>
        </w:rPr>
        <w:tab/>
      </w:r>
      <w:r>
        <w:rPr>
          <w:lang/>
        </w:rPr>
        <w:fldChar w:fldCharType="begin"/>
      </w:r>
      <w:r>
        <w:rPr>
          <w:lang/>
        </w:rPr>
        <w:instrText xml:space="preserve"> PAGEREF _Toc4173516 \h </w:instrText>
      </w:r>
      <w:r>
        <w:rPr>
          <w:lang/>
        </w:rPr>
        <w:fldChar w:fldCharType="separate"/>
      </w:r>
      <w:r>
        <w:rPr>
          <w:lang/>
        </w:rPr>
        <w:t>18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"_Toc4173517"</w:instrText>
      </w:r>
      <w:r>
        <w:rPr>
          <w:rStyle w:val="11"/>
          <w:lang/>
        </w:rPr>
        <w:instrText xml:space="preserve"> </w:instrText>
      </w:r>
      <w:r>
        <w:rPr>
          <w:rStyle w:val="11"/>
          <w:lang/>
        </w:rPr>
        <w:fldChar w:fldCharType="separate"/>
      </w:r>
      <w:r>
        <w:rPr>
          <w:rStyle w:val="11"/>
          <w:b/>
          <w:bCs/>
          <w:lang/>
        </w:rPr>
        <w:t xml:space="preserve">7.1 </w:t>
      </w:r>
      <w:r>
        <w:rPr>
          <w:rStyle w:val="11"/>
          <w:rFonts w:hint="eastAsia"/>
          <w:b/>
          <w:bCs/>
          <w:lang/>
        </w:rPr>
        <w:t>资产负债表</w:t>
      </w:r>
      <w:r>
        <w:rPr>
          <w:lang/>
        </w:rPr>
        <w:tab/>
      </w:r>
      <w:r>
        <w:rPr>
          <w:lang/>
        </w:rPr>
        <w:fldChar w:fldCharType="begin"/>
      </w:r>
      <w:r>
        <w:rPr>
          <w:lang/>
        </w:rPr>
        <w:instrText xml:space="preserve"> PAGEREF _Toc4173517 \h </w:instrText>
      </w:r>
      <w:r>
        <w:rPr>
          <w:lang/>
        </w:rPr>
        <w:fldChar w:fldCharType="separate"/>
      </w:r>
      <w:r>
        <w:rPr>
          <w:lang/>
        </w:rPr>
        <w:t>18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"_Toc4173518"</w:instrText>
      </w:r>
      <w:r>
        <w:rPr>
          <w:rStyle w:val="11"/>
          <w:lang/>
        </w:rPr>
        <w:instrText xml:space="preserve"> </w:instrText>
      </w:r>
      <w:r>
        <w:rPr>
          <w:rStyle w:val="11"/>
          <w:lang/>
        </w:rPr>
        <w:fldChar w:fldCharType="separate"/>
      </w:r>
      <w:r>
        <w:rPr>
          <w:rStyle w:val="11"/>
          <w:b/>
          <w:bCs/>
          <w:lang/>
        </w:rPr>
        <w:t xml:space="preserve">7.2 </w:t>
      </w:r>
      <w:r>
        <w:rPr>
          <w:rStyle w:val="11"/>
          <w:rFonts w:hint="eastAsia"/>
          <w:b/>
          <w:bCs/>
          <w:lang/>
        </w:rPr>
        <w:t>利润表</w:t>
      </w:r>
      <w:r>
        <w:rPr>
          <w:lang/>
        </w:rPr>
        <w:tab/>
      </w:r>
      <w:r>
        <w:rPr>
          <w:lang/>
        </w:rPr>
        <w:fldChar w:fldCharType="begin"/>
      </w:r>
      <w:r>
        <w:rPr>
          <w:lang/>
        </w:rPr>
        <w:instrText xml:space="preserve"> PAGEREF _Toc4173518 \h </w:instrText>
      </w:r>
      <w:r>
        <w:rPr>
          <w:lang/>
        </w:rPr>
        <w:fldChar w:fldCharType="separate"/>
      </w:r>
      <w:r>
        <w:rPr>
          <w:lang/>
        </w:rPr>
        <w:t>20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"_Toc4173519"</w:instrText>
      </w:r>
      <w:r>
        <w:rPr>
          <w:rStyle w:val="11"/>
          <w:lang/>
        </w:rPr>
        <w:instrText xml:space="preserve"> </w:instrText>
      </w:r>
      <w:r>
        <w:rPr>
          <w:rStyle w:val="11"/>
          <w:lang/>
        </w:rPr>
        <w:fldChar w:fldCharType="separate"/>
      </w:r>
      <w:r>
        <w:rPr>
          <w:rStyle w:val="11"/>
          <w:b/>
          <w:bCs/>
          <w:lang/>
        </w:rPr>
        <w:t xml:space="preserve">7.3 </w:t>
      </w:r>
      <w:r>
        <w:rPr>
          <w:rStyle w:val="11"/>
          <w:rFonts w:hint="eastAsia"/>
          <w:b/>
          <w:bCs/>
          <w:lang/>
        </w:rPr>
        <w:t>所有者权益（基金净值）变动表</w:t>
      </w:r>
      <w:r>
        <w:rPr>
          <w:lang/>
        </w:rPr>
        <w:tab/>
      </w:r>
      <w:r>
        <w:rPr>
          <w:lang/>
        </w:rPr>
        <w:fldChar w:fldCharType="begin"/>
      </w:r>
      <w:r>
        <w:rPr>
          <w:lang/>
        </w:rPr>
        <w:instrText xml:space="preserve"> PAGEREF _Toc4173519 \h </w:instrText>
      </w:r>
      <w:r>
        <w:rPr>
          <w:lang/>
        </w:rPr>
        <w:fldChar w:fldCharType="separate"/>
      </w:r>
      <w:r>
        <w:rPr>
          <w:lang/>
        </w:rPr>
        <w:t>22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"_Toc4173520"</w:instrText>
      </w:r>
      <w:r>
        <w:rPr>
          <w:rStyle w:val="11"/>
          <w:lang/>
        </w:rPr>
        <w:instrText xml:space="preserve"> </w:instrText>
      </w:r>
      <w:r>
        <w:rPr>
          <w:rStyle w:val="11"/>
          <w:lang/>
        </w:rPr>
        <w:fldChar w:fldCharType="separate"/>
      </w:r>
      <w:r>
        <w:rPr>
          <w:rStyle w:val="11"/>
          <w:b/>
          <w:bCs/>
          <w:lang/>
        </w:rPr>
        <w:t xml:space="preserve">7.4 </w:t>
      </w:r>
      <w:r>
        <w:rPr>
          <w:rStyle w:val="11"/>
          <w:rFonts w:hint="eastAsia"/>
          <w:b/>
          <w:bCs/>
          <w:lang/>
        </w:rPr>
        <w:t>报表附注</w:t>
      </w:r>
      <w:r>
        <w:rPr>
          <w:lang/>
        </w:rPr>
        <w:tab/>
      </w:r>
      <w:r>
        <w:rPr>
          <w:lang/>
        </w:rPr>
        <w:fldChar w:fldCharType="begin"/>
      </w:r>
      <w:r>
        <w:rPr>
          <w:lang/>
        </w:rPr>
        <w:instrText xml:space="preserve"> PAGEREF _Toc4173520 \h </w:instrText>
      </w:r>
      <w:r>
        <w:rPr>
          <w:lang/>
        </w:rPr>
        <w:fldChar w:fldCharType="separate"/>
      </w:r>
      <w:r>
        <w:rPr>
          <w:lang/>
        </w:rPr>
        <w:t>23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"_Toc4173521"</w:instrText>
      </w:r>
      <w:r>
        <w:rPr>
          <w:rStyle w:val="11"/>
          <w:lang/>
        </w:rPr>
        <w:instrText xml:space="preserve"> </w:instrText>
      </w:r>
      <w:r>
        <w:rPr>
          <w:rStyle w:val="11"/>
          <w:lang/>
        </w:rPr>
        <w:fldChar w:fldCharType="separate"/>
      </w:r>
      <w:r>
        <w:rPr>
          <w:rStyle w:val="11"/>
          <w:b/>
          <w:lang/>
        </w:rPr>
        <w:t xml:space="preserve">§8 </w:t>
      </w:r>
      <w:r>
        <w:rPr>
          <w:rStyle w:val="11"/>
          <w:rFonts w:hint="eastAsia"/>
          <w:b/>
          <w:lang/>
        </w:rPr>
        <w:t>投资组合报告</w:t>
      </w:r>
      <w:r>
        <w:rPr>
          <w:lang/>
        </w:rPr>
        <w:tab/>
      </w:r>
      <w:r>
        <w:rPr>
          <w:lang/>
        </w:rPr>
        <w:fldChar w:fldCharType="begin"/>
      </w:r>
      <w:r>
        <w:rPr>
          <w:lang/>
        </w:rPr>
        <w:instrText xml:space="preserve"> PAGEREF _Toc4173521 \h </w:instrText>
      </w:r>
      <w:r>
        <w:rPr>
          <w:lang/>
        </w:rPr>
        <w:fldChar w:fldCharType="separate"/>
      </w:r>
      <w:r>
        <w:rPr>
          <w:lang/>
        </w:rPr>
        <w:t>49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"_Toc4173522"</w:instrText>
      </w:r>
      <w:r>
        <w:rPr>
          <w:rStyle w:val="11"/>
          <w:lang/>
        </w:rPr>
        <w:instrText xml:space="preserve"> </w:instrText>
      </w:r>
      <w:r>
        <w:rPr>
          <w:rStyle w:val="11"/>
          <w:lang/>
        </w:rPr>
        <w:fldChar w:fldCharType="separate"/>
      </w:r>
      <w:r>
        <w:rPr>
          <w:rStyle w:val="11"/>
          <w:b/>
          <w:bCs/>
          <w:lang/>
        </w:rPr>
        <w:t xml:space="preserve">8.1 </w:t>
      </w:r>
      <w:r>
        <w:rPr>
          <w:rStyle w:val="11"/>
          <w:rFonts w:hint="eastAsia"/>
          <w:b/>
          <w:bCs/>
          <w:lang/>
        </w:rPr>
        <w:t>期末基金资产组合情况</w:t>
      </w:r>
      <w:r>
        <w:rPr>
          <w:lang/>
        </w:rPr>
        <w:tab/>
      </w:r>
      <w:r>
        <w:rPr>
          <w:lang/>
        </w:rPr>
        <w:fldChar w:fldCharType="begin"/>
      </w:r>
      <w:r>
        <w:rPr>
          <w:lang/>
        </w:rPr>
        <w:instrText xml:space="preserve"> PAGEREF _Toc4173522 \h </w:instrText>
      </w:r>
      <w:r>
        <w:rPr>
          <w:lang/>
        </w:rPr>
        <w:fldChar w:fldCharType="separate"/>
      </w:r>
      <w:r>
        <w:rPr>
          <w:lang/>
        </w:rPr>
        <w:t>49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"_Toc4173523"</w:instrText>
      </w:r>
      <w:r>
        <w:rPr>
          <w:rStyle w:val="11"/>
          <w:lang/>
        </w:rPr>
        <w:instrText xml:space="preserve"> </w:instrText>
      </w:r>
      <w:r>
        <w:rPr>
          <w:rStyle w:val="11"/>
          <w:lang/>
        </w:rPr>
        <w:fldChar w:fldCharType="separate"/>
      </w:r>
      <w:r>
        <w:rPr>
          <w:rStyle w:val="11"/>
          <w:b/>
          <w:bCs/>
          <w:lang/>
        </w:rPr>
        <w:t xml:space="preserve">8.2 </w:t>
      </w:r>
      <w:r>
        <w:rPr>
          <w:rStyle w:val="11"/>
          <w:rFonts w:hint="eastAsia"/>
          <w:b/>
          <w:bCs/>
          <w:lang/>
        </w:rPr>
        <w:t>报告期末按行业分类的股票投资组合</w:t>
      </w:r>
      <w:r>
        <w:rPr>
          <w:lang/>
        </w:rPr>
        <w:tab/>
      </w:r>
      <w:r>
        <w:rPr>
          <w:lang/>
        </w:rPr>
        <w:fldChar w:fldCharType="begin"/>
      </w:r>
      <w:r>
        <w:rPr>
          <w:lang/>
        </w:rPr>
        <w:instrText xml:space="preserve"> PAGEREF _Toc4173523 \h </w:instrText>
      </w:r>
      <w:r>
        <w:rPr>
          <w:lang/>
        </w:rPr>
        <w:fldChar w:fldCharType="separate"/>
      </w:r>
      <w:r>
        <w:rPr>
          <w:lang/>
        </w:rPr>
        <w:t>49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"_Toc4173524"</w:instrText>
      </w:r>
      <w:r>
        <w:rPr>
          <w:rStyle w:val="11"/>
          <w:lang/>
        </w:rPr>
        <w:instrText xml:space="preserve"> </w:instrText>
      </w:r>
      <w:r>
        <w:rPr>
          <w:rStyle w:val="11"/>
          <w:lang/>
        </w:rPr>
        <w:fldChar w:fldCharType="separate"/>
      </w:r>
      <w:r>
        <w:rPr>
          <w:rStyle w:val="11"/>
          <w:b/>
          <w:bCs/>
          <w:lang/>
        </w:rPr>
        <w:t xml:space="preserve">8.3 </w:t>
      </w:r>
      <w:r>
        <w:rPr>
          <w:rStyle w:val="11"/>
          <w:rFonts w:hint="eastAsia"/>
          <w:b/>
          <w:bCs/>
          <w:lang/>
        </w:rPr>
        <w:t>期末按公允价值占基金资产净值比例大小排序的所有股票投资明细</w:t>
      </w:r>
      <w:r>
        <w:rPr>
          <w:lang/>
        </w:rPr>
        <w:tab/>
      </w:r>
      <w:r>
        <w:rPr>
          <w:lang/>
        </w:rPr>
        <w:fldChar w:fldCharType="begin"/>
      </w:r>
      <w:r>
        <w:rPr>
          <w:lang/>
        </w:rPr>
        <w:instrText xml:space="preserve"> PAGEREF _Toc4173524 \h </w:instrText>
      </w:r>
      <w:r>
        <w:rPr>
          <w:lang/>
        </w:rPr>
        <w:fldChar w:fldCharType="separate"/>
      </w:r>
      <w:r>
        <w:rPr>
          <w:lang/>
        </w:rPr>
        <w:t>50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"_Toc4173525"</w:instrText>
      </w:r>
      <w:r>
        <w:rPr>
          <w:rStyle w:val="11"/>
          <w:lang/>
        </w:rPr>
        <w:instrText xml:space="preserve"> </w:instrText>
      </w:r>
      <w:r>
        <w:rPr>
          <w:rStyle w:val="11"/>
          <w:lang/>
        </w:rPr>
        <w:fldChar w:fldCharType="separate"/>
      </w:r>
      <w:r>
        <w:rPr>
          <w:rStyle w:val="11"/>
          <w:b/>
          <w:bCs/>
          <w:lang/>
        </w:rPr>
        <w:t xml:space="preserve">8.4 </w:t>
      </w:r>
      <w:r>
        <w:rPr>
          <w:rStyle w:val="11"/>
          <w:rFonts w:hint="eastAsia"/>
          <w:b/>
          <w:bCs/>
          <w:lang/>
        </w:rPr>
        <w:t>报告期内股票投资组合的重大变动</w:t>
      </w:r>
      <w:r>
        <w:rPr>
          <w:lang/>
        </w:rPr>
        <w:tab/>
      </w:r>
      <w:r>
        <w:rPr>
          <w:lang/>
        </w:rPr>
        <w:fldChar w:fldCharType="begin"/>
      </w:r>
      <w:r>
        <w:rPr>
          <w:lang/>
        </w:rPr>
        <w:instrText xml:space="preserve"> PAGEREF _Toc4173525 \h </w:instrText>
      </w:r>
      <w:r>
        <w:rPr>
          <w:lang/>
        </w:rPr>
        <w:fldChar w:fldCharType="separate"/>
      </w:r>
      <w:r>
        <w:rPr>
          <w:lang/>
        </w:rPr>
        <w:t>52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"_Toc4173526"</w:instrText>
      </w:r>
      <w:r>
        <w:rPr>
          <w:rStyle w:val="11"/>
          <w:lang/>
        </w:rPr>
        <w:instrText xml:space="preserve"> </w:instrText>
      </w:r>
      <w:r>
        <w:rPr>
          <w:rStyle w:val="11"/>
          <w:lang/>
        </w:rPr>
        <w:fldChar w:fldCharType="separate"/>
      </w:r>
      <w:r>
        <w:rPr>
          <w:rStyle w:val="11"/>
          <w:b/>
          <w:bCs/>
          <w:lang/>
        </w:rPr>
        <w:t xml:space="preserve">8.5 </w:t>
      </w:r>
      <w:r>
        <w:rPr>
          <w:rStyle w:val="11"/>
          <w:rFonts w:hint="eastAsia"/>
          <w:b/>
          <w:bCs/>
          <w:lang/>
        </w:rPr>
        <w:t>期末按债券品种分类的债券投资组合</w:t>
      </w:r>
      <w:r>
        <w:rPr>
          <w:lang/>
        </w:rPr>
        <w:tab/>
      </w:r>
      <w:r>
        <w:rPr>
          <w:lang/>
        </w:rPr>
        <w:fldChar w:fldCharType="begin"/>
      </w:r>
      <w:r>
        <w:rPr>
          <w:lang/>
        </w:rPr>
        <w:instrText xml:space="preserve"> PAGEREF _Toc4173526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"_Toc4173527"</w:instrText>
      </w:r>
      <w:r>
        <w:rPr>
          <w:rStyle w:val="11"/>
          <w:lang/>
        </w:rPr>
        <w:instrText xml:space="preserve"> </w:instrText>
      </w:r>
      <w:r>
        <w:rPr>
          <w:rStyle w:val="11"/>
          <w:lang/>
        </w:rPr>
        <w:fldChar w:fldCharType="separate"/>
      </w:r>
      <w:r>
        <w:rPr>
          <w:rStyle w:val="11"/>
          <w:b/>
          <w:bCs/>
          <w:lang/>
        </w:rPr>
        <w:t xml:space="preserve">8.6 </w:t>
      </w:r>
      <w:r>
        <w:rPr>
          <w:rStyle w:val="11"/>
          <w:rFonts w:hint="eastAsia"/>
          <w:b/>
          <w:bCs/>
          <w:lang/>
        </w:rPr>
        <w:t>期末按公允价值占基金资产净值比例大小排序的前五名债券投资明细</w:t>
      </w:r>
      <w:r>
        <w:rPr>
          <w:lang/>
        </w:rPr>
        <w:tab/>
      </w:r>
      <w:r>
        <w:rPr>
          <w:lang/>
        </w:rPr>
        <w:fldChar w:fldCharType="begin"/>
      </w:r>
      <w:r>
        <w:rPr>
          <w:lang/>
        </w:rPr>
        <w:instrText xml:space="preserve"> PAGEREF _Toc4173527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"_Toc4173528"</w:instrText>
      </w:r>
      <w:r>
        <w:rPr>
          <w:rStyle w:val="11"/>
          <w:lang/>
        </w:rPr>
        <w:instrText xml:space="preserve"> </w:instrText>
      </w:r>
      <w:r>
        <w:rPr>
          <w:rStyle w:val="11"/>
          <w:lang/>
        </w:rPr>
        <w:fldChar w:fldCharType="separate"/>
      </w:r>
      <w:r>
        <w:rPr>
          <w:rStyle w:val="11"/>
          <w:b/>
          <w:bCs/>
          <w:lang/>
        </w:rPr>
        <w:t xml:space="preserve">8.7 </w:t>
      </w:r>
      <w:r>
        <w:rPr>
          <w:rStyle w:val="11"/>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_Toc4173528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"_Toc4173529"</w:instrText>
      </w:r>
      <w:r>
        <w:rPr>
          <w:rStyle w:val="11"/>
          <w:lang/>
        </w:rPr>
        <w:instrText xml:space="preserve"> </w:instrText>
      </w:r>
      <w:r>
        <w:rPr>
          <w:rStyle w:val="11"/>
          <w:lang/>
        </w:rPr>
        <w:fldChar w:fldCharType="separate"/>
      </w:r>
      <w:r>
        <w:rPr>
          <w:rStyle w:val="11"/>
          <w:b/>
          <w:bCs/>
          <w:lang/>
        </w:rPr>
        <w:t xml:space="preserve">8.8 </w:t>
      </w:r>
      <w:r>
        <w:rPr>
          <w:rStyle w:val="11"/>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_Toc4173529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"_Toc4173530"</w:instrText>
      </w:r>
      <w:r>
        <w:rPr>
          <w:rStyle w:val="11"/>
          <w:lang/>
        </w:rPr>
        <w:instrText xml:space="preserve"> </w:instrText>
      </w:r>
      <w:r>
        <w:rPr>
          <w:rStyle w:val="11"/>
          <w:lang/>
        </w:rPr>
        <w:fldChar w:fldCharType="separate"/>
      </w:r>
      <w:r>
        <w:rPr>
          <w:rStyle w:val="11"/>
          <w:b/>
          <w:bCs/>
          <w:lang/>
        </w:rPr>
        <w:t xml:space="preserve">8.9 </w:t>
      </w:r>
      <w:r>
        <w:rPr>
          <w:rStyle w:val="11"/>
          <w:rFonts w:hint="eastAsia"/>
          <w:b/>
          <w:bCs/>
          <w:lang/>
        </w:rPr>
        <w:t>期末按公允价值占基金资产净值比例大小排序的前五名权证投资明细</w:t>
      </w:r>
      <w:r>
        <w:rPr>
          <w:lang/>
        </w:rPr>
        <w:tab/>
      </w:r>
      <w:r>
        <w:rPr>
          <w:lang/>
        </w:rPr>
        <w:fldChar w:fldCharType="begin"/>
      </w:r>
      <w:r>
        <w:rPr>
          <w:lang/>
        </w:rPr>
        <w:instrText xml:space="preserve"> PAGEREF _Toc4173530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"_Toc4173531"</w:instrText>
      </w:r>
      <w:r>
        <w:rPr>
          <w:rStyle w:val="11"/>
          <w:lang/>
        </w:rPr>
        <w:instrText xml:space="preserve"> </w:instrText>
      </w:r>
      <w:r>
        <w:rPr>
          <w:rStyle w:val="11"/>
          <w:lang/>
        </w:rPr>
        <w:fldChar w:fldCharType="separate"/>
      </w:r>
      <w:r>
        <w:rPr>
          <w:rStyle w:val="11"/>
          <w:b/>
          <w:bCs/>
          <w:lang/>
        </w:rPr>
        <w:t xml:space="preserve">8.10 </w:t>
      </w:r>
      <w:r>
        <w:rPr>
          <w:rStyle w:val="11"/>
          <w:rFonts w:hint="eastAsia"/>
          <w:b/>
          <w:bCs/>
          <w:lang/>
        </w:rPr>
        <w:t>报告期末本基金投资的股指期货交易情况说明</w:t>
      </w:r>
      <w:r>
        <w:rPr>
          <w:lang/>
        </w:rPr>
        <w:tab/>
      </w:r>
      <w:r>
        <w:rPr>
          <w:lang/>
        </w:rPr>
        <w:fldChar w:fldCharType="begin"/>
      </w:r>
      <w:r>
        <w:rPr>
          <w:lang/>
        </w:rPr>
        <w:instrText xml:space="preserve"> PAGEREF _Toc4173531 \h </w:instrText>
      </w:r>
      <w:r>
        <w:rPr>
          <w:lang/>
        </w:rPr>
        <w:fldChar w:fldCharType="separate"/>
      </w:r>
      <w:r>
        <w:rPr>
          <w:lang/>
        </w:rPr>
        <w:t>56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"_Toc4173532"</w:instrText>
      </w:r>
      <w:r>
        <w:rPr>
          <w:rStyle w:val="11"/>
          <w:lang/>
        </w:rPr>
        <w:instrText xml:space="preserve"> </w:instrText>
      </w:r>
      <w:r>
        <w:rPr>
          <w:rStyle w:val="11"/>
          <w:lang/>
        </w:rPr>
        <w:fldChar w:fldCharType="separate"/>
      </w:r>
      <w:r>
        <w:rPr>
          <w:rStyle w:val="11"/>
          <w:b/>
          <w:bCs/>
          <w:lang/>
        </w:rPr>
        <w:t xml:space="preserve">8.11 </w:t>
      </w:r>
      <w:r>
        <w:rPr>
          <w:rStyle w:val="11"/>
          <w:rFonts w:hint="eastAsia"/>
          <w:b/>
          <w:bCs/>
          <w:lang/>
        </w:rPr>
        <w:t>报告期末本基金投资的国债期货交易情况说明</w:t>
      </w:r>
      <w:r>
        <w:rPr>
          <w:lang/>
        </w:rPr>
        <w:tab/>
      </w:r>
      <w:r>
        <w:rPr>
          <w:lang/>
        </w:rPr>
        <w:fldChar w:fldCharType="begin"/>
      </w:r>
      <w:r>
        <w:rPr>
          <w:lang/>
        </w:rPr>
        <w:instrText xml:space="preserve"> PAGEREF _Toc4173532 \h </w:instrText>
      </w:r>
      <w:r>
        <w:rPr>
          <w:lang/>
        </w:rPr>
        <w:fldChar w:fldCharType="separate"/>
      </w:r>
      <w:r>
        <w:rPr>
          <w:lang/>
        </w:rPr>
        <w:t>56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"_Toc4173533"</w:instrText>
      </w:r>
      <w:r>
        <w:rPr>
          <w:rStyle w:val="11"/>
          <w:lang/>
        </w:rPr>
        <w:instrText xml:space="preserve"> </w:instrText>
      </w:r>
      <w:r>
        <w:rPr>
          <w:rStyle w:val="11"/>
          <w:lang/>
        </w:rPr>
        <w:fldChar w:fldCharType="separate"/>
      </w:r>
      <w:r>
        <w:rPr>
          <w:rStyle w:val="11"/>
          <w:b/>
          <w:bCs/>
          <w:lang/>
        </w:rPr>
        <w:t xml:space="preserve">8.12 </w:t>
      </w:r>
      <w:r>
        <w:rPr>
          <w:rStyle w:val="11"/>
          <w:rFonts w:hint="eastAsia"/>
          <w:b/>
          <w:bCs/>
          <w:lang/>
        </w:rPr>
        <w:t>投资组合报告附注</w:t>
      </w:r>
      <w:r>
        <w:rPr>
          <w:lang/>
        </w:rPr>
        <w:tab/>
      </w:r>
      <w:r>
        <w:rPr>
          <w:lang/>
        </w:rPr>
        <w:fldChar w:fldCharType="begin"/>
      </w:r>
      <w:r>
        <w:rPr>
          <w:lang/>
        </w:rPr>
        <w:instrText xml:space="preserve"> PAGEREF _Toc4173533 \h </w:instrText>
      </w:r>
      <w:r>
        <w:rPr>
          <w:lang/>
        </w:rPr>
        <w:fldChar w:fldCharType="separate"/>
      </w:r>
      <w:r>
        <w:rPr>
          <w:lang/>
        </w:rPr>
        <w:t>56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"_Toc4173534"</w:instrText>
      </w:r>
      <w:r>
        <w:rPr>
          <w:rStyle w:val="11"/>
          <w:lang/>
        </w:rPr>
        <w:instrText xml:space="preserve"> </w:instrText>
      </w:r>
      <w:r>
        <w:rPr>
          <w:rStyle w:val="11"/>
          <w:lang/>
        </w:rPr>
        <w:fldChar w:fldCharType="separate"/>
      </w:r>
      <w:r>
        <w:rPr>
          <w:rStyle w:val="11"/>
          <w:b/>
          <w:lang/>
        </w:rPr>
        <w:t xml:space="preserve">§9  </w:t>
      </w:r>
      <w:r>
        <w:rPr>
          <w:rStyle w:val="11"/>
          <w:rFonts w:hint="eastAsia"/>
          <w:b/>
          <w:lang/>
        </w:rPr>
        <w:t>基金份额持有人信息</w:t>
      </w:r>
      <w:r>
        <w:rPr>
          <w:lang/>
        </w:rPr>
        <w:tab/>
      </w:r>
      <w:r>
        <w:rPr>
          <w:lang/>
        </w:rPr>
        <w:fldChar w:fldCharType="begin"/>
      </w:r>
      <w:r>
        <w:rPr>
          <w:lang/>
        </w:rPr>
        <w:instrText xml:space="preserve"> PAGEREF _Toc4173534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"_Toc4173535"</w:instrText>
      </w:r>
      <w:r>
        <w:rPr>
          <w:rStyle w:val="11"/>
          <w:lang/>
        </w:rPr>
        <w:instrText xml:space="preserve"> </w:instrText>
      </w:r>
      <w:r>
        <w:rPr>
          <w:rStyle w:val="11"/>
          <w:lang/>
        </w:rPr>
        <w:fldChar w:fldCharType="separate"/>
      </w:r>
      <w:r>
        <w:rPr>
          <w:rStyle w:val="11"/>
          <w:b/>
          <w:bCs/>
          <w:lang/>
        </w:rPr>
        <w:t xml:space="preserve">9.1 </w:t>
      </w:r>
      <w:r>
        <w:rPr>
          <w:rStyle w:val="11"/>
          <w:rFonts w:hint="eastAsia"/>
          <w:b/>
          <w:bCs/>
          <w:lang/>
        </w:rPr>
        <w:t>期末基金份额持有人户数及持有人结构</w:t>
      </w:r>
      <w:r>
        <w:rPr>
          <w:lang/>
        </w:rPr>
        <w:tab/>
      </w:r>
      <w:r>
        <w:rPr>
          <w:lang/>
        </w:rPr>
        <w:fldChar w:fldCharType="begin"/>
      </w:r>
      <w:r>
        <w:rPr>
          <w:lang/>
        </w:rPr>
        <w:instrText xml:space="preserve"> PAGEREF _Toc4173535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"_Toc4173536"</w:instrText>
      </w:r>
      <w:r>
        <w:rPr>
          <w:rStyle w:val="11"/>
          <w:lang/>
        </w:rPr>
        <w:instrText xml:space="preserve"> </w:instrText>
      </w:r>
      <w:r>
        <w:rPr>
          <w:rStyle w:val="11"/>
          <w:lang/>
        </w:rPr>
        <w:fldChar w:fldCharType="separate"/>
      </w:r>
      <w:r>
        <w:rPr>
          <w:rStyle w:val="11"/>
          <w:b/>
          <w:lang/>
        </w:rPr>
        <w:t xml:space="preserve">9.2 </w:t>
      </w:r>
      <w:r>
        <w:rPr>
          <w:rStyle w:val="11"/>
          <w:rFonts w:hint="eastAsia"/>
          <w:b/>
          <w:lang/>
        </w:rPr>
        <w:t>期末基金管理人的从业人员持有本基金的情况</w:t>
      </w:r>
      <w:r>
        <w:rPr>
          <w:lang/>
        </w:rPr>
        <w:tab/>
      </w:r>
      <w:r>
        <w:rPr>
          <w:lang/>
        </w:rPr>
        <w:fldChar w:fldCharType="begin"/>
      </w:r>
      <w:r>
        <w:rPr>
          <w:lang/>
        </w:rPr>
        <w:instrText xml:space="preserve"> PAGEREF _Toc4173536 \h </w:instrText>
      </w:r>
      <w:r>
        <w:rPr>
          <w:lang/>
        </w:rPr>
        <w:fldChar w:fldCharType="separate"/>
      </w:r>
      <w:r>
        <w:rPr>
          <w:lang/>
        </w:rPr>
        <w:t>58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"_Toc4173537"</w:instrText>
      </w:r>
      <w:r>
        <w:rPr>
          <w:rStyle w:val="11"/>
          <w:lang/>
        </w:rPr>
        <w:instrText xml:space="preserve"> </w:instrText>
      </w:r>
      <w:r>
        <w:rPr>
          <w:rStyle w:val="11"/>
          <w:lang/>
        </w:rPr>
        <w:fldChar w:fldCharType="separate"/>
      </w:r>
      <w:r>
        <w:rPr>
          <w:rStyle w:val="11"/>
          <w:b/>
          <w:bCs/>
          <w:lang/>
        </w:rPr>
        <w:t xml:space="preserve">9.3 </w:t>
      </w:r>
      <w:r>
        <w:rPr>
          <w:rStyle w:val="11"/>
          <w:rFonts w:hint="eastAsia"/>
          <w:b/>
          <w:bCs/>
          <w:lang/>
        </w:rPr>
        <w:t>期末基金管理人的从业人员持有本开放式基金份额总量区间情况</w:t>
      </w:r>
      <w:r>
        <w:rPr>
          <w:lang/>
        </w:rPr>
        <w:tab/>
      </w:r>
      <w:r>
        <w:rPr>
          <w:lang/>
        </w:rPr>
        <w:fldChar w:fldCharType="begin"/>
      </w:r>
      <w:r>
        <w:rPr>
          <w:lang/>
        </w:rPr>
        <w:instrText xml:space="preserve"> PAGEREF _Toc4173537 \h </w:instrText>
      </w:r>
      <w:r>
        <w:rPr>
          <w:lang/>
        </w:rPr>
        <w:fldChar w:fldCharType="separate"/>
      </w:r>
      <w:r>
        <w:rPr>
          <w:lang/>
        </w:rPr>
        <w:t>58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"_Toc4173538"</w:instrText>
      </w:r>
      <w:r>
        <w:rPr>
          <w:rStyle w:val="11"/>
          <w:lang/>
        </w:rPr>
        <w:instrText xml:space="preserve"> </w:instrText>
      </w:r>
      <w:r>
        <w:rPr>
          <w:rStyle w:val="11"/>
          <w:lang/>
        </w:rPr>
        <w:fldChar w:fldCharType="separate"/>
      </w:r>
      <w:r>
        <w:rPr>
          <w:rStyle w:val="11"/>
          <w:b/>
          <w:bCs/>
          <w:lang/>
        </w:rPr>
        <w:t>9.4</w:t>
      </w:r>
      <w:r>
        <w:rPr>
          <w:rStyle w:val="11"/>
          <w:rFonts w:hint="eastAsia"/>
          <w:b/>
          <w:bCs/>
          <w:lang/>
        </w:rPr>
        <w:t>发起式基金发起资金持有份额情况</w:t>
      </w:r>
      <w:r>
        <w:rPr>
          <w:lang/>
        </w:rPr>
        <w:tab/>
      </w:r>
      <w:r>
        <w:rPr>
          <w:lang/>
        </w:rPr>
        <w:fldChar w:fldCharType="begin"/>
      </w:r>
      <w:r>
        <w:rPr>
          <w:lang/>
        </w:rPr>
        <w:instrText xml:space="preserve"> PAGEREF _Toc4173538 \h </w:instrText>
      </w:r>
      <w:r>
        <w:rPr>
          <w:lang/>
        </w:rPr>
        <w:fldChar w:fldCharType="separate"/>
      </w:r>
      <w:r>
        <w:rPr>
          <w:lang/>
        </w:rPr>
        <w:t>58</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"_Toc4173539"</w:instrText>
      </w:r>
      <w:r>
        <w:rPr>
          <w:rStyle w:val="11"/>
          <w:lang/>
        </w:rPr>
        <w:instrText xml:space="preserve"> </w:instrText>
      </w:r>
      <w:r>
        <w:rPr>
          <w:rStyle w:val="11"/>
          <w:lang/>
        </w:rPr>
        <w:fldChar w:fldCharType="separate"/>
      </w:r>
      <w:r>
        <w:rPr>
          <w:rStyle w:val="11"/>
          <w:b/>
          <w:lang/>
        </w:rPr>
        <w:t xml:space="preserve">§10  </w:t>
      </w:r>
      <w:r>
        <w:rPr>
          <w:rStyle w:val="11"/>
          <w:rFonts w:hint="eastAsia"/>
          <w:b/>
          <w:lang/>
        </w:rPr>
        <w:t>开放式基金份额变动</w:t>
      </w:r>
      <w:r>
        <w:rPr>
          <w:lang/>
        </w:rPr>
        <w:tab/>
      </w:r>
      <w:r>
        <w:rPr>
          <w:lang/>
        </w:rPr>
        <w:fldChar w:fldCharType="begin"/>
      </w:r>
      <w:r>
        <w:rPr>
          <w:lang/>
        </w:rPr>
        <w:instrText xml:space="preserve"> PAGEREF _Toc4173539 \h </w:instrText>
      </w:r>
      <w:r>
        <w:rPr>
          <w:lang/>
        </w:rPr>
        <w:fldChar w:fldCharType="separate"/>
      </w:r>
      <w:r>
        <w:rPr>
          <w:lang/>
        </w:rPr>
        <w:t>59</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"_Toc4173540"</w:instrText>
      </w:r>
      <w:r>
        <w:rPr>
          <w:rStyle w:val="11"/>
          <w:lang/>
        </w:rPr>
        <w:instrText xml:space="preserve"> </w:instrText>
      </w:r>
      <w:r>
        <w:rPr>
          <w:rStyle w:val="11"/>
          <w:lang/>
        </w:rPr>
        <w:fldChar w:fldCharType="separate"/>
      </w:r>
      <w:r>
        <w:rPr>
          <w:rStyle w:val="11"/>
          <w:b/>
          <w:lang/>
        </w:rPr>
        <w:t xml:space="preserve">§11  </w:t>
      </w:r>
      <w:r>
        <w:rPr>
          <w:rStyle w:val="11"/>
          <w:rFonts w:hint="eastAsia"/>
          <w:b/>
          <w:lang/>
        </w:rPr>
        <w:t>重大事件揭示</w:t>
      </w:r>
      <w:r>
        <w:rPr>
          <w:lang/>
        </w:rPr>
        <w:tab/>
      </w:r>
      <w:r>
        <w:rPr>
          <w:lang/>
        </w:rPr>
        <w:fldChar w:fldCharType="begin"/>
      </w:r>
      <w:r>
        <w:rPr>
          <w:lang/>
        </w:rPr>
        <w:instrText xml:space="preserve"> PAGEREF _Toc4173540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"_Toc4173541"</w:instrText>
      </w:r>
      <w:r>
        <w:rPr>
          <w:rStyle w:val="11"/>
          <w:lang/>
        </w:rPr>
        <w:instrText xml:space="preserve"> </w:instrText>
      </w:r>
      <w:r>
        <w:rPr>
          <w:rStyle w:val="11"/>
          <w:lang/>
        </w:rPr>
        <w:fldChar w:fldCharType="separate"/>
      </w:r>
      <w:r>
        <w:rPr>
          <w:rStyle w:val="11"/>
          <w:b/>
          <w:bCs/>
          <w:lang/>
        </w:rPr>
        <w:t xml:space="preserve">11.1 </w:t>
      </w:r>
      <w:r>
        <w:rPr>
          <w:rStyle w:val="11"/>
          <w:rFonts w:hint="eastAsia"/>
          <w:b/>
          <w:bCs/>
          <w:lang/>
        </w:rPr>
        <w:t>基金份额持有人大会决议</w:t>
      </w:r>
      <w:r>
        <w:rPr>
          <w:lang/>
        </w:rPr>
        <w:tab/>
      </w:r>
      <w:r>
        <w:rPr>
          <w:lang/>
        </w:rPr>
        <w:fldChar w:fldCharType="begin"/>
      </w:r>
      <w:r>
        <w:rPr>
          <w:lang/>
        </w:rPr>
        <w:instrText xml:space="preserve"> PAGEREF _Toc4173541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"_Toc4173542"</w:instrText>
      </w:r>
      <w:r>
        <w:rPr>
          <w:rStyle w:val="11"/>
          <w:lang/>
        </w:rPr>
        <w:instrText xml:space="preserve"> </w:instrText>
      </w:r>
      <w:r>
        <w:rPr>
          <w:rStyle w:val="11"/>
          <w:lang/>
        </w:rPr>
        <w:fldChar w:fldCharType="separate"/>
      </w:r>
      <w:r>
        <w:rPr>
          <w:rStyle w:val="11"/>
          <w:b/>
          <w:bCs/>
          <w:lang/>
        </w:rPr>
        <w:t xml:space="preserve">11.2 </w:t>
      </w:r>
      <w:r>
        <w:rPr>
          <w:rStyle w:val="11"/>
          <w:rFonts w:hint="eastAsia"/>
          <w:b/>
          <w:bCs/>
          <w:lang/>
        </w:rPr>
        <w:t>基金管理人、基金托管人的专门基金托管部门的重大人事变动</w:t>
      </w:r>
      <w:r>
        <w:rPr>
          <w:lang/>
        </w:rPr>
        <w:tab/>
      </w:r>
      <w:r>
        <w:rPr>
          <w:lang/>
        </w:rPr>
        <w:fldChar w:fldCharType="begin"/>
      </w:r>
      <w:r>
        <w:rPr>
          <w:lang/>
        </w:rPr>
        <w:instrText xml:space="preserve"> PAGEREF _Toc4173542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"_Toc4173543"</w:instrText>
      </w:r>
      <w:r>
        <w:rPr>
          <w:rStyle w:val="11"/>
          <w:lang/>
        </w:rPr>
        <w:instrText xml:space="preserve"> </w:instrText>
      </w:r>
      <w:r>
        <w:rPr>
          <w:rStyle w:val="11"/>
          <w:lang/>
        </w:rPr>
        <w:fldChar w:fldCharType="separate"/>
      </w:r>
      <w:r>
        <w:rPr>
          <w:rStyle w:val="11"/>
          <w:b/>
          <w:bCs/>
          <w:lang/>
        </w:rPr>
        <w:t xml:space="preserve">11.3 </w:t>
      </w:r>
      <w:r>
        <w:rPr>
          <w:rStyle w:val="11"/>
          <w:rFonts w:hint="eastAsia"/>
          <w:b/>
          <w:bCs/>
          <w:lang/>
        </w:rPr>
        <w:t>涉及基金管理人、基金财产、基金托管业务的诉讼</w:t>
      </w:r>
      <w:r>
        <w:rPr>
          <w:lang/>
        </w:rPr>
        <w:tab/>
      </w:r>
      <w:r>
        <w:rPr>
          <w:lang/>
        </w:rPr>
        <w:fldChar w:fldCharType="begin"/>
      </w:r>
      <w:r>
        <w:rPr>
          <w:lang/>
        </w:rPr>
        <w:instrText xml:space="preserve"> PAGEREF _Toc4173543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"_Toc4173544"</w:instrText>
      </w:r>
      <w:r>
        <w:rPr>
          <w:rStyle w:val="11"/>
          <w:lang/>
        </w:rPr>
        <w:instrText xml:space="preserve"> </w:instrText>
      </w:r>
      <w:r>
        <w:rPr>
          <w:rStyle w:val="11"/>
          <w:lang/>
        </w:rPr>
        <w:fldChar w:fldCharType="separate"/>
      </w:r>
      <w:r>
        <w:rPr>
          <w:rStyle w:val="11"/>
          <w:b/>
          <w:bCs/>
          <w:lang/>
        </w:rPr>
        <w:t xml:space="preserve">11.4 </w:t>
      </w:r>
      <w:r>
        <w:rPr>
          <w:rStyle w:val="11"/>
          <w:rFonts w:hint="eastAsia"/>
          <w:b/>
          <w:bCs/>
          <w:lang/>
        </w:rPr>
        <w:t>基金投资策略的改变</w:t>
      </w:r>
      <w:r>
        <w:rPr>
          <w:lang/>
        </w:rPr>
        <w:tab/>
      </w:r>
      <w:r>
        <w:rPr>
          <w:lang/>
        </w:rPr>
        <w:fldChar w:fldCharType="begin"/>
      </w:r>
      <w:r>
        <w:rPr>
          <w:lang/>
        </w:rPr>
        <w:instrText xml:space="preserve"> PAGEREF _Toc4173544 \h </w:instrText>
      </w:r>
      <w:r>
        <w:rPr>
          <w:lang/>
        </w:rPr>
        <w:fldChar w:fldCharType="separate"/>
      </w:r>
      <w:r>
        <w:rPr>
          <w:lang/>
        </w:rPr>
        <w:t>60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"_Toc4173545"</w:instrText>
      </w:r>
      <w:r>
        <w:rPr>
          <w:rStyle w:val="11"/>
          <w:lang/>
        </w:rPr>
        <w:instrText xml:space="preserve"> </w:instrText>
      </w:r>
      <w:r>
        <w:rPr>
          <w:rStyle w:val="11"/>
          <w:lang/>
        </w:rPr>
        <w:fldChar w:fldCharType="separate"/>
      </w:r>
      <w:r>
        <w:rPr>
          <w:rStyle w:val="11"/>
          <w:b/>
          <w:bCs/>
          <w:lang/>
        </w:rPr>
        <w:t xml:space="preserve">11.5 </w:t>
      </w:r>
      <w:r>
        <w:rPr>
          <w:rStyle w:val="11"/>
          <w:rFonts w:hint="eastAsia"/>
          <w:b/>
          <w:bCs/>
          <w:lang/>
        </w:rPr>
        <w:t>为基金进行审计的会计师事务所情况</w:t>
      </w:r>
      <w:r>
        <w:rPr>
          <w:lang/>
        </w:rPr>
        <w:tab/>
      </w:r>
      <w:r>
        <w:rPr>
          <w:lang/>
        </w:rPr>
        <w:fldChar w:fldCharType="begin"/>
      </w:r>
      <w:r>
        <w:rPr>
          <w:lang/>
        </w:rPr>
        <w:instrText xml:space="preserve"> PAGEREF _Toc4173545 \h </w:instrText>
      </w:r>
      <w:r>
        <w:rPr>
          <w:lang/>
        </w:rPr>
        <w:fldChar w:fldCharType="separate"/>
      </w:r>
      <w:r>
        <w:rPr>
          <w:lang/>
        </w:rPr>
        <w:t>60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"_Toc4173546"</w:instrText>
      </w:r>
      <w:r>
        <w:rPr>
          <w:rStyle w:val="11"/>
          <w:lang/>
        </w:rPr>
        <w:instrText xml:space="preserve"> </w:instrText>
      </w:r>
      <w:r>
        <w:rPr>
          <w:rStyle w:val="11"/>
          <w:lang/>
        </w:rPr>
        <w:fldChar w:fldCharType="separate"/>
      </w:r>
      <w:r>
        <w:rPr>
          <w:rStyle w:val="11"/>
          <w:b/>
          <w:bCs/>
          <w:lang/>
        </w:rPr>
        <w:t xml:space="preserve">11.6 </w:t>
      </w:r>
      <w:r>
        <w:rPr>
          <w:rStyle w:val="11"/>
          <w:rFonts w:hint="eastAsia"/>
          <w:b/>
          <w:bCs/>
          <w:lang/>
        </w:rPr>
        <w:t>管理人、托管人及其高级管理人员受稽查或处罚等情况</w:t>
      </w:r>
      <w:r>
        <w:rPr>
          <w:lang/>
        </w:rPr>
        <w:tab/>
      </w:r>
      <w:r>
        <w:rPr>
          <w:lang/>
        </w:rPr>
        <w:fldChar w:fldCharType="begin"/>
      </w:r>
      <w:r>
        <w:rPr>
          <w:lang/>
        </w:rPr>
        <w:instrText xml:space="preserve"> PAGEREF _Toc4173546 \h </w:instrText>
      </w:r>
      <w:r>
        <w:rPr>
          <w:lang/>
        </w:rPr>
        <w:fldChar w:fldCharType="separate"/>
      </w:r>
      <w:r>
        <w:rPr>
          <w:lang/>
        </w:rPr>
        <w:t>60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"_Toc4173547"</w:instrText>
      </w:r>
      <w:r>
        <w:rPr>
          <w:rStyle w:val="11"/>
          <w:lang/>
        </w:rPr>
        <w:instrText xml:space="preserve"> </w:instrText>
      </w:r>
      <w:r>
        <w:rPr>
          <w:rStyle w:val="11"/>
          <w:lang/>
        </w:rPr>
        <w:fldChar w:fldCharType="separate"/>
      </w:r>
      <w:r>
        <w:rPr>
          <w:rStyle w:val="11"/>
          <w:b/>
          <w:bCs/>
          <w:lang/>
        </w:rPr>
        <w:t xml:space="preserve">11.7 </w:t>
      </w:r>
      <w:r>
        <w:rPr>
          <w:rStyle w:val="11"/>
          <w:rFonts w:hint="eastAsia"/>
          <w:b/>
          <w:bCs/>
          <w:lang/>
        </w:rPr>
        <w:t>基金租用证券公司交易单元的有关情况</w:t>
      </w:r>
      <w:r>
        <w:rPr>
          <w:lang/>
        </w:rPr>
        <w:tab/>
      </w:r>
      <w:r>
        <w:rPr>
          <w:lang/>
        </w:rPr>
        <w:fldChar w:fldCharType="begin"/>
      </w:r>
      <w:r>
        <w:rPr>
          <w:lang/>
        </w:rPr>
        <w:instrText xml:space="preserve"> PAGEREF _Toc4173547 \h </w:instrText>
      </w:r>
      <w:r>
        <w:rPr>
          <w:lang/>
        </w:rPr>
        <w:fldChar w:fldCharType="separate"/>
      </w:r>
      <w:r>
        <w:rPr>
          <w:lang/>
        </w:rPr>
        <w:t>60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"_Toc4173548"</w:instrText>
      </w:r>
      <w:r>
        <w:rPr>
          <w:rStyle w:val="11"/>
          <w:lang/>
        </w:rPr>
        <w:instrText xml:space="preserve"> </w:instrText>
      </w:r>
      <w:r>
        <w:rPr>
          <w:rStyle w:val="11"/>
          <w:lang/>
        </w:rPr>
        <w:fldChar w:fldCharType="separate"/>
      </w:r>
      <w:r>
        <w:rPr>
          <w:rStyle w:val="11"/>
          <w:b/>
          <w:bCs/>
          <w:lang/>
        </w:rPr>
        <w:t xml:space="preserve">11.8 </w:t>
      </w:r>
      <w:r>
        <w:rPr>
          <w:rStyle w:val="11"/>
          <w:rFonts w:hint="eastAsia"/>
          <w:b/>
          <w:bCs/>
          <w:lang/>
        </w:rPr>
        <w:t>其他重大事件</w:t>
      </w:r>
      <w:r>
        <w:rPr>
          <w:lang/>
        </w:rPr>
        <w:tab/>
      </w:r>
      <w:r>
        <w:rPr>
          <w:lang/>
        </w:rPr>
        <w:fldChar w:fldCharType="begin"/>
      </w:r>
      <w:r>
        <w:rPr>
          <w:lang/>
        </w:rPr>
        <w:instrText xml:space="preserve"> PAGEREF _Toc4173548 \h </w:instrText>
      </w:r>
      <w:r>
        <w:rPr>
          <w:lang/>
        </w:rPr>
        <w:fldChar w:fldCharType="separate"/>
      </w:r>
      <w:r>
        <w:rPr>
          <w:lang/>
        </w:rPr>
        <w:t>62</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"_Toc4173549"</w:instrText>
      </w:r>
      <w:r>
        <w:rPr>
          <w:rStyle w:val="11"/>
          <w:lang/>
        </w:rPr>
        <w:instrText xml:space="preserve"> </w:instrText>
      </w:r>
      <w:r>
        <w:rPr>
          <w:rStyle w:val="11"/>
          <w:lang/>
        </w:rPr>
        <w:fldChar w:fldCharType="separate"/>
      </w:r>
      <w:r>
        <w:rPr>
          <w:rStyle w:val="11"/>
          <w:b/>
          <w:lang/>
        </w:rPr>
        <w:t xml:space="preserve">§12  </w:t>
      </w:r>
      <w:r>
        <w:rPr>
          <w:rStyle w:val="11"/>
          <w:rFonts w:hint="eastAsia"/>
          <w:b/>
          <w:lang/>
        </w:rPr>
        <w:t>影响投资者决策的其他重要信息</w:t>
      </w:r>
      <w:r>
        <w:rPr>
          <w:lang/>
        </w:rPr>
        <w:tab/>
      </w:r>
      <w:r>
        <w:rPr>
          <w:lang/>
        </w:rPr>
        <w:fldChar w:fldCharType="begin"/>
      </w:r>
      <w:r>
        <w:rPr>
          <w:lang/>
        </w:rPr>
        <w:instrText xml:space="preserve"> PAGEREF _Toc4173549 \h </w:instrText>
      </w:r>
      <w:r>
        <w:rPr>
          <w:lang/>
        </w:rPr>
        <w:fldChar w:fldCharType="separate"/>
      </w:r>
      <w:r>
        <w:rPr>
          <w:lang/>
        </w:rPr>
        <w:t>64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"_Toc4173550"</w:instrText>
      </w:r>
      <w:r>
        <w:rPr>
          <w:rStyle w:val="11"/>
          <w:lang/>
        </w:rPr>
        <w:instrText xml:space="preserve"> </w:instrText>
      </w:r>
      <w:r>
        <w:rPr>
          <w:rStyle w:val="11"/>
          <w:lang/>
        </w:rPr>
        <w:fldChar w:fldCharType="separate"/>
      </w:r>
      <w:r>
        <w:rPr>
          <w:rStyle w:val="11"/>
          <w:b/>
          <w:bCs/>
          <w:lang/>
        </w:rPr>
        <w:t xml:space="preserve">12.1 </w:t>
      </w:r>
      <w:r>
        <w:rPr>
          <w:rStyle w:val="11"/>
          <w:rFonts w:hint="eastAsia"/>
          <w:b/>
          <w:bCs/>
          <w:lang/>
        </w:rPr>
        <w:t>报告期内单一投资者持有基金份额比例达到或超过</w:t>
      </w:r>
      <w:r>
        <w:rPr>
          <w:rStyle w:val="11"/>
          <w:b/>
          <w:bCs/>
          <w:lang/>
        </w:rPr>
        <w:t>20%</w:t>
      </w:r>
      <w:r>
        <w:rPr>
          <w:rStyle w:val="11"/>
          <w:rFonts w:hint="eastAsia"/>
          <w:b/>
          <w:bCs/>
          <w:lang/>
        </w:rPr>
        <w:t>的情况</w:t>
      </w:r>
      <w:r>
        <w:rPr>
          <w:lang/>
        </w:rPr>
        <w:tab/>
      </w:r>
      <w:r>
        <w:rPr>
          <w:lang/>
        </w:rPr>
        <w:fldChar w:fldCharType="begin"/>
      </w:r>
      <w:r>
        <w:rPr>
          <w:lang/>
        </w:rPr>
        <w:instrText xml:space="preserve"> PAGEREF _Toc4173550 \h </w:instrText>
      </w:r>
      <w:r>
        <w:rPr>
          <w:lang/>
        </w:rPr>
        <w:fldChar w:fldCharType="separate"/>
      </w:r>
      <w:r>
        <w:rPr>
          <w:lang/>
        </w:rPr>
        <w:t>64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"_Toc4173551"</w:instrText>
      </w:r>
      <w:r>
        <w:rPr>
          <w:rStyle w:val="11"/>
          <w:lang/>
        </w:rPr>
        <w:instrText xml:space="preserve"> </w:instrText>
      </w:r>
      <w:r>
        <w:rPr>
          <w:rStyle w:val="11"/>
          <w:lang/>
        </w:rPr>
        <w:fldChar w:fldCharType="separate"/>
      </w:r>
      <w:r>
        <w:rPr>
          <w:rStyle w:val="11"/>
          <w:b/>
          <w:bCs/>
          <w:lang/>
        </w:rPr>
        <w:t xml:space="preserve">12.2 </w:t>
      </w:r>
      <w:r>
        <w:rPr>
          <w:rStyle w:val="11"/>
          <w:rFonts w:hint="eastAsia"/>
          <w:b/>
          <w:bCs/>
          <w:lang/>
        </w:rPr>
        <w:t>影响投资者决策的其他重要信息</w:t>
      </w:r>
      <w:r>
        <w:rPr>
          <w:lang/>
        </w:rPr>
        <w:tab/>
      </w:r>
      <w:r>
        <w:rPr>
          <w:lang/>
        </w:rPr>
        <w:fldChar w:fldCharType="begin"/>
      </w:r>
      <w:r>
        <w:rPr>
          <w:lang/>
        </w:rPr>
        <w:instrText xml:space="preserve"> PAGEREF _Toc4173551 \h </w:instrText>
      </w:r>
      <w:r>
        <w:rPr>
          <w:lang/>
        </w:rPr>
        <w:fldChar w:fldCharType="separate"/>
      </w:r>
      <w:r>
        <w:rPr>
          <w:lang/>
        </w:rPr>
        <w:t>65</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"_Toc4173552"</w:instrText>
      </w:r>
      <w:r>
        <w:rPr>
          <w:rStyle w:val="11"/>
          <w:lang/>
        </w:rPr>
        <w:instrText xml:space="preserve"> </w:instrText>
      </w:r>
      <w:r>
        <w:rPr>
          <w:rStyle w:val="11"/>
          <w:lang/>
        </w:rPr>
        <w:fldChar w:fldCharType="separate"/>
      </w:r>
      <w:r>
        <w:rPr>
          <w:rStyle w:val="11"/>
          <w:b/>
          <w:lang/>
        </w:rPr>
        <w:t xml:space="preserve">§13  </w:t>
      </w:r>
      <w:r>
        <w:rPr>
          <w:rStyle w:val="11"/>
          <w:rFonts w:hint="eastAsia"/>
          <w:b/>
          <w:lang/>
        </w:rPr>
        <w:t>备查文件目录</w:t>
      </w:r>
      <w:r>
        <w:rPr>
          <w:lang/>
        </w:rPr>
        <w:tab/>
      </w:r>
      <w:r>
        <w:rPr>
          <w:lang/>
        </w:rPr>
        <w:fldChar w:fldCharType="begin"/>
      </w:r>
      <w:r>
        <w:rPr>
          <w:lang/>
        </w:rPr>
        <w:instrText xml:space="preserve"> PAGEREF _Toc4173552 \h </w:instrText>
      </w:r>
      <w:r>
        <w:rPr>
          <w:lang/>
        </w:rPr>
        <w:fldChar w:fldCharType="separate"/>
      </w:r>
      <w:r>
        <w:rPr>
          <w:lang/>
        </w:rPr>
        <w:t>65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"_Toc4173553"</w:instrText>
      </w:r>
      <w:r>
        <w:rPr>
          <w:rStyle w:val="11"/>
          <w:lang/>
        </w:rPr>
        <w:instrText xml:space="preserve"> </w:instrText>
      </w:r>
      <w:r>
        <w:rPr>
          <w:rStyle w:val="11"/>
          <w:lang/>
        </w:rPr>
        <w:fldChar w:fldCharType="separate"/>
      </w:r>
      <w:r>
        <w:rPr>
          <w:rStyle w:val="11"/>
          <w:b/>
          <w:bCs/>
          <w:lang/>
        </w:rPr>
        <w:t xml:space="preserve">13.1 </w:t>
      </w:r>
      <w:r>
        <w:rPr>
          <w:rStyle w:val="11"/>
          <w:rFonts w:hint="eastAsia"/>
          <w:b/>
          <w:bCs/>
          <w:lang/>
        </w:rPr>
        <w:t>备查文件目录</w:t>
      </w:r>
      <w:r>
        <w:rPr>
          <w:lang/>
        </w:rPr>
        <w:tab/>
      </w:r>
      <w:r>
        <w:rPr>
          <w:lang/>
        </w:rPr>
        <w:fldChar w:fldCharType="begin"/>
      </w:r>
      <w:r>
        <w:rPr>
          <w:lang/>
        </w:rPr>
        <w:instrText xml:space="preserve"> PAGEREF _Toc4173553 \h </w:instrText>
      </w:r>
      <w:r>
        <w:rPr>
          <w:lang/>
        </w:rPr>
        <w:fldChar w:fldCharType="separate"/>
      </w:r>
      <w:r>
        <w:rPr>
          <w:lang/>
        </w:rPr>
        <w:t>65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"_Toc4173554"</w:instrText>
      </w:r>
      <w:r>
        <w:rPr>
          <w:rStyle w:val="11"/>
          <w:lang/>
        </w:rPr>
        <w:instrText xml:space="preserve"> </w:instrText>
      </w:r>
      <w:r>
        <w:rPr>
          <w:rStyle w:val="11"/>
          <w:lang/>
        </w:rPr>
        <w:fldChar w:fldCharType="separate"/>
      </w:r>
      <w:r>
        <w:rPr>
          <w:rStyle w:val="11"/>
          <w:b/>
          <w:bCs/>
          <w:lang/>
        </w:rPr>
        <w:t xml:space="preserve">13.2 </w:t>
      </w:r>
      <w:r>
        <w:rPr>
          <w:rStyle w:val="11"/>
          <w:rFonts w:hint="eastAsia"/>
          <w:b/>
          <w:bCs/>
          <w:lang/>
        </w:rPr>
        <w:t>存放地点</w:t>
      </w:r>
      <w:r>
        <w:rPr>
          <w:lang/>
        </w:rPr>
        <w:tab/>
      </w:r>
      <w:r>
        <w:rPr>
          <w:lang/>
        </w:rPr>
        <w:fldChar w:fldCharType="begin"/>
      </w:r>
      <w:r>
        <w:rPr>
          <w:lang/>
        </w:rPr>
        <w:instrText xml:space="preserve"> PAGEREF _Toc4173554 \h </w:instrText>
      </w:r>
      <w:r>
        <w:rPr>
          <w:lang/>
        </w:rPr>
        <w:fldChar w:fldCharType="separate"/>
      </w:r>
      <w:r>
        <w:rPr>
          <w:lang/>
        </w:rPr>
        <w:t>65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"_Toc4173555"</w:instrText>
      </w:r>
      <w:r>
        <w:rPr>
          <w:rStyle w:val="11"/>
          <w:lang/>
        </w:rPr>
        <w:instrText xml:space="preserve"> </w:instrText>
      </w:r>
      <w:r>
        <w:rPr>
          <w:rStyle w:val="11"/>
          <w:lang/>
        </w:rPr>
        <w:fldChar w:fldCharType="separate"/>
      </w:r>
      <w:r>
        <w:rPr>
          <w:rStyle w:val="11"/>
          <w:b/>
          <w:bCs/>
          <w:lang/>
        </w:rPr>
        <w:t xml:space="preserve">13.3 </w:t>
      </w:r>
      <w:r>
        <w:rPr>
          <w:rStyle w:val="11"/>
          <w:rFonts w:hint="eastAsia"/>
          <w:b/>
          <w:bCs/>
          <w:lang/>
        </w:rPr>
        <w:t>查阅方式</w:t>
      </w:r>
      <w:r>
        <w:rPr>
          <w:lang/>
        </w:rPr>
        <w:tab/>
      </w:r>
      <w:r>
        <w:rPr>
          <w:lang/>
        </w:rPr>
        <w:fldChar w:fldCharType="begin"/>
      </w:r>
      <w:r>
        <w:rPr>
          <w:lang/>
        </w:rPr>
        <w:instrText xml:space="preserve"> PAGEREF _Toc4173555 \h </w:instrText>
      </w:r>
      <w:r>
        <w:rPr>
          <w:lang/>
        </w:rPr>
        <w:fldChar w:fldCharType="separate"/>
      </w:r>
      <w:r>
        <w:rPr>
          <w:lang/>
        </w:rPr>
        <w:t>65</w:t>
      </w:r>
      <w:r>
        <w:rPr>
          <w:lang/>
        </w:rPr>
        <w:fldChar w:fldCharType="end"/>
      </w:r>
      <w:r>
        <w:rPr>
          <w:rStyle w:val="11"/>
          <w:lang/>
        </w:rPr>
        <w:fldChar w:fldCharType="end"/>
      </w:r>
    </w:p>
    <w:p>
      <w:pPr>
        <w:pStyle w:val="13"/>
        <w:rPr>
          <w:rFonts w:hint="eastAsia"/>
        </w:rPr>
      </w:pPr>
      <w:r>
        <w:rPr>
          <w:rFonts w:ascii="Times New Roman" w:hAnsi="Times New Roman"/>
        </w:rPr>
        <w:fldChar w:fldCharType="end"/>
      </w:r>
      <w:r>
        <w:rPr>
          <w:rFonts w:ascii="Times New Roman" w:hAnsi="Times New Roman"/>
        </w:rPr>
        <w:br w:type="page"/>
      </w:r>
      <w:bookmarkStart w:id="3" w:name="_Toc4173489"/>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4"/>
        <w:rPr>
          <w:rFonts w:hint="eastAsia"/>
        </w:rPr>
      </w:pPr>
      <w:bookmarkStart w:id="4" w:name="_Toc4173490"/>
      <w:r>
        <w:rPr>
          <w:rFonts w:hint="eastAsia"/>
          <w:b/>
          <w:bCs/>
        </w:rPr>
        <w:t>2.1 基金基本情况</w:t>
      </w:r>
      <w:bookmarkEnd w:id="4"/>
    </w:p>
    <w:tbl>
      <w:tblPr>
        <w:tblStyle w:val="7"/>
        <w:tblW w:w="9120" w:type="dxa"/>
        <w:tblInd w:w="108" w:type="dxa"/>
        <w:tblLayout w:type="autofit"/>
        <w:tblCellMar>
          <w:top w:w="0" w:type="dxa"/>
          <w:left w:w="108" w:type="dxa"/>
          <w:bottom w:w="0" w:type="dxa"/>
          <w:right w:w="108" w:type="dxa"/>
        </w:tblCellMar>
      </w:tblPr>
      <w:tblGrid>
        <w:gridCol w:w="4008"/>
        <w:gridCol w:w="2556"/>
        <w:gridCol w:w="2556"/>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创金合信中证红利低波动指数发起式证券投资基金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基金简称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创金合信中证红利低波动指数</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基金主代码</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005561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基金运作方式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2018年04月26日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基金托管人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报告期末基金份额总额</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11,264,768.52份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基金合同存续期</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不定期</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创金合信中证红利低波动指数A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创金合信中证红利低波动指数C</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下属分级基金的交易代码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005561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005562</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报告期末下属分级基金的份额总额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5,496,243.44份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5,768,525.08份</w:t>
            </w:r>
          </w:p>
        </w:tc>
      </w:tr>
    </w:tbl>
    <w:p>
      <w:pPr>
        <w:widowControl/>
        <w:jc w:val="left"/>
        <w:rPr>
          <w:rFonts w:hint="eastAsia" w:ascii="宋体" w:hAnsi="宋体" w:cs="宋体"/>
          <w:kern w:val="0"/>
          <w:sz w:val="24"/>
          <w:szCs w:val="24"/>
        </w:rPr>
      </w:pPr>
    </w:p>
    <w:p>
      <w:pPr>
        <w:pStyle w:val="14"/>
        <w:rPr>
          <w:rFonts w:hint="eastAsia"/>
        </w:rPr>
      </w:pPr>
      <w:bookmarkStart w:id="5" w:name="_Toc4173491"/>
      <w:r>
        <w:rPr>
          <w:rFonts w:hint="eastAsia"/>
          <w:b/>
          <w:bCs/>
        </w:rPr>
        <w:t>2.2 基金产品说明</w:t>
      </w:r>
      <w:bookmarkEnd w:id="5"/>
    </w:p>
    <w:tbl>
      <w:tblPr>
        <w:tblStyle w:val="7"/>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紧密跟踪业绩比较基准，追求跟踪偏离度和跟踪误差的最小化。</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正常情况下，本基金主要采用完全复制法进行投资，力争将年化跟踪误差控制在2%以内，日跟踪偏离度绝对值的平均值控制在0.20%以内。</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中证红利低波动指数收益率×95%+银行人民币活期存款利率（税后）×5%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本基金为股票型基金，理论上其预期风险和预期收益水平高于混合型基金、债券型基金及货币市场基金。本基金紧密跟踪标的指数表现，具有与标的指数相似的风险收益特征。</w:t>
            </w:r>
          </w:p>
        </w:tc>
      </w:tr>
    </w:tbl>
    <w:p>
      <w:pPr>
        <w:widowControl/>
        <w:jc w:val="left"/>
        <w:rPr>
          <w:rFonts w:hint="eastAsia" w:ascii="宋体" w:hAnsi="宋体" w:cs="宋体"/>
          <w:kern w:val="0"/>
          <w:sz w:val="24"/>
          <w:szCs w:val="24"/>
        </w:rPr>
      </w:pPr>
    </w:p>
    <w:p>
      <w:pPr>
        <w:pStyle w:val="14"/>
        <w:rPr>
          <w:rFonts w:hint="eastAsia"/>
        </w:rPr>
      </w:pPr>
      <w:bookmarkStart w:id="6" w:name="_Toc4173492"/>
      <w:r>
        <w:rPr>
          <w:rFonts w:hint="eastAsia"/>
          <w:b/>
          <w:bCs/>
        </w:rPr>
        <w:t>2.3 基金管理人和基金托管人</w:t>
      </w:r>
      <w:bookmarkEnd w:id="6"/>
    </w:p>
    <w:tbl>
      <w:tblPr>
        <w:tblStyle w:val="7"/>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张燕</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0755-83199084</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yan_zhang@cmbchina.com</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95555</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0755-83195201</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深圳市前海深港合作区前湾一路1号201室（入驻深圳市前海商务秘书有限公司）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深圳市深南大道7088号招商银行大厦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深圳市深南大道7088号招商银行大厦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李建红</w:t>
            </w:r>
          </w:p>
        </w:tc>
      </w:tr>
    </w:tbl>
    <w:p>
      <w:pPr>
        <w:widowControl/>
        <w:jc w:val="left"/>
        <w:rPr>
          <w:rFonts w:hint="eastAsia" w:ascii="宋体" w:hAnsi="宋体" w:cs="宋体"/>
          <w:kern w:val="0"/>
          <w:sz w:val="24"/>
          <w:szCs w:val="24"/>
        </w:rPr>
      </w:pPr>
    </w:p>
    <w:p>
      <w:pPr>
        <w:pStyle w:val="14"/>
        <w:rPr>
          <w:rFonts w:hint="eastAsia"/>
        </w:rPr>
      </w:pPr>
      <w:bookmarkStart w:id="7" w:name="_Toc4173493"/>
      <w:r>
        <w:rPr>
          <w:rFonts w:hint="eastAsia"/>
          <w:b/>
          <w:bCs/>
        </w:rPr>
        <w:t>2.4 信息披露方式</w:t>
      </w:r>
      <w:bookmarkEnd w:id="7"/>
    </w:p>
    <w:tbl>
      <w:tblPr>
        <w:tblStyle w:val="7"/>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上海证券报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pStyle w:val="20"/>
        <w:rPr>
          <w:rFonts w:hint="eastAsia"/>
        </w:rPr>
      </w:pPr>
      <w:r>
        <w:rPr>
          <w:rFonts w:hint="eastAsia"/>
        </w:rPr>
        <w:t>注：本基金自2019年1月19日起信息披露报纸由《上海证券报》、《中国证券报 》变更为《上海证券报》。</w:t>
      </w:r>
    </w:p>
    <w:p>
      <w:pPr>
        <w:widowControl/>
        <w:jc w:val="left"/>
        <w:rPr>
          <w:rFonts w:hint="eastAsia" w:ascii="宋体" w:hAnsi="宋体" w:cs="宋体"/>
          <w:kern w:val="0"/>
          <w:sz w:val="24"/>
          <w:szCs w:val="24"/>
        </w:rPr>
      </w:pPr>
    </w:p>
    <w:p>
      <w:pPr>
        <w:pStyle w:val="14"/>
        <w:rPr>
          <w:rFonts w:hint="eastAsia"/>
        </w:rPr>
      </w:pPr>
      <w:bookmarkStart w:id="8" w:name="_Toc4173494"/>
      <w:r>
        <w:rPr>
          <w:rFonts w:hint="eastAsia"/>
          <w:b/>
          <w:bCs/>
        </w:rPr>
        <w:t>2.5 其他相关资料</w:t>
      </w:r>
      <w:bookmarkEnd w:id="8"/>
    </w:p>
    <w:tbl>
      <w:tblPr>
        <w:tblStyle w:val="7"/>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w:t>
            </w:r>
            <w:r>
              <w:t>11</w:t>
            </w:r>
            <w:r>
              <w:rPr>
                <w:rFonts w:hint="eastAsia"/>
              </w:rPr>
              <w:t>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widowControl/>
        <w:jc w:val="left"/>
        <w:rPr>
          <w:rFonts w:hint="eastAsia" w:ascii="宋体" w:hAnsi="宋体" w:cs="宋体"/>
          <w:kern w:val="0"/>
          <w:sz w:val="24"/>
          <w:szCs w:val="24"/>
        </w:rPr>
      </w:pPr>
    </w:p>
    <w:p>
      <w:pPr>
        <w:pStyle w:val="13"/>
        <w:rPr>
          <w:rFonts w:hint="eastAsia"/>
        </w:rPr>
      </w:pPr>
      <w:bookmarkStart w:id="9" w:name="_Toc4173495"/>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4"/>
        <w:rPr>
          <w:rFonts w:hint="eastAsia"/>
        </w:rPr>
      </w:pPr>
      <w:bookmarkStart w:id="10" w:name="_Toc4173496"/>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2803"/>
        <w:gridCol w:w="3121"/>
        <w:gridCol w:w="3121"/>
      </w:tblGrid>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Style w:val="9"/>
                <w:rFonts w:hint="eastAsia" w:hAnsi="Calibri"/>
                <w:color w:val="000000"/>
              </w:rPr>
              <w:t>3.1.1 期间数据和指标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本期2018年04月26日（基金合同生效日）- 2018年12月31日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创金合信中证红利低波动指数A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创金合信中证红利低波动指数C</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-353,052.72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-378,056.49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-719,349.83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-715,281.48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3.1.2 期末数据和指标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-761,804.78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-806,409.94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4,734,438.66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4,962,115.14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0.8614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0.8602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3.1.3 累计期末指标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-13.98%</w:t>
            </w:r>
          </w:p>
        </w:tc>
      </w:tr>
    </w:tbl>
    <w:p>
      <w:pPr>
        <w:pStyle w:val="20"/>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r>
        <w:rPr>
          <w:rFonts w:hint="eastAsia"/>
        </w:rPr>
        <w:br w:type="textWrapping"/>
      </w:r>
      <w:r>
        <w:rPr>
          <w:rFonts w:hint="eastAsia"/>
        </w:rPr>
        <w:t>4.本基金合同生效日为2018年4月26日，截至报告期末，本基金成立不满一年。合同生效当期的相关数据和指标按实际存续期计算。</w:t>
      </w:r>
    </w:p>
    <w:p>
      <w:pPr>
        <w:widowControl/>
        <w:jc w:val="left"/>
        <w:rPr>
          <w:rFonts w:hint="eastAsia" w:ascii="宋体" w:hAnsi="宋体" w:cs="宋体"/>
          <w:kern w:val="0"/>
          <w:sz w:val="24"/>
          <w:szCs w:val="24"/>
        </w:rPr>
      </w:pPr>
    </w:p>
    <w:p>
      <w:pPr>
        <w:pStyle w:val="14"/>
        <w:rPr>
          <w:rFonts w:hint="eastAsia"/>
        </w:rPr>
      </w:pPr>
      <w:bookmarkStart w:id="11" w:name="_Toc4173497"/>
      <w:r>
        <w:rPr>
          <w:rFonts w:hint="eastAsia"/>
          <w:b/>
          <w:bCs/>
        </w:rPr>
        <w:t>3.2 基金净值表现</w:t>
      </w:r>
      <w:bookmarkEnd w:id="11"/>
    </w:p>
    <w:p>
      <w:pPr>
        <w:pStyle w:val="15"/>
        <w:rPr>
          <w:rFonts w:hint="eastAsia"/>
        </w:rPr>
      </w:pPr>
      <w:r>
        <w:rPr>
          <w:rFonts w:hint="eastAsia"/>
          <w:b/>
          <w:bCs/>
        </w:rPr>
        <w:t>3.2.1 基金份额净值增长率及其与同期业绩比较基准收益率的比较</w:t>
      </w:r>
    </w:p>
    <w:p>
      <w:pPr>
        <w:pStyle w:val="17"/>
        <w:rPr>
          <w:rFonts w:hint="eastAsia"/>
        </w:rPr>
      </w:pPr>
      <w:r>
        <w:rPr>
          <w:rFonts w:hint="eastAsia" w:hAnsi="Calibri"/>
          <w:color w:val="000000"/>
        </w:rPr>
        <w:t>创金合信中证红利低波动指数A</w:t>
      </w:r>
    </w:p>
    <w:tbl>
      <w:tblPr>
        <w:tblStyle w:val="7"/>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0.02%</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0.02%</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bl>
    <w:p>
      <w:pPr>
        <w:pStyle w:val="17"/>
        <w:rPr>
          <w:rFonts w:hint="eastAsia"/>
        </w:rPr>
      </w:pPr>
      <w:r>
        <w:rPr>
          <w:rFonts w:hint="eastAsia" w:hAnsi="Calibri"/>
          <w:color w:val="000000"/>
        </w:rPr>
        <w:t>创金合信中证红利低波动指数C</w:t>
      </w:r>
    </w:p>
    <w:tbl>
      <w:tblPr>
        <w:tblStyle w:val="7"/>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0.02%</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0.02%</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bl>
    <w:p>
      <w:pPr>
        <w:widowControl/>
        <w:jc w:val="left"/>
        <w:rPr>
          <w:rFonts w:hint="eastAsia" w:ascii="宋体" w:hAnsi="宋体" w:cs="宋体"/>
          <w:kern w:val="0"/>
          <w:sz w:val="24"/>
          <w:szCs w:val="24"/>
        </w:rPr>
      </w:pPr>
    </w:p>
    <w:p>
      <w:pPr>
        <w:pStyle w:val="15"/>
        <w:rPr>
          <w:rFonts w:hint="eastAsia"/>
        </w:rPr>
      </w:pPr>
      <w:r>
        <w:rPr>
          <w:rFonts w:hint="eastAsia"/>
          <w:b/>
          <w:bCs/>
        </w:rPr>
        <w:t>3.2.2 自基金合同生效以来基金份额累计净值增长率变动及其与同期业绩比较基准收益率变动的比较</w:t>
      </w:r>
    </w:p>
    <w:p>
      <w:pPr>
        <w:pStyle w:val="17"/>
        <w:rPr>
          <w:rFonts w:hint="eastAsia"/>
        </w:rPr>
      </w:pPr>
      <w:r>
        <w:rPr>
          <w:rFonts w:hAnsi="Calibri"/>
          <w:color w:val="000000"/>
          <w:lang/>
        </w:rPr>
        <w:pict>
          <v:shape id="_x0000_i1025" o:spt="75" alt="D:\fcsc\HSFA\Bin\Bin\MOD\TMP\CN_50990000_005561_FB010010_20190002_2.jpg" type="#_x0000_t75" style="height:286.5pt;width:441pt;" filled="f" stroked="f" coordsize="21600,21600">
            <v:path/>
            <v:fill on="f" focussize="0,0"/>
            <v:stroke on="f"/>
            <v:imagedata r:id="rId7" grayscale="f" bilevel="f" o:title="CN_50990000_005561_FB010010_20190002_2"/>
            <o:lock v:ext="edit" grouping="f" rotation="f" aspectratio="t"/>
            <w10:wrap type="none"/>
            <w10:anchorlock/>
          </v:shape>
        </w:pict>
      </w:r>
    </w:p>
    <w:p>
      <w:pPr>
        <w:pStyle w:val="17"/>
        <w:rPr>
          <w:rFonts w:hint="eastAsia"/>
        </w:rPr>
      </w:pPr>
      <w:r>
        <w:rPr>
          <w:rFonts w:hAnsi="Calibri"/>
          <w:color w:val="000000"/>
          <w:lang/>
        </w:rPr>
        <w:pict>
          <v:shape id="_x0000_i1026" o:spt="75" alt="D:\fcsc\HSFA\Bin\Bin\MOD\TMP\CN_50990000_005561_FB010010_20190002_3.jpg" type="#_x0000_t75" style="height:286.5pt;width:441pt;" filled="f" stroked="f" coordsize="21600,21600">
            <v:path/>
            <v:fill on="f" focussize="0,0"/>
            <v:stroke on="f"/>
            <v:imagedata r:id="rId8" grayscale="f" bilevel="f" o:title="CN_50990000_005561_FB010010_20190002_3"/>
            <o:lock v:ext="edit" grouping="f" rotation="f" aspectratio="t"/>
            <w10:wrap type="none"/>
            <w10:anchorlock/>
          </v:shape>
        </w:pict>
      </w:r>
    </w:p>
    <w:p>
      <w:pPr>
        <w:widowControl/>
        <w:jc w:val="left"/>
        <w:rPr>
          <w:rFonts w:hint="eastAsia" w:ascii="宋体" w:hAnsi="宋体" w:cs="宋体"/>
          <w:kern w:val="0"/>
          <w:sz w:val="24"/>
          <w:szCs w:val="24"/>
        </w:rPr>
      </w:pPr>
      <w:r>
        <w:rPr>
          <w:rFonts w:hint="eastAsia" w:ascii="宋体" w:hAnsi="宋体" w:cs="宋体"/>
          <w:kern w:val="0"/>
          <w:sz w:val="24"/>
          <w:szCs w:val="24"/>
        </w:rPr>
        <w:t>注：1、本基金的基金合同于2018年4月26日生效,截至报告期末,本基金成立不满一年。</w:t>
      </w:r>
      <w:r>
        <w:rPr>
          <w:rFonts w:hint="eastAsia" w:ascii="宋体" w:hAnsi="宋体" w:cs="宋体"/>
          <w:kern w:val="0"/>
          <w:sz w:val="24"/>
          <w:szCs w:val="24"/>
        </w:rPr>
        <w:br w:type="textWrapping"/>
      </w:r>
      <w:r>
        <w:rPr>
          <w:rFonts w:hint="eastAsia" w:ascii="宋体" w:hAnsi="宋体" w:cs="宋体"/>
          <w:kern w:val="0"/>
          <w:sz w:val="24"/>
          <w:szCs w:val="24"/>
        </w:rPr>
        <w:t xml:space="preserve">2、本基金的建仓期为6个月,建仓期结束时各项资产配置比例符合合同规定。 </w:t>
      </w:r>
    </w:p>
    <w:p>
      <w:pPr>
        <w:widowControl/>
        <w:jc w:val="left"/>
        <w:rPr>
          <w:rFonts w:hint="eastAsia" w:ascii="宋体" w:hAnsi="宋体" w:cs="宋体"/>
          <w:kern w:val="0"/>
          <w:sz w:val="24"/>
          <w:szCs w:val="24"/>
        </w:rPr>
      </w:pPr>
    </w:p>
    <w:p>
      <w:pPr>
        <w:pStyle w:val="15"/>
        <w:rPr>
          <w:rFonts w:hint="eastAsia"/>
        </w:rPr>
      </w:pPr>
      <w:r>
        <w:rPr>
          <w:rFonts w:hint="eastAsia"/>
          <w:b/>
          <w:bCs/>
        </w:rPr>
        <w:t>3.2.3 自基金合同生效以来基金每年净值增长率及其与同期业绩比较基准收益率的比较</w:t>
      </w:r>
    </w:p>
    <w:p>
      <w:pPr>
        <w:pStyle w:val="17"/>
        <w:rPr>
          <w:rFonts w:hint="eastAsia"/>
        </w:rPr>
      </w:pPr>
      <w:r>
        <w:rPr>
          <w:rFonts w:hAnsi="Calibri"/>
          <w:color w:val="000000"/>
          <w:lang/>
        </w:rPr>
        <w:pict>
          <v:shape id="_x0000_i1027" o:spt="75" alt="D:\fcsc\HSFA\Bin\Bin\MOD\TMP\CN_50990000_005561_FB010010_20190002_6.jpg" type="#_x0000_t75" style="height:286.5pt;width:441pt;" filled="f" stroked="f" coordsize="21600,21600">
            <v:path/>
            <v:fill on="f" focussize="0,0"/>
            <v:stroke on="f"/>
            <v:imagedata r:id="rId9" grayscale="f" bilevel="f" o:title="CN_50990000_005561_FB010010_20190002_6"/>
            <o:lock v:ext="edit" grouping="f" rotation="f" aspectratio="t"/>
            <w10:wrap type="none"/>
            <w10:anchorlock/>
          </v:shape>
        </w:pict>
      </w:r>
    </w:p>
    <w:p>
      <w:pPr>
        <w:pStyle w:val="17"/>
        <w:rPr>
          <w:rFonts w:hint="eastAsia"/>
        </w:rPr>
      </w:pPr>
      <w:r>
        <w:rPr>
          <w:rFonts w:hAnsi="Calibri"/>
          <w:color w:val="000000"/>
          <w:lang/>
        </w:rPr>
        <w:pict>
          <v:shape id="_x0000_i1028" o:spt="75" alt="D:\fcsc\HSFA\Bin\Bin\MOD\TMP\CN_50990000_005561_FB010010_20190002_7.jpg" type="#_x0000_t75" style="height:286.5pt;width:441pt;" filled="f" stroked="f" coordsize="21600,21600">
            <v:path/>
            <v:fill on="f" focussize="0,0"/>
            <v:stroke on="f"/>
            <v:imagedata r:id="rId10" grayscale="f" bilevel="f" o:title="CN_50990000_005561_FB010010_20190002_7"/>
            <o:lock v:ext="edit" grouping="f" rotation="f" aspectratio="t"/>
            <w10:wrap type="none"/>
            <w10:anchorlock/>
          </v:shape>
        </w:pict>
      </w:r>
    </w:p>
    <w:p>
      <w:pPr>
        <w:widowControl/>
        <w:jc w:val="left"/>
        <w:rPr>
          <w:rFonts w:hint="eastAsia" w:ascii="宋体" w:hAnsi="宋体" w:cs="宋体"/>
          <w:kern w:val="0"/>
          <w:sz w:val="24"/>
          <w:szCs w:val="24"/>
        </w:rPr>
      </w:pPr>
    </w:p>
    <w:p>
      <w:pPr>
        <w:pStyle w:val="14"/>
        <w:rPr>
          <w:rFonts w:hint="eastAsia"/>
        </w:rPr>
      </w:pPr>
      <w:bookmarkStart w:id="12" w:name="_Toc4173498"/>
      <w:r>
        <w:rPr>
          <w:rFonts w:hint="eastAsia" w:hAnsi="Calibri"/>
          <w:b/>
          <w:color w:val="000000"/>
        </w:rPr>
        <w:t>3.3 过去三年基金的利润分配情况</w:t>
      </w:r>
      <w:bookmarkEnd w:id="12"/>
    </w:p>
    <w:p>
      <w:pPr>
        <w:pStyle w:val="20"/>
        <w:rPr>
          <w:rFonts w:hint="eastAsia"/>
        </w:rPr>
      </w:pPr>
      <w:r>
        <w:rPr>
          <w:rFonts w:hint="eastAsia"/>
        </w:rPr>
        <w:t>本基金自基金合同生效日（2018年4月26日）至本报告期末未发生利润分配。</w:t>
      </w:r>
    </w:p>
    <w:p>
      <w:pPr>
        <w:widowControl/>
        <w:jc w:val="left"/>
        <w:rPr>
          <w:rFonts w:hint="eastAsia" w:ascii="宋体" w:hAnsi="宋体" w:cs="宋体"/>
          <w:kern w:val="0"/>
          <w:sz w:val="24"/>
          <w:szCs w:val="24"/>
        </w:rPr>
      </w:pPr>
    </w:p>
    <w:p>
      <w:pPr>
        <w:pStyle w:val="13"/>
        <w:rPr>
          <w:rFonts w:hint="eastAsia"/>
        </w:rPr>
      </w:pPr>
      <w:bookmarkStart w:id="13" w:name="_Toc4173499"/>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4"/>
        <w:rPr>
          <w:rFonts w:hint="eastAsia"/>
        </w:rPr>
      </w:pPr>
      <w:bookmarkStart w:id="14" w:name="_Toc4173500"/>
      <w:r>
        <w:rPr>
          <w:rFonts w:hint="eastAsia"/>
          <w:b/>
          <w:bCs/>
        </w:rPr>
        <w:t>4.1 基金管理人及基金经理情况</w:t>
      </w:r>
      <w:bookmarkEnd w:id="14"/>
    </w:p>
    <w:p>
      <w:pPr>
        <w:pStyle w:val="15"/>
        <w:rPr>
          <w:rFonts w:hint="eastAsia"/>
        </w:rPr>
      </w:pPr>
      <w:r>
        <w:rPr>
          <w:rFonts w:hint="eastAsia"/>
          <w:b/>
          <w:bCs/>
        </w:rPr>
        <w:t>4.1.1 基金管理人及其管理基金的经验</w:t>
      </w:r>
    </w:p>
    <w:p>
      <w:pPr>
        <w:pStyle w:val="20"/>
        <w:spacing w:before="0"/>
        <w:ind w:left="0" w:firstLine="480"/>
        <w:rPr>
          <w:rFonts w:hint="eastAsia"/>
        </w:rPr>
      </w:pPr>
      <w:r>
        <w:rPr>
          <w:rFonts w:hint="eastAsia"/>
        </w:rPr>
        <w:t>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p>
    <w:p>
      <w:pPr>
        <w:pStyle w:val="20"/>
        <w:spacing w:before="0"/>
        <w:ind w:left="0" w:firstLine="480"/>
        <w:rPr>
          <w:rFonts w:hint="eastAsia"/>
        </w:rPr>
      </w:pPr>
      <w:r>
        <w:rPr>
          <w:rFonts w:hint="eastAsia"/>
        </w:rPr>
        <w:t>公司始终坚持"客户利益至上"，致力于为客户实现长期稳定的投资回报，做客户投资理财的亲密伙伴。</w:t>
      </w:r>
    </w:p>
    <w:p>
      <w:pPr>
        <w:pStyle w:val="20"/>
        <w:spacing w:before="0"/>
        <w:ind w:left="0" w:firstLine="480"/>
        <w:rPr>
          <w:rFonts w:hint="eastAsia"/>
        </w:rPr>
      </w:pPr>
      <w:r>
        <w:rPr>
          <w:rFonts w:hint="eastAsia"/>
        </w:rPr>
        <w:t>报告期内，本公司共发行11只公募基金。截至2018年12月31日，本公司共管理39只公募基金，其中混合型产品9只、指数型产品8只、债券型产品12只、股票型产品9只、货币型产品1只；管理的公募基金规模约150.47亿元。</w:t>
      </w:r>
    </w:p>
    <w:p>
      <w:pPr>
        <w:widowControl/>
        <w:jc w:val="left"/>
        <w:rPr>
          <w:rFonts w:hint="eastAsia" w:ascii="宋体" w:hAnsi="宋体" w:cs="宋体"/>
          <w:kern w:val="0"/>
          <w:sz w:val="24"/>
          <w:szCs w:val="24"/>
        </w:rPr>
      </w:pPr>
    </w:p>
    <w:p>
      <w:pPr>
        <w:pStyle w:val="15"/>
        <w:rPr>
          <w:rFonts w:hint="eastAsia"/>
        </w:rPr>
      </w:pPr>
      <w:r>
        <w:rPr>
          <w:rFonts w:hint="eastAsia"/>
          <w:b/>
          <w:bCs/>
        </w:rPr>
        <w:t>4.1.2 基金经理（或基金经理小组）及基金经理助理简介</w:t>
      </w:r>
    </w:p>
    <w:tbl>
      <w:tblPr>
        <w:tblStyle w:val="7"/>
        <w:tblW w:w="0" w:type="auto"/>
        <w:tblInd w:w="108" w:type="dxa"/>
        <w:tblLayout w:type="autofit"/>
        <w:tblCellMar>
          <w:top w:w="0" w:type="dxa"/>
          <w:left w:w="108" w:type="dxa"/>
          <w:bottom w:w="0" w:type="dxa"/>
          <w:right w:w="108" w:type="dxa"/>
        </w:tblCellMar>
      </w:tblPr>
      <w:tblGrid>
        <w:gridCol w:w="920"/>
        <w:gridCol w:w="2943"/>
        <w:gridCol w:w="920"/>
        <w:gridCol w:w="920"/>
        <w:gridCol w:w="552"/>
        <w:gridCol w:w="2943"/>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姓名</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职务</w:t>
            </w:r>
          </w:p>
        </w:tc>
        <w:tc>
          <w:tcPr>
            <w:tcW w:w="1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任本基金的基金经理（助理）期限</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证券从业年限</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任职日期</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陈龙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2018-04-26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陈龙先生，中国国籍，复旦大学经济学硕士和美国加州大学洛杉矶分校（UCLA）金融工程硕士。2006年7月就职于中证指数有限公司，任研发部高级研究员。2013年2月加入中国金融期货交易所，任股指事业部高级经理，2016年3月加入创金合信基金管理有限公司，现任指数策略投资研究部副总监、基金经理。</w:t>
            </w:r>
          </w:p>
        </w:tc>
      </w:tr>
    </w:tbl>
    <w:p>
      <w:pPr>
        <w:pStyle w:val="20"/>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widowControl/>
        <w:jc w:val="left"/>
        <w:rPr>
          <w:rFonts w:hint="eastAsia" w:ascii="宋体" w:hAnsi="宋体" w:cs="宋体"/>
          <w:kern w:val="0"/>
          <w:sz w:val="24"/>
          <w:szCs w:val="24"/>
        </w:rPr>
      </w:pPr>
    </w:p>
    <w:p>
      <w:pPr>
        <w:pStyle w:val="14"/>
        <w:rPr>
          <w:rFonts w:hint="eastAsia"/>
        </w:rPr>
      </w:pPr>
      <w:bookmarkStart w:id="15" w:name="_Toc4173501"/>
      <w:r>
        <w:rPr>
          <w:rFonts w:hint="eastAsia" w:hAnsi="Calibri"/>
          <w:b/>
          <w:color w:val="000000"/>
        </w:rPr>
        <w:t>4.2 管理人对报告期内本基金运作遵规守信情况的说明</w:t>
      </w:r>
      <w:bookmarkEnd w:id="15"/>
    </w:p>
    <w:p>
      <w:pPr>
        <w:pStyle w:val="20"/>
        <w:spacing w:before="0"/>
        <w:ind w:left="0" w:firstLine="480"/>
        <w:rPr>
          <w:rFonts w:hint="eastAsia"/>
        </w:rPr>
      </w:pPr>
      <w:r>
        <w:rPr>
          <w:rFonts w:hint="eastAsia" w:hAnsi="Calibri"/>
          <w:color w:val="000000"/>
        </w:rPr>
        <w:t>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p>
    <w:p>
      <w:pPr>
        <w:widowControl/>
        <w:jc w:val="left"/>
        <w:rPr>
          <w:rFonts w:hint="eastAsia" w:ascii="宋体" w:hAnsi="宋体" w:cs="宋体"/>
          <w:kern w:val="0"/>
          <w:sz w:val="24"/>
          <w:szCs w:val="24"/>
        </w:rPr>
      </w:pPr>
    </w:p>
    <w:p>
      <w:pPr>
        <w:pStyle w:val="14"/>
        <w:rPr>
          <w:rFonts w:hint="eastAsia"/>
        </w:rPr>
      </w:pPr>
      <w:bookmarkStart w:id="16" w:name="_Toc4173502"/>
      <w:r>
        <w:rPr>
          <w:rFonts w:hint="eastAsia" w:hAnsi="Calibri"/>
          <w:b/>
          <w:color w:val="000000"/>
        </w:rPr>
        <w:t>4.3 管理人对报告期内公平交易情况的专项说明</w:t>
      </w:r>
      <w:bookmarkEnd w:id="16"/>
    </w:p>
    <w:p>
      <w:pPr>
        <w:pStyle w:val="15"/>
        <w:rPr>
          <w:rFonts w:hint="eastAsia"/>
        </w:rPr>
      </w:pPr>
      <w:r>
        <w:rPr>
          <w:rFonts w:hint="eastAsia" w:hAnsi="Calibri"/>
          <w:b/>
          <w:color w:val="000000"/>
        </w:rPr>
        <w:t>4.3.1 公平交易制度和控制方法</w:t>
      </w:r>
    </w:p>
    <w:p>
      <w:pPr>
        <w:pStyle w:val="20"/>
        <w:spacing w:before="0"/>
        <w:ind w:left="0" w:firstLine="480"/>
        <w:rPr>
          <w:rFonts w:hint="eastAsia" w:hAnsi="Calibri"/>
          <w:color w:val="000000"/>
        </w:rPr>
      </w:pPr>
      <w:r>
        <w:rPr>
          <w:rFonts w:hint="eastAsia" w:hAnsi="Calibri"/>
          <w:color w:val="000000"/>
        </w:rPr>
        <w:t>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p>
    <w:p>
      <w:pPr>
        <w:pStyle w:val="20"/>
        <w:spacing w:before="0"/>
        <w:ind w:left="0" w:firstLine="480"/>
        <w:rPr>
          <w:rFonts w:hint="eastAsia" w:hAnsi="Calibri"/>
          <w:color w:val="000000"/>
        </w:rPr>
      </w:pPr>
      <w:r>
        <w:rPr>
          <w:rFonts w:hint="eastAsia" w:hAnsi="Calibri"/>
          <w:color w:val="000000"/>
        </w:rPr>
        <w:t>1、授权、研究分析与投资决策的内部控制</w:t>
      </w:r>
    </w:p>
    <w:p>
      <w:pPr>
        <w:pStyle w:val="20"/>
        <w:spacing w:before="0"/>
        <w:ind w:left="0" w:firstLine="480"/>
        <w:rPr>
          <w:rFonts w:hint="eastAsia" w:hAnsi="Calibri"/>
          <w:color w:val="000000"/>
        </w:rPr>
      </w:pPr>
      <w:r>
        <w:rPr>
          <w:rFonts w:hint="eastAsia" w:hAnsi="Calibri"/>
          <w:color w:val="000000"/>
        </w:rPr>
        <w:t>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p>
    <w:p>
      <w:pPr>
        <w:pStyle w:val="20"/>
        <w:spacing w:before="0"/>
        <w:ind w:left="0" w:firstLine="480"/>
        <w:rPr>
          <w:rFonts w:hint="eastAsia" w:hAnsi="Calibri"/>
          <w:color w:val="000000"/>
        </w:rPr>
      </w:pPr>
      <w:r>
        <w:rPr>
          <w:rFonts w:hint="eastAsia" w:hAnsi="Calibri"/>
          <w:color w:val="000000"/>
        </w:rPr>
        <w:t>2、交易执行的内部控制</w:t>
      </w:r>
    </w:p>
    <w:p>
      <w:pPr>
        <w:pStyle w:val="20"/>
        <w:spacing w:before="0"/>
        <w:ind w:left="0" w:firstLine="480"/>
        <w:rPr>
          <w:rFonts w:hint="eastAsia" w:hAnsi="Calibri"/>
          <w:color w:val="000000"/>
        </w:rPr>
      </w:pPr>
      <w:r>
        <w:rPr>
          <w:rFonts w:hint="eastAsia" w:hAnsi="Calibri"/>
          <w:color w:val="000000"/>
        </w:rPr>
        <w:t>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p>
    <w:p>
      <w:pPr>
        <w:pStyle w:val="20"/>
        <w:spacing w:before="0"/>
        <w:ind w:left="0" w:firstLine="480"/>
        <w:rPr>
          <w:rFonts w:hint="eastAsia" w:hAnsi="Calibri"/>
          <w:color w:val="000000"/>
        </w:rPr>
      </w:pPr>
      <w:r>
        <w:rPr>
          <w:rFonts w:hint="eastAsia" w:hAnsi="Calibri"/>
          <w:color w:val="000000"/>
        </w:rPr>
        <w:t>3、交易指令分配的控制</w:t>
      </w:r>
    </w:p>
    <w:p>
      <w:pPr>
        <w:pStyle w:val="20"/>
        <w:spacing w:before="0"/>
        <w:ind w:left="0" w:firstLine="480"/>
        <w:rPr>
          <w:rFonts w:hint="eastAsia" w:hAnsi="Calibri"/>
          <w:color w:val="000000"/>
        </w:rPr>
      </w:pPr>
      <w:r>
        <w:rPr>
          <w:rFonts w:hint="eastAsia" w:hAnsi="Calibri"/>
          <w:color w:val="000000"/>
        </w:rPr>
        <w:t>所有投资对象的投资指令必须经由交易室总监或其授权人审核后分配至交易员执行。</w:t>
      </w:r>
    </w:p>
    <w:p>
      <w:pPr>
        <w:pStyle w:val="20"/>
        <w:spacing w:before="0"/>
        <w:ind w:left="0" w:firstLine="480"/>
        <w:rPr>
          <w:rFonts w:hint="eastAsia" w:hAnsi="Calibri"/>
          <w:color w:val="000000"/>
        </w:rPr>
      </w:pPr>
      <w:r>
        <w:rPr>
          <w:rFonts w:hint="eastAsia" w:hAnsi="Calibri"/>
          <w:color w:val="000000"/>
        </w:rPr>
        <w:t>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p>
    <w:p>
      <w:pPr>
        <w:pStyle w:val="20"/>
        <w:spacing w:before="0"/>
        <w:ind w:left="0" w:firstLine="480"/>
        <w:rPr>
          <w:rFonts w:hint="eastAsia" w:hAnsi="Calibri"/>
          <w:color w:val="000000"/>
        </w:rPr>
      </w:pPr>
      <w:r>
        <w:rPr>
          <w:rFonts w:hint="eastAsia" w:hAnsi="Calibri"/>
          <w:color w:val="000000"/>
        </w:rPr>
        <w:t>4、公平交易监控</w:t>
      </w:r>
    </w:p>
    <w:p>
      <w:pPr>
        <w:pStyle w:val="20"/>
        <w:spacing w:before="0"/>
        <w:ind w:left="0" w:firstLine="480"/>
        <w:rPr>
          <w:rFonts w:hint="eastAsia"/>
        </w:rPr>
      </w:pPr>
      <w:r>
        <w:rPr>
          <w:rFonts w:hint="eastAsia" w:hAnsi="Calibri"/>
          <w:color w:val="000000"/>
        </w:rPr>
        <w:t>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4.3.2 公平交易制度的执行情况</w:t>
      </w:r>
    </w:p>
    <w:p>
      <w:pPr>
        <w:pStyle w:val="20"/>
        <w:spacing w:before="0"/>
        <w:ind w:left="0" w:firstLine="480"/>
        <w:rPr>
          <w:rFonts w:hint="eastAsia"/>
        </w:rPr>
      </w:pPr>
      <w:r>
        <w:rPr>
          <w:rFonts w:hint="eastAsia" w:hAnsi="Calibri"/>
          <w:color w:val="000000"/>
        </w:rPr>
        <w:t>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4.3.3 异常交易行为的专项说明</w:t>
      </w:r>
    </w:p>
    <w:p>
      <w:pPr>
        <w:pStyle w:val="20"/>
        <w:spacing w:before="0"/>
        <w:ind w:left="0" w:firstLine="480"/>
        <w:rPr>
          <w:rFonts w:hint="eastAsia"/>
        </w:rPr>
      </w:pPr>
      <w:r>
        <w:rPr>
          <w:rFonts w:hint="eastAsia" w:hAnsi="Calibri"/>
          <w:color w:val="000000"/>
        </w:rPr>
        <w:t>本报告期内，未发现本基金有可能导致不公平交易和利益输送的异常交易。</w:t>
      </w:r>
    </w:p>
    <w:p>
      <w:pPr>
        <w:widowControl/>
        <w:jc w:val="left"/>
        <w:rPr>
          <w:rFonts w:hint="eastAsia" w:ascii="宋体" w:hAnsi="宋体" w:cs="宋体"/>
          <w:kern w:val="0"/>
          <w:sz w:val="24"/>
          <w:szCs w:val="24"/>
        </w:rPr>
      </w:pPr>
    </w:p>
    <w:p>
      <w:pPr>
        <w:pStyle w:val="14"/>
        <w:rPr>
          <w:rFonts w:hint="eastAsia"/>
        </w:rPr>
      </w:pPr>
      <w:bookmarkStart w:id="17" w:name="_Toc4173503"/>
      <w:r>
        <w:rPr>
          <w:rFonts w:hint="eastAsia" w:hAnsi="Calibri"/>
          <w:b/>
          <w:color w:val="000000"/>
        </w:rPr>
        <w:t>4.4 管理人对报告期内基金的投资策略和业绩表现的说明</w:t>
      </w:r>
      <w:bookmarkEnd w:id="17"/>
    </w:p>
    <w:p>
      <w:pPr>
        <w:pStyle w:val="15"/>
        <w:rPr>
          <w:rFonts w:hint="eastAsia"/>
        </w:rPr>
      </w:pPr>
      <w:r>
        <w:rPr>
          <w:rFonts w:hint="eastAsia" w:hAnsi="Calibri"/>
          <w:b/>
          <w:color w:val="000000"/>
        </w:rPr>
        <w:t>4.4.1 报告期内基金投资策略和运作分析</w:t>
      </w:r>
    </w:p>
    <w:p>
      <w:pPr>
        <w:pStyle w:val="20"/>
        <w:spacing w:before="0"/>
        <w:ind w:left="0" w:firstLine="480"/>
        <w:rPr>
          <w:rFonts w:hint="eastAsia"/>
        </w:rPr>
      </w:pPr>
      <w:r>
        <w:rPr>
          <w:rFonts w:hint="eastAsia" w:hAnsi="Calibri"/>
          <w:color w:val="000000"/>
        </w:rPr>
        <w:t>本基金跟踪的标的指数为中证红利低波动指数，业绩基准为中证红利低波动指数收益率×95%+银行人民币活期存款利率（税后）×5%。中证红利低波动指数选取A股市场中股息率高且波动率低的50只股票作为样本股，旨在反映分红水平高且波动率低的股票的整体表现。本基金的投资策略，正常情况下主要采用完全复制法进行投资，力争将年化跟踪误差控制在2%以内，日跟踪偏离度绝对值的平均值控制在0.20%以内；为了更好地实现投资目标，当出现特殊情形导致本基金无法有效复制和跟踪标的指数时，本基金将采用包括替代、抽样等技术手段在内的优化复制法来构造股票投资组合。</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4.4.2 报告期内基金的业绩表现</w:t>
      </w:r>
    </w:p>
    <w:p>
      <w:pPr>
        <w:pStyle w:val="20"/>
        <w:spacing w:before="0"/>
        <w:ind w:left="0" w:firstLine="480"/>
        <w:rPr>
          <w:rFonts w:hint="eastAsia"/>
        </w:rPr>
      </w:pPr>
      <w:r>
        <w:rPr>
          <w:rFonts w:hint="eastAsia" w:hAnsi="Calibri"/>
          <w:color w:val="000000"/>
        </w:rPr>
        <w:t>截至报告期末创金合信中证红利低波动指数A基金份额净值为0.8614元，本报告期内，该类基金份额净值增长率为-13.86%，同期业绩比较基准收益率为-14.10%；截至报告期末创金合信中证红利低波动指数C基金份额净值为0.8602元，本报告期内，该类基金份额净值增长率为-13.98%，同期业绩比较基准收益率为-14.10%。</w:t>
      </w:r>
    </w:p>
    <w:p>
      <w:pPr>
        <w:widowControl/>
        <w:jc w:val="left"/>
        <w:rPr>
          <w:rFonts w:hint="eastAsia" w:ascii="宋体" w:hAnsi="宋体" w:cs="宋体"/>
          <w:kern w:val="0"/>
          <w:sz w:val="24"/>
          <w:szCs w:val="24"/>
        </w:rPr>
      </w:pPr>
    </w:p>
    <w:p>
      <w:pPr>
        <w:pStyle w:val="14"/>
        <w:rPr>
          <w:rFonts w:hint="eastAsia"/>
        </w:rPr>
      </w:pPr>
      <w:bookmarkStart w:id="18" w:name="_Toc4173504"/>
      <w:r>
        <w:rPr>
          <w:rFonts w:hint="eastAsia" w:hAnsi="Calibri"/>
          <w:b/>
          <w:color w:val="000000"/>
        </w:rPr>
        <w:t>4.5 管理人对宏观经济、证券市场及行业走势的简要展望</w:t>
      </w:r>
      <w:bookmarkEnd w:id="18"/>
    </w:p>
    <w:p>
      <w:pPr>
        <w:pStyle w:val="20"/>
        <w:spacing w:before="0"/>
        <w:ind w:left="0" w:firstLine="480"/>
        <w:rPr>
          <w:rFonts w:hint="eastAsia"/>
        </w:rPr>
      </w:pPr>
      <w:r>
        <w:rPr>
          <w:rFonts w:hint="eastAsia" w:hAnsi="Calibri"/>
          <w:color w:val="000000"/>
        </w:rPr>
        <w:t>2018年在内外部压力下，中国GDP增速降为6.6%，虽为近年最低，但符合市场普遍预期；近期中美贸易谈判显露出积极态势，加上政府出台的稳增长的各类措施，经济前景的积极面正在增加；证券市场中科创板加速推进，有望带动部分基础性制度的革新，利好资本市场长远发展；当前A股整体估值处于历史低位水平，所谓否极泰来，逆境中增加A股配置的时机悄然来临。</w:t>
      </w:r>
    </w:p>
    <w:p>
      <w:pPr>
        <w:widowControl/>
        <w:jc w:val="left"/>
        <w:rPr>
          <w:rFonts w:hint="eastAsia" w:ascii="宋体" w:hAnsi="宋体" w:cs="宋体"/>
          <w:kern w:val="0"/>
          <w:sz w:val="24"/>
          <w:szCs w:val="24"/>
        </w:rPr>
      </w:pPr>
    </w:p>
    <w:p>
      <w:pPr>
        <w:pStyle w:val="14"/>
        <w:rPr>
          <w:rFonts w:hint="eastAsia"/>
        </w:rPr>
      </w:pPr>
      <w:bookmarkStart w:id="19" w:name="_Toc4173505"/>
      <w:r>
        <w:rPr>
          <w:rFonts w:hint="eastAsia" w:hAnsi="Calibri"/>
          <w:b/>
          <w:color w:val="000000"/>
        </w:rPr>
        <w:t>4.6 管理人内部有关本基金的监察稽核工作情况</w:t>
      </w:r>
      <w:bookmarkEnd w:id="19"/>
    </w:p>
    <w:p>
      <w:pPr>
        <w:pStyle w:val="20"/>
        <w:spacing w:before="0"/>
        <w:ind w:left="0" w:firstLine="480"/>
        <w:rPr>
          <w:rFonts w:hint="eastAsia"/>
        </w:rPr>
      </w:pPr>
      <w:r>
        <w:rPr>
          <w:rFonts w:hint="eastAsia"/>
        </w:rPr>
        <w:t>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p>
    <w:p>
      <w:pPr>
        <w:pStyle w:val="20"/>
        <w:spacing w:before="0"/>
        <w:ind w:left="0" w:firstLine="480"/>
        <w:rPr>
          <w:rFonts w:hint="eastAsia"/>
        </w:rPr>
      </w:pPr>
      <w:r>
        <w:rPr>
          <w:rFonts w:hint="eastAsia"/>
        </w:rPr>
        <w:t>本报告期内，本基金管理人的主要内部监察稽核工作如下：</w:t>
      </w:r>
    </w:p>
    <w:p>
      <w:pPr>
        <w:pStyle w:val="20"/>
        <w:spacing w:before="0"/>
        <w:ind w:left="0" w:firstLine="480"/>
        <w:rPr>
          <w:rFonts w:hint="eastAsia"/>
        </w:rPr>
      </w:pPr>
      <w:r>
        <w:rPr>
          <w:rFonts w:hint="eastAsia"/>
        </w:rPr>
        <w:t>（1）开展全面自查工作，排查各项业务活动中存在的问题或潜在的风险隐患，制定整改计划，并督促按计划完成整改；</w:t>
      </w:r>
    </w:p>
    <w:p>
      <w:pPr>
        <w:pStyle w:val="20"/>
        <w:spacing w:before="0"/>
        <w:ind w:left="0" w:firstLine="480"/>
        <w:rPr>
          <w:rFonts w:hint="eastAsia"/>
        </w:rPr>
      </w:pPr>
      <w:r>
        <w:rPr>
          <w:rFonts w:hint="eastAsia"/>
        </w:rPr>
        <w:t>（2）开展公司专项稽核工作，了解合规风险现状、发现薄弱环节，并持续督导改进；</w:t>
      </w:r>
    </w:p>
    <w:p>
      <w:pPr>
        <w:pStyle w:val="20"/>
        <w:spacing w:before="0"/>
        <w:ind w:left="0" w:firstLine="480"/>
        <w:rPr>
          <w:rFonts w:hint="eastAsia"/>
        </w:rPr>
      </w:pPr>
      <w:r>
        <w:rPr>
          <w:rFonts w:hint="eastAsia"/>
        </w:rPr>
        <w:t>（3）强化合规法务工作。严格审核公司业务、产品及其合同等法律文件，解读最新的法律法规，发布合规提示或警示，举办合规培训；</w:t>
      </w:r>
    </w:p>
    <w:p>
      <w:pPr>
        <w:pStyle w:val="20"/>
        <w:spacing w:before="0"/>
        <w:ind w:left="0" w:firstLine="480"/>
        <w:rPr>
          <w:rFonts w:hint="eastAsia"/>
        </w:rPr>
      </w:pPr>
      <w:r>
        <w:rPr>
          <w:rFonts w:hint="eastAsia"/>
        </w:rPr>
        <w:t>（4）建立健全全面风险管理体系。全面梳理各业务部门的职责与权限，理顺工作流程；同时加强权限管理，健全事前、事中和事后的风险管理体系；</w:t>
      </w:r>
    </w:p>
    <w:p>
      <w:pPr>
        <w:pStyle w:val="20"/>
        <w:spacing w:before="0"/>
        <w:ind w:left="0" w:firstLine="480"/>
        <w:rPr>
          <w:rFonts w:hint="eastAsia"/>
        </w:rPr>
      </w:pPr>
      <w:r>
        <w:rPr>
          <w:rFonts w:hint="eastAsia"/>
        </w:rPr>
        <w:t>（5）完善信息披露工作。修订完善《信息披露制度》等制度，建立统一规范信息披露流程，明确各部门信息披露的职责分工，及时履行信息披露工作；</w:t>
      </w:r>
    </w:p>
    <w:p>
      <w:pPr>
        <w:pStyle w:val="20"/>
        <w:spacing w:before="0"/>
        <w:ind w:left="0" w:firstLine="480"/>
        <w:rPr>
          <w:rFonts w:hint="eastAsia"/>
        </w:rPr>
      </w:pPr>
      <w:r>
        <w:rPr>
          <w:rFonts w:hint="eastAsia"/>
        </w:rPr>
        <w:t>（6）加强关联交易管理。修订《关联交易管理制度》，履行关联交易决策审批程序；</w:t>
      </w:r>
    </w:p>
    <w:p>
      <w:pPr>
        <w:pStyle w:val="20"/>
        <w:spacing w:before="0"/>
        <w:ind w:left="0" w:firstLine="480"/>
        <w:rPr>
          <w:rFonts w:hint="eastAsia"/>
        </w:rPr>
      </w:pPr>
      <w:r>
        <w:rPr>
          <w:rFonts w:hint="eastAsia"/>
        </w:rPr>
        <w:t>（7）建立内幕交易防控机制。公司建立了《内幕交易防控管理办法》，定期开展关于防止内幕交易的合规培训，严防内幕信息传递和内幕交易发生；</w:t>
      </w:r>
    </w:p>
    <w:p>
      <w:pPr>
        <w:pStyle w:val="20"/>
        <w:spacing w:before="0"/>
        <w:ind w:left="0" w:firstLine="480"/>
        <w:rPr>
          <w:rFonts w:hint="eastAsia"/>
        </w:rPr>
      </w:pPr>
      <w:r>
        <w:rPr>
          <w:rFonts w:hint="eastAsia"/>
        </w:rPr>
        <w:t>（8）建立健全公平交易与异常交易管理机制。严格按照法律法规以及公司《公平交易制度》、《异常交易监控与管理制度》的要求，对所管理的不同投资组合之间发生的同向交易和反向交易进行监控，严格禁止同一投资组合在同一交易日内进行反向交易及其他可能导致不公平交易和利益输送的交易行为；</w:t>
      </w:r>
    </w:p>
    <w:p>
      <w:pPr>
        <w:pStyle w:val="20"/>
        <w:spacing w:before="0"/>
        <w:ind w:left="0" w:firstLine="480"/>
        <w:rPr>
          <w:rFonts w:hint="eastAsia"/>
        </w:rPr>
      </w:pPr>
      <w:r>
        <w:rPr>
          <w:rFonts w:hint="eastAsia"/>
        </w:rPr>
        <w:t>（9）建立员工投资行为管理机制，规范员工的证券投资行为。</w:t>
      </w:r>
    </w:p>
    <w:p>
      <w:pPr>
        <w:pStyle w:val="20"/>
        <w:spacing w:before="0"/>
        <w:ind w:left="0" w:firstLine="480"/>
        <w:rPr>
          <w:rFonts w:hint="eastAsia"/>
        </w:rPr>
      </w:pPr>
      <w:r>
        <w:rPr>
          <w:rFonts w:hint="eastAsia"/>
        </w:rPr>
        <w:t>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4"/>
        <w:rPr>
          <w:rFonts w:hint="eastAsia"/>
        </w:rPr>
      </w:pPr>
      <w:bookmarkStart w:id="20" w:name="_Toc4173506"/>
      <w:r>
        <w:rPr>
          <w:rFonts w:hint="eastAsia" w:hAnsi="Calibri"/>
          <w:b/>
          <w:color w:val="000000"/>
        </w:rPr>
        <w:t>4.7 管理人对报告期内基金估值程序等事项的说明</w:t>
      </w:r>
      <w:bookmarkEnd w:id="20"/>
    </w:p>
    <w:p>
      <w:pPr>
        <w:pStyle w:val="20"/>
        <w:spacing w:before="0"/>
        <w:ind w:left="0" w:firstLine="480"/>
        <w:rPr>
          <w:rFonts w:hint="eastAsia"/>
        </w:rPr>
      </w:pPr>
      <w:r>
        <w:rPr>
          <w:rFonts w:hint="eastAsia"/>
        </w:rPr>
        <w:t>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p>
    <w:p>
      <w:pPr>
        <w:pStyle w:val="20"/>
        <w:spacing w:before="0"/>
        <w:ind w:left="0" w:firstLine="480"/>
        <w:rPr>
          <w:rFonts w:hint="eastAsia"/>
        </w:rPr>
      </w:pPr>
      <w:r>
        <w:rPr>
          <w:rFonts w:hint="eastAsia"/>
        </w:rPr>
        <w:t>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4"/>
        <w:rPr>
          <w:rFonts w:hint="eastAsia"/>
        </w:rPr>
      </w:pPr>
      <w:bookmarkStart w:id="21" w:name="_Toc4173507"/>
      <w:r>
        <w:rPr>
          <w:rFonts w:hint="eastAsia"/>
          <w:b/>
          <w:bCs/>
        </w:rPr>
        <w:t>4.8 管理人对报告期内基金利润分配情况的说明</w:t>
      </w:r>
      <w:bookmarkEnd w:id="21"/>
    </w:p>
    <w:p>
      <w:pPr>
        <w:pStyle w:val="20"/>
        <w:spacing w:before="0"/>
        <w:ind w:left="0" w:firstLine="480"/>
        <w:rPr>
          <w:rFonts w:hint="eastAsia"/>
        </w:rPr>
      </w:pPr>
      <w:r>
        <w:rPr>
          <w:rFonts w:hint="eastAsia"/>
        </w:rPr>
        <w:t>本报告期内，本基金未进行利润分配，符合合同约定。</w:t>
      </w:r>
    </w:p>
    <w:p>
      <w:pPr>
        <w:widowControl/>
        <w:jc w:val="left"/>
        <w:rPr>
          <w:rFonts w:hint="eastAsia" w:ascii="宋体" w:hAnsi="宋体" w:cs="宋体"/>
          <w:kern w:val="0"/>
          <w:sz w:val="24"/>
          <w:szCs w:val="24"/>
        </w:rPr>
      </w:pPr>
    </w:p>
    <w:p>
      <w:pPr>
        <w:pStyle w:val="14"/>
        <w:rPr>
          <w:rFonts w:hint="eastAsia"/>
        </w:rPr>
      </w:pPr>
      <w:bookmarkStart w:id="22" w:name="_Toc4173508"/>
      <w:r>
        <w:rPr>
          <w:rFonts w:hint="eastAsia"/>
          <w:b/>
          <w:bCs/>
        </w:rPr>
        <w:t>4.9 报告期内管理人对本基金持有人数或基金资产净值预警情形的说明</w:t>
      </w:r>
      <w:bookmarkEnd w:id="22"/>
    </w:p>
    <w:p>
      <w:pPr>
        <w:pStyle w:val="20"/>
        <w:spacing w:before="0"/>
        <w:ind w:left="0" w:firstLine="480"/>
        <w:rPr>
          <w:rFonts w:hint="eastAsia"/>
        </w:rPr>
      </w:pPr>
      <w:r>
        <w:rPr>
          <w:rFonts w:hint="eastAsia"/>
        </w:rPr>
        <w:t>本基金为发起式基金，不适用本项说明。</w:t>
      </w:r>
    </w:p>
    <w:p>
      <w:pPr>
        <w:widowControl/>
        <w:jc w:val="left"/>
        <w:rPr>
          <w:rFonts w:hint="eastAsia" w:ascii="宋体" w:hAnsi="宋体" w:cs="宋体"/>
          <w:kern w:val="0"/>
          <w:sz w:val="24"/>
          <w:szCs w:val="24"/>
        </w:rPr>
      </w:pPr>
    </w:p>
    <w:p>
      <w:pPr>
        <w:pStyle w:val="13"/>
        <w:rPr>
          <w:rFonts w:hint="eastAsia"/>
        </w:rPr>
      </w:pPr>
      <w:bookmarkStart w:id="23" w:name="_Toc4173509"/>
      <w:r>
        <w:rPr>
          <w:rFonts w:hint="eastAsia" w:hAnsi="Calibri"/>
          <w:b/>
          <w:color w:val="000000"/>
        </w:rPr>
        <w:t>§5  托管人报告</w:t>
      </w:r>
      <w:bookmarkEnd w:id="23"/>
    </w:p>
    <w:p>
      <w:pPr>
        <w:widowControl/>
        <w:jc w:val="left"/>
        <w:rPr>
          <w:rFonts w:hint="eastAsia" w:ascii="宋体" w:hAnsi="宋体" w:cs="宋体"/>
          <w:kern w:val="0"/>
          <w:sz w:val="24"/>
          <w:szCs w:val="24"/>
        </w:rPr>
      </w:pPr>
    </w:p>
    <w:p>
      <w:pPr>
        <w:pStyle w:val="14"/>
        <w:rPr>
          <w:rFonts w:hint="eastAsia"/>
        </w:rPr>
      </w:pPr>
      <w:bookmarkStart w:id="24" w:name="_Toc4173510"/>
      <w:r>
        <w:rPr>
          <w:rFonts w:hint="eastAsia"/>
          <w:b/>
          <w:bCs/>
        </w:rPr>
        <w:t>5.1 报告期内本基金托管人遵规守信情况声明</w:t>
      </w:r>
      <w:bookmarkEnd w:id="24"/>
    </w:p>
    <w:p>
      <w:pPr>
        <w:pStyle w:val="20"/>
        <w:spacing w:before="0"/>
        <w:ind w:left="0" w:firstLine="480"/>
        <w:rPr>
          <w:rFonts w:hint="eastAsia"/>
        </w:rPr>
      </w:pPr>
      <w:r>
        <w:rPr>
          <w:rFonts w:hint="eastAsia"/>
        </w:rPr>
        <w:t>招商银行具备完善的公司治理结构、内部稽核监控制度和风险控制制度，我行在履行托管职责中，严格遵守有关法律法规、托管协议的规定，尽职尽责地履行托管义务并安全保管托管资产。</w:t>
      </w:r>
    </w:p>
    <w:p>
      <w:pPr>
        <w:widowControl/>
        <w:jc w:val="left"/>
        <w:rPr>
          <w:rFonts w:hint="eastAsia" w:ascii="宋体" w:hAnsi="宋体" w:cs="宋体"/>
          <w:kern w:val="0"/>
          <w:sz w:val="24"/>
          <w:szCs w:val="24"/>
        </w:rPr>
      </w:pPr>
    </w:p>
    <w:p>
      <w:pPr>
        <w:pStyle w:val="14"/>
        <w:rPr>
          <w:rFonts w:hint="eastAsia"/>
        </w:rPr>
      </w:pPr>
      <w:bookmarkStart w:id="25" w:name="_Toc4173511"/>
      <w:r>
        <w:rPr>
          <w:rFonts w:hint="eastAsia"/>
          <w:b/>
          <w:bCs/>
        </w:rPr>
        <w:t>5.2 托管人对报告期内本基金投资运作遵规守信、净值计算、利润分配等情况的说明</w:t>
      </w:r>
      <w:bookmarkEnd w:id="25"/>
    </w:p>
    <w:p>
      <w:pPr>
        <w:pStyle w:val="20"/>
        <w:spacing w:before="0"/>
        <w:ind w:left="0" w:firstLine="480"/>
        <w:rPr>
          <w:rFonts w:hint="eastAsia"/>
        </w:rPr>
      </w:pPr>
      <w:r>
        <w:rPr>
          <w:rFonts w:hint="eastAsia"/>
        </w:rPr>
        <w:t>招商银行根据法律法规、托管协议约定的投资监督条款，对托管产品的投资行为进行监督，并根据监管要求履行报告义务。</w:t>
      </w:r>
    </w:p>
    <w:p>
      <w:pPr>
        <w:pStyle w:val="20"/>
        <w:spacing w:before="0"/>
        <w:ind w:left="0" w:firstLine="480"/>
        <w:rPr>
          <w:rFonts w:hint="eastAsia"/>
        </w:rPr>
      </w:pPr>
      <w:r>
        <w:rPr>
          <w:rFonts w:hint="eastAsia"/>
        </w:rPr>
        <w:t>招商银行按照托管协议约定的统一记账方法和会计处理原则，独立地设置、登录和保管本产品的全套账册，进行会计核算和资产估值并与管理人建立对账机制。</w:t>
      </w:r>
    </w:p>
    <w:p>
      <w:pPr>
        <w:pStyle w:val="20"/>
        <w:spacing w:before="0"/>
        <w:ind w:left="0" w:firstLine="480"/>
        <w:rPr>
          <w:rFonts w:hint="eastAsia"/>
        </w:rPr>
      </w:pPr>
      <w:r>
        <w:rPr>
          <w:rFonts w:hint="eastAsia"/>
        </w:rPr>
        <w:t>本年度报告中利润分配情况真实、准确。</w:t>
      </w:r>
    </w:p>
    <w:p>
      <w:pPr>
        <w:widowControl/>
        <w:jc w:val="left"/>
        <w:rPr>
          <w:rFonts w:hint="eastAsia" w:ascii="宋体" w:hAnsi="宋体" w:cs="宋体"/>
          <w:kern w:val="0"/>
          <w:sz w:val="24"/>
          <w:szCs w:val="24"/>
        </w:rPr>
      </w:pPr>
    </w:p>
    <w:p>
      <w:pPr>
        <w:pStyle w:val="14"/>
        <w:rPr>
          <w:rFonts w:hint="eastAsia"/>
        </w:rPr>
      </w:pPr>
      <w:bookmarkStart w:id="26" w:name="_Toc4173512"/>
      <w:r>
        <w:rPr>
          <w:rFonts w:hint="eastAsia"/>
          <w:b/>
          <w:bCs/>
        </w:rPr>
        <w:t>5.3 托管人对本年度报告中财务信息等内容的真实、准确和完整发表意见</w:t>
      </w:r>
      <w:bookmarkEnd w:id="26"/>
    </w:p>
    <w:p>
      <w:pPr>
        <w:pStyle w:val="20"/>
        <w:spacing w:before="0"/>
        <w:ind w:left="0" w:firstLine="480"/>
        <w:rPr>
          <w:rFonts w:hint="eastAsia"/>
        </w:rPr>
      </w:pPr>
      <w:r>
        <w:rPr>
          <w:rFonts w:hint="eastAsia"/>
        </w:rPr>
        <w:t>本年度报告中财务指标、净值表现、财务会计报告、投资组合报告内容真实、准确，不存在虚假记载、误导性陈述或者重大遗漏。</w:t>
      </w:r>
    </w:p>
    <w:p>
      <w:pPr>
        <w:widowControl/>
        <w:jc w:val="left"/>
        <w:rPr>
          <w:rFonts w:hint="eastAsia" w:ascii="宋体" w:hAnsi="宋体" w:cs="宋体"/>
          <w:kern w:val="0"/>
          <w:sz w:val="24"/>
          <w:szCs w:val="24"/>
        </w:rPr>
      </w:pPr>
    </w:p>
    <w:p>
      <w:pPr>
        <w:pStyle w:val="13"/>
        <w:rPr>
          <w:rFonts w:hint="eastAsia"/>
        </w:rPr>
      </w:pPr>
      <w:bookmarkStart w:id="27" w:name="_Toc4173513"/>
      <w:r>
        <w:rPr>
          <w:rFonts w:hint="eastAsia" w:hAnsi="Calibri"/>
          <w:b/>
          <w:color w:val="000000"/>
        </w:rPr>
        <w:t>§6  审计报告</w:t>
      </w:r>
      <w:bookmarkEnd w:id="27"/>
    </w:p>
    <w:p>
      <w:pPr>
        <w:widowControl/>
        <w:jc w:val="left"/>
        <w:rPr>
          <w:rFonts w:hint="eastAsia" w:ascii="宋体" w:hAnsi="宋体" w:cs="宋体"/>
          <w:kern w:val="0"/>
          <w:sz w:val="24"/>
          <w:szCs w:val="24"/>
        </w:rPr>
      </w:pPr>
    </w:p>
    <w:p>
      <w:pPr>
        <w:pStyle w:val="14"/>
        <w:rPr>
          <w:rFonts w:hint="eastAsia"/>
        </w:rPr>
      </w:pPr>
      <w:bookmarkStart w:id="28" w:name="_Toc4173514"/>
      <w:r>
        <w:rPr>
          <w:rFonts w:hint="eastAsia"/>
          <w:b/>
          <w:bCs/>
        </w:rPr>
        <w:t>6.1 审计报告基本信息</w:t>
      </w:r>
      <w:bookmarkEnd w:id="28"/>
    </w:p>
    <w:tbl>
      <w:tblPr>
        <w:tblStyle w:val="7"/>
        <w:tblW w:w="9045" w:type="dxa"/>
        <w:tblInd w:w="108" w:type="dxa"/>
        <w:tblLayout w:type="autofit"/>
        <w:tblCellMar>
          <w:top w:w="0" w:type="dxa"/>
          <w:left w:w="108" w:type="dxa"/>
          <w:bottom w:w="0" w:type="dxa"/>
          <w:right w:w="108" w:type="dxa"/>
        </w:tblCellMar>
      </w:tblPr>
      <w:tblGrid>
        <w:gridCol w:w="3375"/>
        <w:gridCol w:w="5670"/>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普华永道中天审字(2019)第24776号</w:t>
            </w:r>
          </w:p>
        </w:tc>
      </w:tr>
    </w:tbl>
    <w:p>
      <w:pPr>
        <w:widowControl/>
        <w:jc w:val="left"/>
        <w:rPr>
          <w:rFonts w:hint="eastAsia" w:ascii="宋体" w:hAnsi="宋体" w:cs="宋体"/>
          <w:kern w:val="0"/>
          <w:sz w:val="24"/>
          <w:szCs w:val="24"/>
        </w:rPr>
      </w:pPr>
    </w:p>
    <w:p>
      <w:pPr>
        <w:pStyle w:val="14"/>
        <w:rPr>
          <w:rFonts w:hint="eastAsia"/>
        </w:rPr>
      </w:pPr>
      <w:bookmarkStart w:id="29" w:name="_Toc4173515"/>
      <w:r>
        <w:rPr>
          <w:rFonts w:hint="eastAsia"/>
          <w:b/>
          <w:bCs/>
        </w:rPr>
        <w:t>6.2 审计报告的基本内容</w:t>
      </w:r>
      <w:bookmarkEnd w:id="29"/>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创金合信中证红利低波动指数发起式证券投资基金全体基金份额持有人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 我们审计的内容 我们审计了创金合信中证红利低波动指数发起式证券投资基金(以下简称“创金合信中证红利低波动指数基金”)的财务报表，包括2018年12月31日的资产负债表，2018年4月26日(基金合同生效日)至2018年12月31日止期间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中证红利低波动指数基金2018年12月31日的财务状况以及2018年4月26日(基金合同生效日)至2018年12月31日止期间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按照中国注册会计师职业道德守则，我们独立于创金合信中证红利低波动指数基金，并履行了职业道德方面的其他责任。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红利低波动指数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中证红利低波动指数基金的持续经营能力，披露与持续经营相关的事项(如适用)，并运用持续经营假设，除非基金管理人管理层计划清算创金合信中证红利低波动指数基金、终止运营或别无其他现实的选择。 基金管理人治理层负责监督创金合信中证红利低波动指数基金的财务报告过程。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 (二)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中证红利低波动指数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中证红利低波动指数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w:t>
            </w:r>
            <w:r>
              <w:t>1</w:t>
            </w:r>
            <w:r>
              <w:rPr>
                <w:rFonts w:hint="eastAsia"/>
              </w:rPr>
              <w:t>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2019-03-26</w:t>
            </w:r>
          </w:p>
        </w:tc>
      </w:tr>
    </w:tbl>
    <w:p>
      <w:pPr>
        <w:widowControl/>
        <w:jc w:val="left"/>
        <w:rPr>
          <w:rFonts w:hint="eastAsia" w:ascii="宋体" w:hAnsi="宋体" w:cs="宋体"/>
          <w:kern w:val="0"/>
          <w:sz w:val="24"/>
          <w:szCs w:val="24"/>
        </w:rPr>
      </w:pPr>
    </w:p>
    <w:p>
      <w:pPr>
        <w:pStyle w:val="13"/>
        <w:rPr>
          <w:rFonts w:hint="eastAsia"/>
        </w:rPr>
      </w:pPr>
      <w:bookmarkStart w:id="30" w:name="_Toc4173516"/>
      <w:r>
        <w:rPr>
          <w:rFonts w:hint="eastAsia" w:hAnsi="Calibri"/>
          <w:b/>
          <w:color w:val="000000"/>
        </w:rPr>
        <w:t>§7  年度财务报表</w:t>
      </w:r>
      <w:bookmarkEnd w:id="30"/>
    </w:p>
    <w:p>
      <w:pPr>
        <w:widowControl/>
        <w:jc w:val="left"/>
        <w:rPr>
          <w:rFonts w:hint="eastAsia" w:ascii="宋体" w:hAnsi="宋体" w:cs="宋体"/>
          <w:kern w:val="0"/>
          <w:sz w:val="24"/>
          <w:szCs w:val="24"/>
        </w:rPr>
      </w:pPr>
    </w:p>
    <w:p>
      <w:pPr>
        <w:pStyle w:val="14"/>
        <w:rPr>
          <w:rFonts w:hint="eastAsia"/>
        </w:rPr>
      </w:pPr>
      <w:bookmarkStart w:id="31" w:name="_Toc4173517"/>
      <w:r>
        <w:rPr>
          <w:rFonts w:hint="eastAsia"/>
          <w:b/>
          <w:bCs/>
        </w:rPr>
        <w:t>7.1 资产负债表</w:t>
      </w:r>
      <w:bookmarkEnd w:id="31"/>
    </w:p>
    <w:p>
      <w:pPr>
        <w:pStyle w:val="17"/>
        <w:rPr>
          <w:rFonts w:hint="eastAsia"/>
        </w:rPr>
      </w:pPr>
      <w:r>
        <w:rPr>
          <w:rFonts w:hint="eastAsia"/>
        </w:rPr>
        <w:t>会计主体：创金合信中证红利低波动指数发起式证券投资基金</w:t>
      </w:r>
    </w:p>
    <w:p>
      <w:pPr>
        <w:pStyle w:val="17"/>
        <w:rPr>
          <w:rFonts w:hint="eastAsia"/>
        </w:rPr>
      </w:pPr>
      <w:r>
        <w:rPr>
          <w:rFonts w:hint="eastAsia"/>
        </w:rPr>
        <w:t>报告截止日：2018年12月31日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3660"/>
        <w:gridCol w:w="1912"/>
        <w:gridCol w:w="3548"/>
      </w:tblGrid>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资 产 </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 </w:t>
            </w:r>
          </w:p>
          <w:p>
            <w:pPr>
              <w:pStyle w:val="18"/>
              <w:wordWrap w:val="0"/>
              <w:rPr>
                <w:rFonts w:hint="eastAsia"/>
              </w:rPr>
            </w:pPr>
            <w:r>
              <w:rPr>
                <w:rFonts w:hint="eastAsia" w:hAnsi="Calibri"/>
                <w:color w:val="000000"/>
              </w:rPr>
              <w:t>2018年12月31日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资 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321,820.64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4,095.61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456.29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9,477,948.80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9,176,628.80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贵金属投资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8,458.65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4,008.03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9,816,788.02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负债和所有者权益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 </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负 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短期借款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卖出回购金融资产款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4,162.99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832.59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857.51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3,381.13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应交税费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111,000.00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120,234.22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实收基金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11,264,768.52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-1,568,214.72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9,696,553.80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负债和所有者权益总计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9,816,788.02</w:t>
            </w:r>
          </w:p>
        </w:tc>
      </w:tr>
    </w:tbl>
    <w:p>
      <w:pPr>
        <w:pStyle w:val="20"/>
        <w:rPr>
          <w:rFonts w:hint="eastAsia"/>
        </w:rPr>
      </w:pPr>
      <w:r>
        <w:rPr>
          <w:rFonts w:hint="eastAsia"/>
        </w:rPr>
        <w:t>注：1.报告截止日2018年12月31日，基金份额总额11,264,768.52份，其中下属A类基金份额5,496,243.44份，C类基金份额5,768,525.08份。下属A类基金份额净值0.8614元，C类基金份额净值0.8602元。</w:t>
      </w:r>
      <w:r>
        <w:rPr>
          <w:rFonts w:hint="eastAsia"/>
        </w:rPr>
        <w:br w:type="textWrapping"/>
      </w:r>
      <w:r>
        <w:rPr>
          <w:rFonts w:hint="eastAsia"/>
        </w:rPr>
        <w:t>2.本财务报表的实际报告期间为2018年4月26日(基金合同生效日)至2018年12月31日。截至报告期末本基金合同生效未满1年，本报告期的财务报表及报表附注均无同期对比数据。</w:t>
      </w:r>
    </w:p>
    <w:p>
      <w:pPr>
        <w:widowControl/>
        <w:jc w:val="left"/>
        <w:rPr>
          <w:rFonts w:hint="eastAsia" w:ascii="宋体" w:hAnsi="宋体" w:cs="宋体"/>
          <w:kern w:val="0"/>
          <w:sz w:val="24"/>
          <w:szCs w:val="24"/>
        </w:rPr>
      </w:pPr>
    </w:p>
    <w:p>
      <w:pPr>
        <w:pStyle w:val="14"/>
        <w:rPr>
          <w:rFonts w:hint="eastAsia"/>
        </w:rPr>
      </w:pPr>
      <w:bookmarkStart w:id="32" w:name="_Toc4173518"/>
      <w:r>
        <w:rPr>
          <w:rFonts w:hint="eastAsia"/>
          <w:b/>
          <w:bCs/>
        </w:rPr>
        <w:t>7.2 利润表</w:t>
      </w:r>
      <w:bookmarkEnd w:id="32"/>
    </w:p>
    <w:p>
      <w:pPr>
        <w:pStyle w:val="17"/>
        <w:rPr>
          <w:rFonts w:hint="eastAsia"/>
        </w:rPr>
      </w:pPr>
      <w:r>
        <w:rPr>
          <w:rFonts w:hint="eastAsia"/>
        </w:rPr>
        <w:t>会计主体：创金合信中证红利低波动指数发起式证券投资基金</w:t>
      </w:r>
    </w:p>
    <w:p>
      <w:pPr>
        <w:pStyle w:val="17"/>
        <w:rPr>
          <w:rFonts w:hint="eastAsia"/>
        </w:rPr>
      </w:pPr>
      <w:r>
        <w:rPr>
          <w:rFonts w:hint="eastAsia"/>
        </w:rPr>
        <w:t>本报告期：2018年04月26日（基金合同生效日）至2018年12月31日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4166"/>
        <w:gridCol w:w="1912"/>
        <w:gridCol w:w="3042"/>
      </w:tblGrid>
      <w:tr>
        <w:tblPrEx>
          <w:tblCellMar>
            <w:top w:w="0" w:type="dxa"/>
            <w:left w:w="108" w:type="dxa"/>
            <w:bottom w:w="0" w:type="dxa"/>
            <w:right w:w="108" w:type="dxa"/>
          </w:tblCellMar>
        </w:tblPrEx>
        <w:trPr>
          <w:wBefore w:w="0" w:type="auto"/>
          <w:trHeight w:val="374" w:hRule="atLeast"/>
        </w:trPr>
        <w:tc>
          <w:tcPr>
            <w:tcW w:w="296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136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本期2018年04月26日（基金合同生效日）至2018年12月31日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一、收入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-1,241,059.80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16,279.34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3,336.58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9,047.14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买入返售金融资产收入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3,895.62</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其他利息收入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2.投资收益（损失以“-”填列）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-554,544.82</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-883,312.34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172.78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贵金属投资收益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衍生工具收益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股利收益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328,594.74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3.公允价值变动收益（损失以“-”号填列）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-703,522.10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4.汇兑收益（损失以“－”号填列）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5.其他收入（损失以“-”号填列）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727.78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减：二、费用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193,571.51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32,976.87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6,595.35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6,612.08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18,484.46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5．利息支出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其中：卖出回购金融资产支出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6．税金及附加</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7．其他费用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128,902.75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三、利润总额（亏损总额以“-”号填列）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-1,434,631.31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减：所得税费用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四、净利润（净亏损以“-”号填列）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-1,434,631.31</w:t>
            </w:r>
          </w:p>
        </w:tc>
      </w:tr>
    </w:tbl>
    <w:p>
      <w:pPr>
        <w:pStyle w:val="20"/>
        <w:rPr>
          <w:rFonts w:hint="eastAsia"/>
        </w:rPr>
      </w:pPr>
      <w:r>
        <w:rPr>
          <w:rFonts w:hint="eastAsia"/>
        </w:rPr>
        <w:t>注：本财务报表的实际报告期间为2018年4月26日(基金合同生效日)至2018年12月31日。截至报告期末本基金合同生效未满1年，本报告期的财务报表及报表附注均无同期对比数据。</w:t>
      </w:r>
    </w:p>
    <w:p>
      <w:pPr>
        <w:widowControl/>
        <w:jc w:val="left"/>
        <w:rPr>
          <w:rFonts w:hint="eastAsia" w:ascii="宋体" w:hAnsi="宋体" w:cs="宋体"/>
          <w:kern w:val="0"/>
          <w:sz w:val="24"/>
          <w:szCs w:val="24"/>
        </w:rPr>
      </w:pPr>
    </w:p>
    <w:p>
      <w:pPr>
        <w:pStyle w:val="14"/>
        <w:rPr>
          <w:rFonts w:hint="eastAsia"/>
        </w:rPr>
      </w:pPr>
      <w:bookmarkStart w:id="33" w:name="_Toc4173519"/>
      <w:r>
        <w:rPr>
          <w:rFonts w:hint="eastAsia"/>
          <w:b/>
          <w:bCs/>
        </w:rPr>
        <w:t>7.3 所有者权益（基金净值）变动表</w:t>
      </w:r>
      <w:bookmarkEnd w:id="33"/>
    </w:p>
    <w:p>
      <w:pPr>
        <w:pStyle w:val="17"/>
        <w:rPr>
          <w:rFonts w:hint="eastAsia"/>
        </w:rPr>
      </w:pPr>
      <w:r>
        <w:rPr>
          <w:rFonts w:hint="eastAsia"/>
        </w:rPr>
        <w:t>会计主体：创金合信中证红利低波动指数发起式证券投资基金</w:t>
      </w:r>
    </w:p>
    <w:p>
      <w:pPr>
        <w:pStyle w:val="17"/>
        <w:rPr>
          <w:rFonts w:hint="eastAsia"/>
        </w:rPr>
      </w:pPr>
      <w:r>
        <w:rPr>
          <w:rFonts w:hint="eastAsia"/>
        </w:rPr>
        <w:t>本报告期：2018年04月26日（基金合同生效日）至2018年12月31日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2299"/>
        <w:gridCol w:w="2156"/>
        <w:gridCol w:w="2156"/>
        <w:gridCol w:w="2587"/>
      </w:tblGrid>
      <w:tr>
        <w:tblPrEx>
          <w:tblCellMar>
            <w:top w:w="0" w:type="dxa"/>
            <w:left w:w="108" w:type="dxa"/>
            <w:bottom w:w="0" w:type="dxa"/>
            <w:right w:w="108" w:type="dxa"/>
          </w:tblCellMar>
        </w:tblPrEx>
        <w:trPr>
          <w:wBefore w:w="0" w:type="auto"/>
        </w:trPr>
        <w:tc>
          <w:tcPr>
            <w:tcW w:w="1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 </w:t>
            </w:r>
          </w:p>
          <w:p>
            <w:pPr>
              <w:pStyle w:val="18"/>
              <w:wordWrap w:val="0"/>
              <w:rPr>
                <w:rFonts w:hint="eastAsia"/>
              </w:rPr>
            </w:pPr>
            <w:r>
              <w:rPr>
                <w:rFonts w:hint="eastAsia"/>
              </w:rPr>
              <w:t>2018年04月26日（基金合同生效日）至2018年12月31日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10,081,605.37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10,081,605.37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-1,434,631.31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-1,434,631.31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1,183,163.15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-133,583.41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1,049,579.74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1,763,835.17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-200,820.71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1,563,014.46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-580,672.02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67,237.30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-513,434.72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11,264,768.52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-1,568,214.72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9,696,553.80</w:t>
            </w:r>
          </w:p>
        </w:tc>
      </w:tr>
    </w:tbl>
    <w:p>
      <w:pPr>
        <w:pStyle w:val="20"/>
        <w:rPr>
          <w:rFonts w:hint="eastAsia"/>
        </w:rPr>
      </w:pPr>
      <w:r>
        <w:rPr>
          <w:rFonts w:hint="eastAsia"/>
        </w:rPr>
        <w:t>注：本财务报表的实际报告期间为2018年4月26日(基金合同生效日)至2018年12月31日。截至报告期末本基金合同生效未满1年，本报告期的财务报表及报表附注均无同期对比数据。</w:t>
      </w:r>
    </w:p>
    <w:p>
      <w:pPr>
        <w:pStyle w:val="17"/>
        <w:rPr>
          <w:rFonts w:hint="eastAsia"/>
        </w:rPr>
      </w:pPr>
      <w:r>
        <w:rPr>
          <w:rFonts w:hint="eastAsia"/>
        </w:rPr>
        <w:t>报表附注为财务报表的组成部分。</w:t>
      </w:r>
    </w:p>
    <w:p>
      <w:pPr>
        <w:pStyle w:val="17"/>
        <w:rPr>
          <w:rFonts w:hint="eastAsia"/>
        </w:rPr>
      </w:pPr>
      <w:r>
        <w:rPr>
          <w:rFonts w:hint="eastAsia"/>
        </w:rPr>
        <w:t>本报告7.1至7.4财务报表由下列负责人签署:</w:t>
      </w:r>
    </w:p>
    <w:tbl>
      <w:tblPr>
        <w:tblStyle w:val="7"/>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17"/>
              <w:wordWrap w:val="0"/>
              <w:rPr>
                <w:rFonts w:hint="eastAsia"/>
              </w:rPr>
            </w:pPr>
            <w:r>
              <w:rPr>
                <w:rFonts w:hint="eastAsia" w:hAnsi="Calibri"/>
                <w:color w:val="000000"/>
              </w:rPr>
              <w:t>苏彦祝</w:t>
            </w:r>
          </w:p>
          <w:p>
            <w:pPr>
              <w:pStyle w:val="17"/>
              <w:wordWrap w:val="0"/>
              <w:rPr>
                <w:rFonts w:hint="eastAsia"/>
              </w:rPr>
            </w:pPr>
            <w:r>
              <w:rPr>
                <w:rFonts w:hint="eastAsia"/>
              </w:rPr>
              <w:t>—————————</w:t>
            </w:r>
          </w:p>
          <w:p>
            <w:pPr>
              <w:pStyle w:val="17"/>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17"/>
              <w:wordWrap w:val="0"/>
              <w:rPr>
                <w:rFonts w:hint="eastAsia"/>
              </w:rPr>
            </w:pPr>
            <w:r>
              <w:rPr>
                <w:rFonts w:hint="eastAsia"/>
              </w:rPr>
              <w:t>黄越岷</w:t>
            </w:r>
          </w:p>
          <w:p>
            <w:pPr>
              <w:pStyle w:val="17"/>
              <w:wordWrap w:val="0"/>
              <w:rPr>
                <w:rFonts w:hint="eastAsia"/>
              </w:rPr>
            </w:pPr>
            <w:r>
              <w:rPr>
                <w:rFonts w:hint="eastAsia"/>
              </w:rPr>
              <w:t>—————————</w:t>
            </w:r>
          </w:p>
          <w:p>
            <w:pPr>
              <w:pStyle w:val="17"/>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17"/>
              <w:wordWrap w:val="0"/>
              <w:rPr>
                <w:rFonts w:hint="eastAsia"/>
              </w:rPr>
            </w:pPr>
            <w:r>
              <w:rPr>
                <w:rFonts w:hint="eastAsia"/>
              </w:rPr>
              <w:t>安兆国</w:t>
            </w:r>
          </w:p>
          <w:p>
            <w:pPr>
              <w:pStyle w:val="17"/>
              <w:wordWrap w:val="0"/>
              <w:rPr>
                <w:rFonts w:hint="eastAsia"/>
              </w:rPr>
            </w:pPr>
            <w:r>
              <w:rPr>
                <w:rFonts w:hint="eastAsia"/>
              </w:rPr>
              <w:t>—————————</w:t>
            </w:r>
          </w:p>
          <w:p>
            <w:pPr>
              <w:pStyle w:val="17"/>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4"/>
        <w:rPr>
          <w:rFonts w:hint="eastAsia"/>
        </w:rPr>
      </w:pPr>
      <w:bookmarkStart w:id="34" w:name="_Toc4173520"/>
      <w:r>
        <w:rPr>
          <w:rFonts w:hint="eastAsia"/>
          <w:b/>
          <w:bCs/>
        </w:rPr>
        <w:t>7.4 报表附注</w:t>
      </w:r>
      <w:bookmarkEnd w:id="34"/>
    </w:p>
    <w:p>
      <w:pPr>
        <w:pStyle w:val="15"/>
        <w:rPr>
          <w:rFonts w:hint="eastAsia"/>
        </w:rPr>
      </w:pPr>
      <w:r>
        <w:rPr>
          <w:rFonts w:hint="eastAsia"/>
          <w:b/>
          <w:bCs/>
        </w:rPr>
        <w:t>7.4.1 基金基本情况</w:t>
      </w:r>
    </w:p>
    <w:p>
      <w:pPr>
        <w:pStyle w:val="20"/>
        <w:spacing w:before="0"/>
        <w:ind w:left="0" w:firstLine="480"/>
        <w:rPr>
          <w:rFonts w:hint="eastAsia"/>
        </w:rPr>
      </w:pPr>
      <w:r>
        <w:rPr>
          <w:rFonts w:hint="eastAsia"/>
        </w:rPr>
        <w:t>创金合信中证红利低波动指数发起式证券投资基金(以下简称"本基金")经中国证券监督管理委员会(以下简称"中国证监会")证监许可[2017]2158号《关于准予创金合信中证红利低波动指数发起式证券投资基金注册的批复》核准，由创金合信基金管理有限公司依照《中华人民共和国证券投资基金法》和《创金合信中证红利低波动指数发起式证券投资基金基金合同》负责公开募集。本基金为契约型开放式，存续期限不定，首次设立募集不包括认购资金利息共募集人民币10,080,197.60元，业经普华永道中天会计师事务所(特殊普通合伙)普华永道中天验字(2018)第0246号验资报告予以验证。经向中国证监会备案，《创金合信中证红利低波动指数发起式证券投资基金基金合同》于2018年4月26日正式生效，基金合同生效日的基金份额总额为10,081,605.37份基金份额，其中认购资金利息折合1,407.77份基金份额。本基金的基金管理人为创金合信基金管理有限公司，基金托管人为招商银行股份有限公司(以下简称"招商银行")。</w:t>
      </w:r>
    </w:p>
    <w:p>
      <w:pPr>
        <w:pStyle w:val="20"/>
        <w:spacing w:before="0"/>
        <w:ind w:left="0" w:firstLine="480"/>
        <w:rPr>
          <w:rFonts w:hint="eastAsia"/>
        </w:rPr>
      </w:pPr>
      <w:r>
        <w:rPr>
          <w:rFonts w:hint="eastAsia"/>
        </w:rPr>
        <w:t>本基金为发起式基金，发起资金认购部分为10,001,400.14份基金份额，发起资金认购方承诺使用发起资金认购的基金份额持有期限不少于3年。</w:t>
      </w:r>
    </w:p>
    <w:p>
      <w:pPr>
        <w:pStyle w:val="20"/>
        <w:spacing w:before="0"/>
        <w:ind w:left="0" w:firstLine="480"/>
        <w:rPr>
          <w:rFonts w:hint="eastAsia"/>
        </w:rPr>
      </w:pPr>
      <w:r>
        <w:rPr>
          <w:rFonts w:hint="eastAsia"/>
        </w:rPr>
        <w:t>根据《创金合信中证红利低波动指数发起式证券投资基金招募说明书》，本基金根据认购/申购费用与销售服务费收取方式的不同，将基金份额分为不同的类别。在投资人认购/申购时收取认购/申购费用的基金份额，称为A类基金份额；从本类别基金资产中计提销售服务费、不收取认购/申购费用的基金份额，称为C类基金份额。本基金A类、C类基金份额分别设置代码。由于基金费用的不同，本基金A类基金份额和C类基金份额将分别计算基金份额净值，计算公式为计算日各类别基金资产净值除以计算日发售在外的该类别基金份额总数。</w:t>
      </w:r>
    </w:p>
    <w:p>
      <w:pPr>
        <w:pStyle w:val="20"/>
        <w:spacing w:before="0"/>
        <w:ind w:left="0" w:firstLine="480"/>
        <w:rPr>
          <w:rFonts w:hint="eastAsia"/>
        </w:rPr>
      </w:pPr>
      <w:r>
        <w:rPr>
          <w:rFonts w:hint="eastAsia"/>
        </w:rPr>
        <w:t>根据《中华人民共和国证券投资基金法》和《创金合信中证红利低波动指数发起式证券投资基金基金合同》的有关规定，本基金主要投资于标的指数成分股及其备选成分股。为更好地实现投资目标，本基金还可投资于非成分股(包括主板、中小板、创业板及其他经中国证监会允许基金投资的股票)、货币市场工具、金融衍生品(包括权证、股指期货、股票期权等)以及法律法规或中国证监会允许基金投资的其他金融工具(但需符合中国证监会的相关规定)。本基金的投资组合比例为：投资于标的指数成分股及备选成分股的比例不低于基金资产的90%，且不低于非现金基金资产的80%；每个交易日日终在扣除股指期货合约、股票期权合约需缴纳的交易保证金后，基金保留的现金以及到期日在一年以内的政府债券的比例不低于基金资产净值的5%；其中，现金不包括结算备付金、存出保证金、应收申购款等；权证、股指期货、股票期权及其他金融工具的投资比例依照法律法规或监管机构的规定执行。本基金的业绩比较基准为：中证红利低波动指数收益率×95%+银行人民币活期存款利率(税后)×5%。</w:t>
      </w:r>
    </w:p>
    <w:p>
      <w:pPr>
        <w:widowControl/>
        <w:jc w:val="left"/>
        <w:rPr>
          <w:rFonts w:hint="eastAsia" w:ascii="宋体" w:hAnsi="宋体" w:cs="宋体"/>
          <w:kern w:val="0"/>
          <w:sz w:val="24"/>
          <w:szCs w:val="24"/>
        </w:rPr>
      </w:pPr>
    </w:p>
    <w:p>
      <w:pPr>
        <w:pStyle w:val="15"/>
        <w:rPr>
          <w:rFonts w:hint="eastAsia"/>
        </w:rPr>
      </w:pPr>
      <w:r>
        <w:rPr>
          <w:rFonts w:hint="eastAsia"/>
          <w:b/>
          <w:bCs/>
        </w:rPr>
        <w:t>7.4.2 会计报表的编制基础</w:t>
      </w:r>
    </w:p>
    <w:p>
      <w:pPr>
        <w:pStyle w:val="20"/>
        <w:spacing w:before="0"/>
        <w:ind w:left="0" w:firstLine="480"/>
        <w:rPr>
          <w:rFonts w:hint="eastAsia"/>
        </w:rPr>
      </w:pPr>
      <w:r>
        <w:rPr>
          <w:rFonts w:hint="eastAsia"/>
        </w:rPr>
        <w:t>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中证红利低波动指数发起式证券投资基金基金合同》和在财务报表附注7.4.4所列示的中国证监会、中国基金业协会发布的有关规定及允许的基金行业实务操作编制。</w:t>
      </w:r>
    </w:p>
    <w:p>
      <w:pPr>
        <w:pStyle w:val="20"/>
        <w:spacing w:before="0"/>
        <w:ind w:left="0" w:firstLine="480"/>
        <w:rPr>
          <w:rFonts w:hint="eastAsia"/>
        </w:rPr>
      </w:pPr>
      <w:r>
        <w:rPr>
          <w:rFonts w:hint="eastAsia"/>
        </w:rPr>
        <w:t>本财务报表以持续经营为基础编制。</w:t>
      </w:r>
    </w:p>
    <w:p>
      <w:pPr>
        <w:widowControl/>
        <w:jc w:val="left"/>
        <w:rPr>
          <w:rFonts w:hint="eastAsia" w:ascii="宋体" w:hAnsi="宋体" w:cs="宋体"/>
          <w:kern w:val="0"/>
          <w:sz w:val="24"/>
          <w:szCs w:val="24"/>
        </w:rPr>
      </w:pPr>
    </w:p>
    <w:p>
      <w:pPr>
        <w:pStyle w:val="15"/>
        <w:rPr>
          <w:rFonts w:hint="eastAsia"/>
        </w:rPr>
      </w:pPr>
      <w:r>
        <w:rPr>
          <w:rFonts w:hint="eastAsia"/>
          <w:b/>
          <w:bCs/>
        </w:rPr>
        <w:t>7.4.3 遵循企业会计准则及其他有关规定的声明</w:t>
      </w:r>
    </w:p>
    <w:p>
      <w:pPr>
        <w:pStyle w:val="20"/>
        <w:spacing w:before="0"/>
        <w:ind w:left="0" w:firstLine="480"/>
        <w:rPr>
          <w:rFonts w:hint="eastAsia"/>
        </w:rPr>
      </w:pPr>
      <w:r>
        <w:rPr>
          <w:rFonts w:hint="eastAsia"/>
        </w:rPr>
        <w:t>本基金2018年4月26日(基金合同生效日)至2018年12月31日止期间的财务报表符合企业会计准则的要求，真实、完整地反映了本基金2018年12月31日的财务状况以及2018年4月26日(基金合同生效日)至2018年12月31日止期间的经营成果和基金净值变动情况等有关信息。</w:t>
      </w:r>
    </w:p>
    <w:p>
      <w:pPr>
        <w:widowControl/>
        <w:jc w:val="left"/>
        <w:rPr>
          <w:rFonts w:hint="eastAsia" w:ascii="宋体" w:hAnsi="宋体" w:cs="宋体"/>
          <w:kern w:val="0"/>
          <w:sz w:val="24"/>
          <w:szCs w:val="24"/>
        </w:rPr>
      </w:pPr>
    </w:p>
    <w:p>
      <w:pPr>
        <w:pStyle w:val="15"/>
        <w:rPr>
          <w:rFonts w:hint="eastAsia"/>
        </w:rPr>
      </w:pPr>
      <w:r>
        <w:rPr>
          <w:rFonts w:hint="eastAsia"/>
          <w:b/>
          <w:bCs/>
        </w:rPr>
        <w:t>7.4.4 重要会计政策和会计估计</w:t>
      </w:r>
    </w:p>
    <w:p>
      <w:pPr>
        <w:pStyle w:val="15"/>
        <w:rPr>
          <w:rFonts w:hint="eastAsia"/>
        </w:rPr>
      </w:pPr>
      <w:r>
        <w:rPr>
          <w:rFonts w:hint="eastAsia"/>
          <w:b/>
          <w:bCs/>
        </w:rPr>
        <w:t>7.4.4.1 会计年度</w:t>
      </w:r>
    </w:p>
    <w:p>
      <w:pPr>
        <w:pStyle w:val="20"/>
        <w:spacing w:before="0"/>
        <w:ind w:left="0" w:firstLine="480"/>
        <w:rPr>
          <w:rFonts w:hint="eastAsia"/>
        </w:rPr>
      </w:pPr>
      <w:r>
        <w:rPr>
          <w:rFonts w:hint="eastAsia"/>
        </w:rPr>
        <w:t>本基金会计年度为公历1月1日起至12月31日止。本期财务报表的实际编制期间为2018年4月26日(基金合同生效日)至2018年12月31日。</w:t>
      </w:r>
    </w:p>
    <w:p>
      <w:pPr>
        <w:widowControl/>
        <w:jc w:val="left"/>
        <w:rPr>
          <w:rFonts w:hint="eastAsia" w:ascii="宋体" w:hAnsi="宋体" w:cs="宋体"/>
          <w:kern w:val="0"/>
          <w:sz w:val="24"/>
          <w:szCs w:val="24"/>
        </w:rPr>
      </w:pPr>
    </w:p>
    <w:p>
      <w:pPr>
        <w:pStyle w:val="15"/>
        <w:rPr>
          <w:rFonts w:hint="eastAsia"/>
        </w:rPr>
      </w:pPr>
      <w:r>
        <w:rPr>
          <w:rFonts w:hint="eastAsia"/>
          <w:b/>
          <w:bCs/>
        </w:rPr>
        <w:t>7.4.4.2 记账本位币</w:t>
      </w:r>
    </w:p>
    <w:p>
      <w:pPr>
        <w:pStyle w:val="20"/>
        <w:spacing w:before="0"/>
        <w:ind w:left="0" w:firstLine="480"/>
        <w:rPr>
          <w:rFonts w:hint="eastAsia"/>
        </w:rPr>
      </w:pPr>
      <w:r>
        <w:rPr>
          <w:rFonts w:hint="eastAsia"/>
        </w:rPr>
        <w:t>本基金的记账本位币为人民币。</w:t>
      </w:r>
    </w:p>
    <w:p>
      <w:pPr>
        <w:widowControl/>
        <w:jc w:val="left"/>
        <w:rPr>
          <w:rFonts w:hint="eastAsia" w:ascii="宋体" w:hAnsi="宋体" w:cs="宋体"/>
          <w:kern w:val="0"/>
          <w:sz w:val="24"/>
          <w:szCs w:val="24"/>
        </w:rPr>
      </w:pPr>
    </w:p>
    <w:p>
      <w:pPr>
        <w:pStyle w:val="15"/>
        <w:rPr>
          <w:rFonts w:hint="eastAsia"/>
        </w:rPr>
      </w:pPr>
      <w:r>
        <w:rPr>
          <w:rFonts w:hint="eastAsia"/>
          <w:b/>
          <w:bCs/>
        </w:rPr>
        <w:t>7.4.4.3 金融资产和金融负债的分类</w:t>
      </w:r>
    </w:p>
    <w:p>
      <w:pPr>
        <w:pStyle w:val="20"/>
        <w:spacing w:before="0"/>
        <w:ind w:left="0" w:firstLine="480"/>
        <w:rPr>
          <w:rFonts w:hint="eastAsia"/>
        </w:rPr>
      </w:pPr>
      <w:r>
        <w:rPr>
          <w:rFonts w:hint="eastAsia"/>
        </w:rPr>
        <w:t>(1) 金融资产的分类</w:t>
      </w:r>
    </w:p>
    <w:p>
      <w:pPr>
        <w:pStyle w:val="20"/>
        <w:spacing w:before="0"/>
        <w:ind w:left="0" w:firstLine="480"/>
        <w:rPr>
          <w:rFonts w:hint="eastAsia"/>
        </w:rPr>
      </w:pPr>
      <w:r>
        <w:rPr>
          <w:rFonts w:hint="eastAsia"/>
        </w:rPr>
        <w:t>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p>
    <w:p>
      <w:pPr>
        <w:pStyle w:val="20"/>
        <w:spacing w:before="0"/>
        <w:ind w:left="0" w:firstLine="480"/>
        <w:rPr>
          <w:rFonts w:hint="eastAsia"/>
        </w:rPr>
      </w:pPr>
      <w:r>
        <w:rPr>
          <w:rFonts w:hint="eastAsia"/>
        </w:rPr>
        <w:t>本基金目前以交易目的持有的股票投资、债券投资和衍生工具分类为以公允价值计量且其变动计入当期损益的金融资产。除衍生工具所产生的金融资产在资产负债表中以衍生金融资产列示外，以公允价值计量且其变动计入当期损益的金融资产在资产负债表中以交易性金融资产列示。</w:t>
      </w:r>
    </w:p>
    <w:p>
      <w:pPr>
        <w:pStyle w:val="20"/>
        <w:spacing w:before="0"/>
        <w:ind w:left="0" w:firstLine="480"/>
        <w:rPr>
          <w:rFonts w:hint="eastAsia"/>
        </w:rPr>
      </w:pPr>
      <w:r>
        <w:rPr>
          <w:rFonts w:hint="eastAsia"/>
        </w:rPr>
        <w:t>本基金持有的其他金融资产分类为应收款项，包括银行存款、买入返售金融资产和其他各类应收款项等。应收款项是指在活跃市场中没有报价、回收金额固定或可确定的非衍生金融资产。</w:t>
      </w:r>
    </w:p>
    <w:p>
      <w:pPr>
        <w:pStyle w:val="20"/>
        <w:spacing w:before="0"/>
        <w:ind w:left="0" w:firstLine="480"/>
        <w:rPr>
          <w:rFonts w:hint="eastAsia"/>
        </w:rPr>
      </w:pPr>
      <w:r>
        <w:rPr>
          <w:rFonts w:hint="eastAsia"/>
        </w:rPr>
        <w:t>(2) 金融负债的分类</w:t>
      </w:r>
    </w:p>
    <w:p>
      <w:pPr>
        <w:pStyle w:val="20"/>
        <w:spacing w:before="0"/>
        <w:ind w:left="0" w:firstLine="480"/>
        <w:rPr>
          <w:rFonts w:hint="eastAsia"/>
        </w:rPr>
      </w:pPr>
      <w:r>
        <w:rPr>
          <w:rFonts w:hint="eastAsia"/>
        </w:rPr>
        <w:t>金融负债于初始确认时分类为：以公允价值计量且其变动计入当期损益的金融负债及其他金融负债。本基金目前暂无金融负债分类为以公允价值计量且其变动计入当期损益的金融负债。本基金持有的其他金融负债包括其他各类应付款项等。</w:t>
      </w:r>
    </w:p>
    <w:p>
      <w:pPr>
        <w:widowControl/>
        <w:jc w:val="left"/>
        <w:rPr>
          <w:rFonts w:hint="eastAsia" w:ascii="宋体" w:hAnsi="宋体" w:cs="宋体"/>
          <w:kern w:val="0"/>
          <w:sz w:val="24"/>
          <w:szCs w:val="24"/>
        </w:rPr>
      </w:pPr>
    </w:p>
    <w:p>
      <w:pPr>
        <w:pStyle w:val="15"/>
        <w:rPr>
          <w:rFonts w:hint="eastAsia"/>
        </w:rPr>
      </w:pPr>
      <w:r>
        <w:rPr>
          <w:rFonts w:hint="eastAsia"/>
          <w:b/>
          <w:bCs/>
        </w:rPr>
        <w:t>7.4.4.4 金融资产和金融负债的初始确认、后续计量和终止确认</w:t>
      </w:r>
    </w:p>
    <w:p>
      <w:pPr>
        <w:pStyle w:val="20"/>
        <w:spacing w:before="0"/>
        <w:ind w:left="0" w:firstLine="480"/>
        <w:rPr>
          <w:rFonts w:hint="eastAsia"/>
        </w:rPr>
      </w:pPr>
      <w:r>
        <w:rPr>
          <w:rFonts w:hint="eastAsia"/>
        </w:rPr>
        <w:t>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p>
    <w:p>
      <w:pPr>
        <w:pStyle w:val="20"/>
        <w:spacing w:before="0"/>
        <w:ind w:left="0" w:firstLine="480"/>
        <w:rPr>
          <w:rFonts w:hint="eastAsia"/>
        </w:rPr>
      </w:pPr>
      <w:r>
        <w:rPr>
          <w:rFonts w:hint="eastAsia"/>
        </w:rPr>
        <w:t>对于以公允价值计量且其变动计入当期损益的金融资产，按照公允价值进行后续计量；对于应收款项和其他金融负债采用实际利率法，以摊余成本进行后续计量。</w:t>
      </w:r>
    </w:p>
    <w:p>
      <w:pPr>
        <w:pStyle w:val="20"/>
        <w:spacing w:before="0"/>
        <w:ind w:left="0" w:firstLine="480"/>
        <w:rPr>
          <w:rFonts w:hint="eastAsia"/>
        </w:rPr>
      </w:pPr>
      <w:r>
        <w:rPr>
          <w:rFonts w:hint="eastAsia"/>
        </w:rPr>
        <w:t>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p>
    <w:p>
      <w:pPr>
        <w:pStyle w:val="20"/>
        <w:spacing w:before="0"/>
        <w:ind w:left="0" w:firstLine="480"/>
        <w:rPr>
          <w:rFonts w:hint="eastAsia"/>
        </w:rPr>
      </w:pPr>
      <w:r>
        <w:rPr>
          <w:rFonts w:hint="eastAsia"/>
        </w:rPr>
        <w:t>金融资产终止确认时，其账面价值与收到的对价的差额，计入当期损益。</w:t>
      </w:r>
    </w:p>
    <w:p>
      <w:pPr>
        <w:pStyle w:val="20"/>
        <w:spacing w:before="0"/>
        <w:ind w:left="0" w:firstLine="480"/>
        <w:rPr>
          <w:rFonts w:hint="eastAsia"/>
        </w:rPr>
      </w:pPr>
      <w:r>
        <w:rPr>
          <w:rFonts w:hint="eastAsia"/>
        </w:rPr>
        <w:t>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15"/>
        <w:rPr>
          <w:rFonts w:hint="eastAsia"/>
        </w:rPr>
      </w:pPr>
      <w:r>
        <w:rPr>
          <w:rFonts w:hint="eastAsia"/>
          <w:b/>
          <w:bCs/>
        </w:rPr>
        <w:t>7.4.4.5 金融资产和金融负债的估值原则</w:t>
      </w:r>
    </w:p>
    <w:p>
      <w:pPr>
        <w:pStyle w:val="20"/>
        <w:spacing w:before="0"/>
        <w:ind w:left="0" w:firstLine="480"/>
        <w:rPr>
          <w:rFonts w:hint="eastAsia"/>
        </w:rPr>
      </w:pPr>
      <w:r>
        <w:rPr>
          <w:rFonts w:hint="eastAsia"/>
        </w:rPr>
        <w:t>本基金持有的股票投资、债券投资和衍生工具按如下原则确定公允价值并进行估值：</w:t>
      </w:r>
    </w:p>
    <w:p>
      <w:pPr>
        <w:pStyle w:val="20"/>
        <w:spacing w:before="0"/>
        <w:ind w:left="0" w:firstLine="480"/>
        <w:rPr>
          <w:rFonts w:hint="eastAsia"/>
        </w:rPr>
      </w:pPr>
      <w:r>
        <w:rPr>
          <w:rFonts w:hint="eastAsia"/>
        </w:rPr>
        <w:t>(1) 存在活跃市场的金融工具按其估值日的市场交易价格确定公允价值；估值日无交易且最近交易日后未发生影响公允价值计量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p>
    <w:p>
      <w:pPr>
        <w:pStyle w:val="20"/>
        <w:spacing w:before="0"/>
        <w:ind w:left="0" w:firstLine="480"/>
        <w:rPr>
          <w:rFonts w:hint="eastAsia"/>
        </w:rPr>
      </w:pPr>
      <w:r>
        <w:rPr>
          <w:rFonts w:hint="eastAsia"/>
        </w:rPr>
        <w:t>(2) 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p>
    <w:p>
      <w:pPr>
        <w:pStyle w:val="20"/>
        <w:spacing w:before="0"/>
        <w:ind w:left="0" w:firstLine="480"/>
        <w:rPr>
          <w:rFonts w:hint="eastAsia"/>
        </w:rPr>
      </w:pPr>
      <w:r>
        <w:rPr>
          <w:rFonts w:hint="eastAsia"/>
        </w:rPr>
        <w:t>(3) 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7.4.4.6 金融资产和金融负债的抵销</w:t>
      </w:r>
    </w:p>
    <w:p>
      <w:pPr>
        <w:pStyle w:val="20"/>
        <w:spacing w:before="0"/>
        <w:ind w:left="0" w:firstLine="480"/>
        <w:rPr>
          <w:rFonts w:hint="eastAsia"/>
        </w:rPr>
      </w:pPr>
      <w:r>
        <w:rPr>
          <w:rFonts w:hint="eastAsia"/>
        </w:rPr>
        <w:t>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15"/>
        <w:rPr>
          <w:rFonts w:hint="eastAsia"/>
        </w:rPr>
      </w:pPr>
      <w:r>
        <w:rPr>
          <w:rFonts w:hint="eastAsia"/>
          <w:b/>
          <w:bCs/>
        </w:rPr>
        <w:t>7.4.4.7 实收基金</w:t>
      </w:r>
    </w:p>
    <w:p>
      <w:pPr>
        <w:pStyle w:val="20"/>
        <w:spacing w:before="0"/>
        <w:ind w:left="0" w:firstLine="480"/>
        <w:rPr>
          <w:rFonts w:hint="eastAsia"/>
        </w:rPr>
      </w:pPr>
      <w:r>
        <w:rPr>
          <w:rFonts w:hint="eastAsia"/>
        </w:rPr>
        <w:t>实收基金为对外发行基金份额所募集的总金额在扣除损益平准金分摊部分后的余额。由于申购和赎回引起的实收基金变动分别于基金申购确认日及基金赎回确认日认列。上述申购和赎回分别包括基金转换所引起的转入基金的实收基金增加和转出基金的实收基金减少。</w:t>
      </w:r>
    </w:p>
    <w:p>
      <w:pPr>
        <w:widowControl/>
        <w:jc w:val="left"/>
        <w:rPr>
          <w:rFonts w:hint="eastAsia" w:ascii="宋体" w:hAnsi="宋体" w:cs="宋体"/>
          <w:kern w:val="0"/>
          <w:sz w:val="24"/>
          <w:szCs w:val="24"/>
        </w:rPr>
      </w:pPr>
    </w:p>
    <w:p>
      <w:pPr>
        <w:pStyle w:val="15"/>
        <w:rPr>
          <w:rFonts w:hint="eastAsia"/>
        </w:rPr>
      </w:pPr>
      <w:r>
        <w:rPr>
          <w:rFonts w:hint="eastAsia"/>
          <w:b/>
          <w:bCs/>
        </w:rPr>
        <w:t>7.4.4.8 损益平准金</w:t>
      </w:r>
    </w:p>
    <w:p>
      <w:pPr>
        <w:pStyle w:val="20"/>
        <w:spacing w:before="0"/>
        <w:ind w:left="0" w:firstLine="480"/>
        <w:rPr>
          <w:rFonts w:hint="eastAsia"/>
        </w:rPr>
      </w:pPr>
      <w:r>
        <w:rPr>
          <w:rFonts w:hint="eastAsia"/>
        </w:rPr>
        <w:t>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认列，并于期末全额转入未分配利润/(累计亏损)。</w:t>
      </w:r>
    </w:p>
    <w:p>
      <w:pPr>
        <w:widowControl/>
        <w:jc w:val="left"/>
        <w:rPr>
          <w:rFonts w:hint="eastAsia" w:ascii="宋体" w:hAnsi="宋体" w:cs="宋体"/>
          <w:kern w:val="0"/>
          <w:sz w:val="24"/>
          <w:szCs w:val="24"/>
        </w:rPr>
      </w:pPr>
    </w:p>
    <w:p>
      <w:pPr>
        <w:pStyle w:val="15"/>
        <w:rPr>
          <w:rFonts w:hint="eastAsia"/>
        </w:rPr>
      </w:pPr>
      <w:r>
        <w:rPr>
          <w:rFonts w:hint="eastAsia"/>
          <w:b/>
          <w:bCs/>
        </w:rPr>
        <w:t>7.4.4.9 收入/（损失）的确认和计量</w:t>
      </w:r>
    </w:p>
    <w:p>
      <w:pPr>
        <w:pStyle w:val="20"/>
        <w:spacing w:before="0"/>
        <w:ind w:left="0" w:firstLine="480"/>
        <w:rPr>
          <w:rFonts w:hint="eastAsia"/>
        </w:rPr>
      </w:pPr>
      <w:r>
        <w:rPr>
          <w:rFonts w:hint="eastAsia"/>
        </w:rPr>
        <w:t>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及由基金管理人缴纳的增值税后的净额确认为利息收入。</w:t>
      </w:r>
    </w:p>
    <w:p>
      <w:pPr>
        <w:pStyle w:val="20"/>
        <w:spacing w:before="0"/>
        <w:ind w:left="0" w:firstLine="480"/>
        <w:rPr>
          <w:rFonts w:hint="eastAsia"/>
        </w:rPr>
      </w:pPr>
      <w:r>
        <w:rPr>
          <w:rFonts w:hint="eastAsia"/>
        </w:rPr>
        <w:t>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p>
    <w:p>
      <w:pPr>
        <w:pStyle w:val="20"/>
        <w:spacing w:before="0"/>
        <w:ind w:left="0" w:firstLine="480"/>
        <w:rPr>
          <w:rFonts w:hint="eastAsia"/>
        </w:rPr>
      </w:pPr>
      <w:r>
        <w:rPr>
          <w:rFonts w:hint="eastAsia"/>
        </w:rPr>
        <w:t>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7.4.4.10 费用的确认和计量</w:t>
      </w:r>
    </w:p>
    <w:p>
      <w:pPr>
        <w:pStyle w:val="20"/>
        <w:spacing w:before="0"/>
        <w:ind w:left="0" w:firstLine="480"/>
        <w:rPr>
          <w:rFonts w:hint="eastAsia"/>
        </w:rPr>
      </w:pPr>
      <w:r>
        <w:rPr>
          <w:rFonts w:hint="eastAsia"/>
        </w:rPr>
        <w:t>本基金的管理人报酬、托管费和销售服务费在费用涵盖期间按基金合同约定的费率和计算方法逐日确认。</w:t>
      </w:r>
    </w:p>
    <w:p>
      <w:pPr>
        <w:pStyle w:val="20"/>
        <w:spacing w:before="0"/>
        <w:ind w:left="0" w:firstLine="480"/>
        <w:rPr>
          <w:rFonts w:hint="eastAsia"/>
        </w:rPr>
      </w:pPr>
      <w:r>
        <w:rPr>
          <w:rFonts w:hint="eastAsia"/>
        </w:rPr>
        <w:t>其他金融负债在持有期间确认的利息支出按实际利率法计算，实际利率法与直线法差异较小的则按直线法计算。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7.4.4.11 基金的收益分配政策</w:t>
      </w:r>
    </w:p>
    <w:p>
      <w:pPr>
        <w:pStyle w:val="20"/>
        <w:spacing w:before="0"/>
        <w:ind w:left="0" w:firstLine="480"/>
        <w:rPr>
          <w:rFonts w:hint="eastAsia"/>
        </w:rPr>
      </w:pPr>
      <w:r>
        <w:rPr>
          <w:rFonts w:hint="eastAsia"/>
        </w:rPr>
        <w:t>本基金的收益分配政策为：(1) 在符合有关基金分红条件的前提下，本基金每年收益分配次数最多为12次，每份基金份额每次收益分配比例不得低于收益分配基准日每份基金份额该次可供分配利润的10%，若《基金合同》生效不满3个月可不进行收益分配；(2) 本基金收益分配方式分两种：现金分红与红利再投资，投资者可选择现金红利或将现金红利自动转为该类别基金份额进行再投资；若投资者不选择，本基金默认的收益分配方式是现金分红；(3) 基金收益分配后基金份额净值不能低于面值，即基金收益分配基准日的基金份额净值减去每单位基金份额收益分配金额后不能低于面值；(4) 同一类别的每一基金份额享有同等分配权。由于本基金A类基金份额与C类基金份额的基金费用不同，不同类别的基金份额对应的可供分配利润或将不同；(5) 在对基金份额持有人利益无实质不利影响的前提下，基金管理人与基金托管人协商一致后，可调整基金收益的分配原则和支付方式，不需召开基金份额持有人大会审议；(6) 法律法规或监管机关另有规定的，从其规定。</w:t>
      </w:r>
    </w:p>
    <w:p>
      <w:pPr>
        <w:widowControl/>
        <w:jc w:val="left"/>
        <w:rPr>
          <w:rFonts w:hint="eastAsia" w:ascii="宋体" w:hAnsi="宋体" w:cs="宋体"/>
          <w:kern w:val="0"/>
          <w:sz w:val="24"/>
          <w:szCs w:val="24"/>
        </w:rPr>
      </w:pPr>
    </w:p>
    <w:p>
      <w:pPr>
        <w:pStyle w:val="15"/>
        <w:rPr>
          <w:rFonts w:hint="eastAsia"/>
        </w:rPr>
      </w:pPr>
      <w:r>
        <w:rPr>
          <w:rFonts w:hint="eastAsia"/>
          <w:b/>
          <w:bCs/>
        </w:rPr>
        <w:t>7.4.4.12 分部报告</w:t>
      </w:r>
    </w:p>
    <w:p>
      <w:pPr>
        <w:pStyle w:val="20"/>
        <w:spacing w:before="0"/>
        <w:ind w:left="0" w:firstLine="480"/>
        <w:rPr>
          <w:rFonts w:hint="eastAsia"/>
        </w:rPr>
      </w:pPr>
      <w:r>
        <w:rPr>
          <w:rFonts w:hint="eastAsia"/>
        </w:rPr>
        <w:t>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p>
    <w:p>
      <w:pPr>
        <w:pStyle w:val="20"/>
        <w:spacing w:before="0"/>
        <w:ind w:left="0" w:firstLine="480"/>
        <w:rPr>
          <w:rFonts w:hint="eastAsia"/>
        </w:rPr>
      </w:pPr>
      <w:r>
        <w:rPr>
          <w:rFonts w:hint="eastAsia"/>
        </w:rPr>
        <w:t>本基金目前以一个单一的经营分部运作，不需要披露分部信息。</w:t>
      </w:r>
    </w:p>
    <w:p>
      <w:pPr>
        <w:widowControl/>
        <w:jc w:val="left"/>
        <w:rPr>
          <w:rFonts w:hint="eastAsia" w:ascii="宋体" w:hAnsi="宋体" w:cs="宋体"/>
          <w:kern w:val="0"/>
          <w:sz w:val="24"/>
          <w:szCs w:val="24"/>
        </w:rPr>
      </w:pPr>
    </w:p>
    <w:p>
      <w:pPr>
        <w:pStyle w:val="15"/>
        <w:rPr>
          <w:rFonts w:hint="eastAsia"/>
        </w:rPr>
      </w:pPr>
      <w:r>
        <w:rPr>
          <w:rFonts w:hint="eastAsia"/>
          <w:b/>
          <w:bCs/>
        </w:rPr>
        <w:t>7.4.4.13 其他重要的会计政策和会计估计</w:t>
      </w:r>
    </w:p>
    <w:p>
      <w:pPr>
        <w:pStyle w:val="20"/>
        <w:spacing w:before="0"/>
        <w:ind w:left="0" w:firstLine="480"/>
        <w:rPr>
          <w:rFonts w:hint="eastAsia"/>
        </w:rPr>
      </w:pPr>
      <w:r>
        <w:rPr>
          <w:rFonts w:hint="eastAsia"/>
        </w:rPr>
        <w:t>根据本基金的估值原则和中国证监会允许的基金行业估值实务操作，本基金确定以下类别股票投资、债券投资的公允价值时采用的估值方法及其关键假设如下：</w:t>
      </w:r>
    </w:p>
    <w:p>
      <w:pPr>
        <w:pStyle w:val="20"/>
        <w:spacing w:before="0"/>
        <w:ind w:left="0" w:firstLine="480"/>
        <w:rPr>
          <w:rFonts w:hint="eastAsia"/>
        </w:rPr>
      </w:pPr>
      <w:r>
        <w:rPr>
          <w:rFonts w:hint="eastAsia"/>
        </w:rPr>
        <w:t>(1) 对于证券交易所上市的股票和债券，若出现重大事项停牌或交易不活跃(包括涨跌停时的交易不活跃)等情况，本基金根据中国证监会公告[2017]13号《中国证监会关于证券投资基金估值业务的指导意见》，根据具体情况采用《关于发布中基协(AMAC)基金行业股票估值指数的通知》提供的指数收益法等估值技术进行估值。</w:t>
      </w:r>
    </w:p>
    <w:p>
      <w:pPr>
        <w:pStyle w:val="20"/>
        <w:spacing w:before="0"/>
        <w:ind w:left="0" w:firstLine="480"/>
        <w:rPr>
          <w:rFonts w:hint="eastAsia"/>
        </w:rPr>
      </w:pPr>
      <w:r>
        <w:rPr>
          <w:rFonts w:hint="eastAsia"/>
        </w:rPr>
        <w:t>(2) 对于在证券交易所上市或挂牌转让的固定收益品种(可转换债券、资产支持证券和私募债券除外)及在银行间同业市场交易的固定收益品种，根据中国证监会公告[2017]13号《中国证监会关于证券投资基金估值业务的指导意见》及《中国证券投资基金业协会估值核算工作小组关于2015年1季度固定收益品种的估值处理标准》采用估值技术确定公允价值。本基金持有的证券交易所上市或挂牌转让的固定收益品种(可转换债券、资产支持证券和私募债券除外)，按照中证指数有限公司所独立提供的估值结果确定公允价值。本基金持有的银行间同业市场固定收益品种按照中债金融估值中心有限公司所独立提供的估值结果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7.4.5 会计政策和会计估计变更以及差错更正的说明</w:t>
      </w:r>
    </w:p>
    <w:p>
      <w:pPr>
        <w:pStyle w:val="15"/>
        <w:rPr>
          <w:rFonts w:hint="eastAsia"/>
        </w:rPr>
      </w:pPr>
      <w:r>
        <w:rPr>
          <w:rFonts w:hint="eastAsia"/>
          <w:b/>
          <w:bCs/>
        </w:rPr>
        <w:t>7.4.5.1 会计政策变更的说明</w:t>
      </w:r>
    </w:p>
    <w:p>
      <w:pPr>
        <w:pStyle w:val="20"/>
        <w:spacing w:before="0"/>
        <w:ind w:left="0" w:firstLine="480"/>
        <w:rPr>
          <w:rFonts w:hint="eastAsia"/>
        </w:rPr>
      </w:pPr>
      <w:r>
        <w:rPr>
          <w:rFonts w:hint="eastAsia"/>
        </w:rPr>
        <w:t>本基金本报告期未发生会计政策变更。</w:t>
      </w:r>
    </w:p>
    <w:p>
      <w:pPr>
        <w:widowControl/>
        <w:jc w:val="left"/>
        <w:rPr>
          <w:rFonts w:hint="eastAsia" w:ascii="宋体" w:hAnsi="宋体" w:cs="宋体"/>
          <w:kern w:val="0"/>
          <w:sz w:val="24"/>
          <w:szCs w:val="24"/>
        </w:rPr>
      </w:pPr>
    </w:p>
    <w:p>
      <w:pPr>
        <w:pStyle w:val="15"/>
        <w:rPr>
          <w:rFonts w:hint="eastAsia"/>
        </w:rPr>
      </w:pPr>
      <w:r>
        <w:rPr>
          <w:rFonts w:hint="eastAsia"/>
          <w:b/>
          <w:bCs/>
        </w:rPr>
        <w:t>7.4.5.2 会计估计变更的说明</w:t>
      </w:r>
    </w:p>
    <w:p>
      <w:pPr>
        <w:pStyle w:val="20"/>
        <w:spacing w:before="0"/>
        <w:ind w:left="0" w:firstLine="480"/>
        <w:rPr>
          <w:rFonts w:hint="eastAsia"/>
        </w:rPr>
      </w:pPr>
      <w:r>
        <w:rPr>
          <w:rFonts w:hint="eastAsia"/>
        </w:rPr>
        <w:t>本基金本报告期未发生会计估计变更。</w:t>
      </w:r>
    </w:p>
    <w:p>
      <w:pPr>
        <w:widowControl/>
        <w:jc w:val="left"/>
        <w:rPr>
          <w:rFonts w:hint="eastAsia" w:ascii="宋体" w:hAnsi="宋体" w:cs="宋体"/>
          <w:kern w:val="0"/>
          <w:sz w:val="24"/>
          <w:szCs w:val="24"/>
        </w:rPr>
      </w:pPr>
    </w:p>
    <w:p>
      <w:pPr>
        <w:pStyle w:val="15"/>
        <w:rPr>
          <w:rFonts w:hint="eastAsia"/>
        </w:rPr>
      </w:pPr>
      <w:r>
        <w:rPr>
          <w:rFonts w:hint="eastAsia"/>
          <w:b/>
          <w:bCs/>
        </w:rPr>
        <w:t>7.4.5.3 差错更正的说明</w:t>
      </w:r>
    </w:p>
    <w:p>
      <w:pPr>
        <w:pStyle w:val="20"/>
        <w:spacing w:before="0"/>
        <w:ind w:left="0" w:firstLine="480"/>
        <w:rPr>
          <w:rFonts w:hint="eastAsia"/>
        </w:rPr>
      </w:pPr>
      <w:r>
        <w:rPr>
          <w:rFonts w:hint="eastAsia"/>
        </w:rPr>
        <w:t>本基金在本报告期间无须说明的会计差错更正。</w:t>
      </w:r>
    </w:p>
    <w:p>
      <w:pPr>
        <w:widowControl/>
        <w:jc w:val="left"/>
        <w:rPr>
          <w:rFonts w:hint="eastAsia" w:ascii="宋体" w:hAnsi="宋体" w:cs="宋体"/>
          <w:kern w:val="0"/>
          <w:sz w:val="24"/>
          <w:szCs w:val="24"/>
        </w:rPr>
      </w:pPr>
    </w:p>
    <w:p>
      <w:pPr>
        <w:pStyle w:val="15"/>
        <w:rPr>
          <w:rFonts w:hint="eastAsia"/>
        </w:rPr>
      </w:pPr>
      <w:r>
        <w:rPr>
          <w:rFonts w:hint="eastAsia"/>
          <w:b/>
          <w:bCs/>
        </w:rPr>
        <w:t>7.4.6 税项</w:t>
      </w:r>
    </w:p>
    <w:p>
      <w:pPr>
        <w:pStyle w:val="20"/>
        <w:spacing w:before="0"/>
        <w:ind w:left="0" w:firstLine="480"/>
        <w:rPr>
          <w:rFonts w:hint="eastAsia"/>
        </w:rPr>
      </w:pPr>
      <w:r>
        <w:rPr>
          <w:rFonts w:hint="eastAsia"/>
        </w:rPr>
        <w:t>根据财政部、国家税务总局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财税[2016]140号《关于明确金融 房地产开发 教育辅助服务等增值税政策的通知》、财税[2017]2号《关于资管产品增值税政策有关问题的补充通知》、财税[2017]56号《关于资管产品增值税有关问题的通知》、财税[2017]90号《关于租入固定资产进项税额抵扣等增值税政策的通知》及其他相关财税法规和实务操作，主要税项列示如下：</w:t>
      </w:r>
    </w:p>
    <w:p>
      <w:pPr>
        <w:pStyle w:val="20"/>
        <w:spacing w:before="0"/>
        <w:ind w:left="0" w:firstLine="480"/>
        <w:rPr>
          <w:rFonts w:hint="eastAsia"/>
        </w:rPr>
      </w:pPr>
      <w:r>
        <w:rPr>
          <w:rFonts w:hint="eastAsia"/>
        </w:rPr>
        <w:t>(1) 资管产品运营过程中发生的增值税应税行为，以资管产品管理人为增值税纳税人。资管产品管理人运营资管产品过程中发生的增值税应税行为，暂适用简易计税方法，按照3%的征收率缴纳增值税。</w:t>
      </w:r>
    </w:p>
    <w:p>
      <w:pPr>
        <w:pStyle w:val="20"/>
        <w:spacing w:before="0"/>
        <w:ind w:left="0" w:firstLine="480"/>
        <w:rPr>
          <w:rFonts w:hint="eastAsia"/>
        </w:rPr>
      </w:pPr>
      <w:r>
        <w:rPr>
          <w:rFonts w:hint="eastAsia"/>
        </w:rPr>
        <w:t>对证券投资基金管理人运用基金买卖债券的转让收入免征增值税，对国债、地方政府债以及金融同业往来利息收入亦免征增值税。资管产品管理人运营资管产品提供的贷款服务，以产生的利息及利息性质的收入为销售额。</w:t>
      </w:r>
    </w:p>
    <w:p>
      <w:pPr>
        <w:pStyle w:val="20"/>
        <w:spacing w:before="0"/>
        <w:ind w:left="0" w:firstLine="480"/>
        <w:rPr>
          <w:rFonts w:hint="eastAsia"/>
        </w:rPr>
      </w:pPr>
      <w:r>
        <w:rPr>
          <w:rFonts w:hint="eastAsia"/>
        </w:rPr>
        <w:t>(2) 对基金从证券市场中取得的收入，包括买卖股票、债券的差价收入，股票的股息、红利收入，债券的利息收入及其他收入，暂不征收企业所得税。</w:t>
      </w:r>
    </w:p>
    <w:p>
      <w:pPr>
        <w:pStyle w:val="20"/>
        <w:spacing w:before="0"/>
        <w:ind w:left="0" w:firstLine="480"/>
        <w:rPr>
          <w:rFonts w:hint="eastAsia"/>
        </w:rPr>
      </w:pPr>
      <w:r>
        <w:rPr>
          <w:rFonts w:hint="eastAsia"/>
        </w:rPr>
        <w:t>(3) 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p>
    <w:p>
      <w:pPr>
        <w:pStyle w:val="20"/>
        <w:spacing w:before="0"/>
        <w:ind w:left="0" w:firstLine="480"/>
        <w:rPr>
          <w:rFonts w:hint="eastAsia"/>
        </w:rPr>
      </w:pPr>
      <w:r>
        <w:rPr>
          <w:rFonts w:hint="eastAsia"/>
        </w:rPr>
        <w:t>(4) 基金卖出股票按0.1%的税率缴纳股票交易印花税，买入股票不征收股票交易印花税。</w:t>
      </w:r>
    </w:p>
    <w:p>
      <w:pPr>
        <w:pStyle w:val="20"/>
        <w:spacing w:before="0"/>
        <w:ind w:left="0" w:firstLine="480"/>
        <w:rPr>
          <w:rFonts w:hint="eastAsia"/>
        </w:rPr>
      </w:pPr>
      <w:r>
        <w:rPr>
          <w:rFonts w:hint="eastAsia"/>
        </w:rPr>
        <w:t>(5) 本基金的城市维护建设税、教育费附加和地方教育费附加等税费按照实际缴纳增值税额的适用比例计算缴纳。</w:t>
      </w:r>
    </w:p>
    <w:p>
      <w:pPr>
        <w:widowControl/>
        <w:jc w:val="left"/>
        <w:rPr>
          <w:rFonts w:hint="eastAsia" w:ascii="宋体" w:hAnsi="宋体" w:cs="宋体"/>
          <w:kern w:val="0"/>
          <w:sz w:val="24"/>
          <w:szCs w:val="24"/>
        </w:rPr>
      </w:pPr>
    </w:p>
    <w:p>
      <w:pPr>
        <w:pStyle w:val="15"/>
        <w:rPr>
          <w:rFonts w:hint="eastAsia"/>
        </w:rPr>
      </w:pPr>
      <w:r>
        <w:rPr>
          <w:rFonts w:hint="eastAsia"/>
          <w:b/>
          <w:bCs/>
        </w:rPr>
        <w:t>7.4.7 重要财务报表项目的说明</w:t>
      </w:r>
    </w:p>
    <w:p>
      <w:pPr>
        <w:pStyle w:val="15"/>
        <w:rPr>
          <w:rFonts w:hint="eastAsia"/>
        </w:rPr>
      </w:pPr>
      <w:r>
        <w:rPr>
          <w:rFonts w:hint="eastAsia"/>
          <w:b/>
          <w:bCs/>
        </w:rPr>
        <w:t>7.4.7.1 银行存款</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075"/>
        <w:gridCol w:w="5970"/>
      </w:tblGrid>
      <w:tr>
        <w:tblPrEx>
          <w:tblCellMar>
            <w:top w:w="0" w:type="dxa"/>
            <w:left w:w="108" w:type="dxa"/>
            <w:bottom w:w="0" w:type="dxa"/>
            <w:right w:w="108" w:type="dxa"/>
          </w:tblCellMar>
        </w:tblPrEx>
        <w:trPr>
          <w:wBefore w:w="0" w:type="auto"/>
        </w:trPr>
        <w:tc>
          <w:tcPr>
            <w:tcW w:w="17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321,820.64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其中：存款期限1个月以内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存款期限3个月以上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321,820.64</w:t>
            </w:r>
          </w:p>
        </w:tc>
      </w:tr>
    </w:tbl>
    <w:p>
      <w:pPr>
        <w:widowControl/>
        <w:jc w:val="left"/>
        <w:rPr>
          <w:rFonts w:hint="eastAsia" w:ascii="宋体" w:hAnsi="宋体" w:cs="宋体"/>
          <w:kern w:val="0"/>
          <w:sz w:val="24"/>
          <w:szCs w:val="24"/>
        </w:rPr>
      </w:pPr>
    </w:p>
    <w:p>
      <w:pPr>
        <w:pStyle w:val="15"/>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本期末2018年12月31日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9,880,502.12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9,176,628.80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-703,873.32</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300,968.78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351.22</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300,968.78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351.22</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10,181,470.90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9,477,948.80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-703,522.10</w:t>
            </w:r>
          </w:p>
        </w:tc>
      </w:tr>
    </w:tbl>
    <w:p>
      <w:pPr>
        <w:widowControl/>
        <w:jc w:val="left"/>
        <w:rPr>
          <w:rFonts w:hint="eastAsia" w:ascii="宋体" w:hAnsi="宋体" w:cs="宋体"/>
          <w:kern w:val="0"/>
          <w:sz w:val="24"/>
          <w:szCs w:val="24"/>
        </w:rPr>
      </w:pPr>
    </w:p>
    <w:p>
      <w:pPr>
        <w:pStyle w:val="15"/>
        <w:rPr>
          <w:rFonts w:hint="eastAsia"/>
        </w:rPr>
      </w:pPr>
      <w:r>
        <w:rPr>
          <w:rFonts w:hint="eastAsia"/>
          <w:b/>
          <w:bCs/>
        </w:rPr>
        <w:t>7.4.7.3 衍生金融资产/负债</w:t>
      </w:r>
    </w:p>
    <w:p>
      <w:pPr>
        <w:pStyle w:val="20"/>
        <w:rPr>
          <w:rFonts w:hint="eastAsia"/>
        </w:rPr>
      </w:pPr>
      <w:r>
        <w:rPr>
          <w:rFonts w:hint="eastAsia"/>
        </w:rPr>
        <w:t>本基金本报告期末未持有衍生金融资产/负债。</w:t>
      </w:r>
    </w:p>
    <w:p>
      <w:pPr>
        <w:widowControl/>
        <w:jc w:val="left"/>
        <w:rPr>
          <w:rFonts w:hint="eastAsia" w:ascii="宋体" w:hAnsi="宋体" w:cs="宋体"/>
          <w:kern w:val="0"/>
          <w:sz w:val="24"/>
          <w:szCs w:val="24"/>
        </w:rPr>
      </w:pPr>
    </w:p>
    <w:p>
      <w:pPr>
        <w:pStyle w:val="15"/>
        <w:rPr>
          <w:rFonts w:hint="eastAsia"/>
        </w:rPr>
      </w:pPr>
      <w:r>
        <w:rPr>
          <w:rFonts w:hint="eastAsia"/>
          <w:b/>
          <w:bCs/>
        </w:rPr>
        <w:t>7.4.7.4 买入返售金融资产</w:t>
      </w:r>
    </w:p>
    <w:p>
      <w:pPr>
        <w:pStyle w:val="15"/>
        <w:rPr>
          <w:rFonts w:hint="eastAsia"/>
        </w:rPr>
      </w:pPr>
      <w:r>
        <w:rPr>
          <w:rFonts w:hint="eastAsia"/>
          <w:b/>
          <w:bCs/>
        </w:rPr>
        <w:t>7.4.7.4.1 各项买入返售金融资产期末余额</w:t>
      </w:r>
    </w:p>
    <w:p>
      <w:pPr>
        <w:pStyle w:val="20"/>
        <w:rPr>
          <w:rFonts w:hint="eastAsia"/>
        </w:rPr>
      </w:pPr>
      <w:r>
        <w:rPr>
          <w:rFonts w:hint="eastAsia"/>
        </w:rPr>
        <w:t>本基金本报告期末未持有买入返售金融资产。</w:t>
      </w:r>
    </w:p>
    <w:p>
      <w:pPr>
        <w:widowControl/>
        <w:jc w:val="left"/>
        <w:rPr>
          <w:rFonts w:hint="eastAsia" w:ascii="宋体" w:hAnsi="宋体" w:cs="宋体"/>
          <w:kern w:val="0"/>
          <w:sz w:val="24"/>
          <w:szCs w:val="24"/>
        </w:rPr>
      </w:pPr>
    </w:p>
    <w:p>
      <w:pPr>
        <w:pStyle w:val="15"/>
        <w:rPr>
          <w:rFonts w:hint="eastAsia"/>
        </w:rPr>
      </w:pPr>
      <w:r>
        <w:rPr>
          <w:rFonts w:hint="eastAsia"/>
          <w:b/>
          <w:bCs/>
        </w:rPr>
        <w:t>7.4.7.4.2 期末买断式逆回购交易中取得的债券</w:t>
      </w:r>
    </w:p>
    <w:p>
      <w:pPr>
        <w:pStyle w:val="20"/>
        <w:rPr>
          <w:rFonts w:hint="eastAsia"/>
        </w:rPr>
      </w:pPr>
      <w:r>
        <w:rPr>
          <w:rFonts w:hint="eastAsia"/>
        </w:rPr>
        <w:t>本基金本报告期末未持有买断式逆回购交易中取得的债券。</w:t>
      </w:r>
    </w:p>
    <w:p>
      <w:pPr>
        <w:widowControl/>
        <w:jc w:val="left"/>
        <w:rPr>
          <w:rFonts w:hint="eastAsia" w:ascii="宋体" w:hAnsi="宋体" w:cs="宋体"/>
          <w:kern w:val="0"/>
          <w:sz w:val="24"/>
          <w:szCs w:val="24"/>
        </w:rPr>
      </w:pPr>
    </w:p>
    <w:p>
      <w:pPr>
        <w:pStyle w:val="15"/>
        <w:rPr>
          <w:rFonts w:hint="eastAsia"/>
        </w:rPr>
      </w:pPr>
      <w:r>
        <w:rPr>
          <w:rFonts w:hint="eastAsia"/>
          <w:b/>
          <w:bCs/>
        </w:rPr>
        <w:t>7.4.7.5 应收利息</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8,388.49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应收资产支持证券利息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8,458.65</w:t>
            </w:r>
          </w:p>
        </w:tc>
      </w:tr>
    </w:tbl>
    <w:p>
      <w:pPr>
        <w:widowControl/>
        <w:jc w:val="left"/>
        <w:rPr>
          <w:rFonts w:hint="eastAsia" w:ascii="宋体" w:hAnsi="宋体" w:cs="宋体"/>
          <w:kern w:val="0"/>
          <w:sz w:val="24"/>
          <w:szCs w:val="24"/>
        </w:rPr>
      </w:pPr>
    </w:p>
    <w:p>
      <w:pPr>
        <w:pStyle w:val="15"/>
        <w:rPr>
          <w:rFonts w:hint="eastAsia"/>
        </w:rPr>
      </w:pPr>
      <w:r>
        <w:rPr>
          <w:rFonts w:hint="eastAsia"/>
          <w:b/>
          <w:bCs/>
        </w:rPr>
        <w:t>7.4.7.6 其他资产</w:t>
      </w:r>
    </w:p>
    <w:p>
      <w:pPr>
        <w:pStyle w:val="20"/>
        <w:rPr>
          <w:rFonts w:hint="eastAsia"/>
        </w:rPr>
      </w:pPr>
      <w:r>
        <w:rPr>
          <w:rFonts w:hint="eastAsia"/>
        </w:rPr>
        <w:t>本基金本报告期末未持有其他资产。</w:t>
      </w:r>
    </w:p>
    <w:p>
      <w:pPr>
        <w:widowControl/>
        <w:jc w:val="left"/>
        <w:rPr>
          <w:rFonts w:hint="eastAsia" w:ascii="宋体" w:hAnsi="宋体" w:cs="宋体"/>
          <w:kern w:val="0"/>
          <w:sz w:val="24"/>
          <w:szCs w:val="24"/>
        </w:rPr>
      </w:pPr>
    </w:p>
    <w:p>
      <w:pPr>
        <w:pStyle w:val="15"/>
        <w:rPr>
          <w:rFonts w:hint="eastAsia"/>
        </w:rPr>
      </w:pPr>
      <w:r>
        <w:rPr>
          <w:rFonts w:hint="eastAsia"/>
          <w:b/>
          <w:bCs/>
        </w:rPr>
        <w:t>7.4.7.7 应付交易费用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5796"/>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3,381.13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3,381.13</w:t>
            </w:r>
          </w:p>
        </w:tc>
      </w:tr>
    </w:tbl>
    <w:p>
      <w:pPr>
        <w:widowControl/>
        <w:jc w:val="left"/>
        <w:rPr>
          <w:rFonts w:hint="eastAsia" w:ascii="宋体" w:hAnsi="宋体" w:cs="宋体"/>
          <w:kern w:val="0"/>
          <w:sz w:val="24"/>
          <w:szCs w:val="24"/>
        </w:rPr>
      </w:pPr>
    </w:p>
    <w:p>
      <w:pPr>
        <w:pStyle w:val="15"/>
        <w:rPr>
          <w:rFonts w:hint="eastAsia"/>
        </w:rPr>
      </w:pPr>
      <w:r>
        <w:rPr>
          <w:rFonts w:hint="eastAsia"/>
          <w:b/>
          <w:bCs/>
        </w:rPr>
        <w:t>7.4.7.8 其他负债</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111,000.00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7.4.7.9 实收基金</w:t>
      </w:r>
    </w:p>
    <w:p>
      <w:pPr>
        <w:pStyle w:val="15"/>
        <w:rPr>
          <w:rFonts w:hint="eastAsia"/>
        </w:rPr>
      </w:pPr>
      <w:r>
        <w:rPr>
          <w:rFonts w:hint="eastAsia" w:hAnsi="Calibri"/>
          <w:b/>
          <w:color w:val="000000"/>
        </w:rPr>
        <w:t>7.4.7.9.1 创金合信中证红利低波动指数A</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(创金合信中证红利低波动指数A)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本期2018年04月26日</w:t>
            </w:r>
            <w:r>
              <w:rPr>
                <w:rStyle w:val="27"/>
                <w:rFonts w:hint="eastAsia"/>
              </w:rPr>
              <w:t>（基金合同生效日）</w:t>
            </w:r>
            <w:r>
              <w:rPr>
                <w:rFonts w:hint="eastAsia"/>
              </w:rPr>
              <w:t>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5,043,324.08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5,043,324.08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567,083.44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567,083.44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-114,164.08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-114,164.08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5,496,243.44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5,496,243.44</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7.4.7.9.2 创金合信中证红利低波动指数C</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(创金合信中证红利低波动指数C)</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本期2018年04月26日</w:t>
            </w:r>
            <w:r>
              <w:rPr>
                <w:rStyle w:val="27"/>
                <w:rFonts w:hint="eastAsia"/>
              </w:rPr>
              <w:t>（基金合同生效日）</w:t>
            </w:r>
            <w:r>
              <w:rPr>
                <w:rFonts w:hint="eastAsia"/>
              </w:rPr>
              <w:t>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5,038,281.29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5,038,281.29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1,196,751.73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1,196,751.73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-466,507.94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-466,507.94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5,768,525.08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5,768,525.08</w:t>
            </w:r>
          </w:p>
        </w:tc>
      </w:tr>
    </w:tbl>
    <w:p>
      <w:pPr>
        <w:pStyle w:val="20"/>
        <w:rPr>
          <w:rFonts w:hint="eastAsia"/>
        </w:rPr>
      </w:pPr>
      <w:r>
        <w:rPr>
          <w:rFonts w:hint="eastAsia"/>
        </w:rPr>
        <w:t>注：1.申购含红利再投、转换入份(金)额，赎回含转换出份(金)额。</w:t>
      </w:r>
      <w:r>
        <w:rPr>
          <w:rFonts w:hint="eastAsia"/>
        </w:rPr>
        <w:br w:type="textWrapping"/>
      </w:r>
      <w:r>
        <w:rPr>
          <w:rFonts w:hint="eastAsia"/>
        </w:rPr>
        <w:t>2.本基金自2018年4月9日至2018年4月20日止期间公开发售，共募集有效净认购资金人民币10,080,197.60元。其中A类基金募集有效净认购资金为5,042,617.60元，C类基金募集有效净认购资金为5,037,580.00元。根据《创金合信中证红利低波动指数发起式证券投资基金基金合同》的规定，本基金设立募集期内认购资金产生的利息收入1,407.77元在本基金成立后，折算为1,407.77份基金份额(其中A类基金募集期内认购资金产生的利息收入为706.48元，折算为706.48份基金份额，C类基金募集期内认购资金产生的利息收入为701.29元，折算为701.29份基金份额)，划入基金份额持有人账户。</w:t>
      </w:r>
    </w:p>
    <w:p>
      <w:pPr>
        <w:widowControl/>
        <w:jc w:val="left"/>
        <w:rPr>
          <w:rFonts w:hint="eastAsia" w:ascii="宋体" w:hAnsi="宋体" w:cs="宋体"/>
          <w:kern w:val="0"/>
          <w:sz w:val="24"/>
          <w:szCs w:val="24"/>
        </w:rPr>
      </w:pPr>
    </w:p>
    <w:p>
      <w:pPr>
        <w:pStyle w:val="15"/>
        <w:rPr>
          <w:rFonts w:hint="eastAsia"/>
        </w:rPr>
      </w:pPr>
      <w:r>
        <w:rPr>
          <w:rFonts w:hint="eastAsia"/>
          <w:b/>
          <w:bCs/>
        </w:rPr>
        <w:t>7.4.7.10 未分配利润</w:t>
      </w:r>
    </w:p>
    <w:p>
      <w:pPr>
        <w:pStyle w:val="15"/>
        <w:rPr>
          <w:rFonts w:hint="eastAsia"/>
        </w:rPr>
      </w:pPr>
      <w:r>
        <w:rPr>
          <w:rFonts w:hint="eastAsia" w:hAnsi="Calibri"/>
          <w:b/>
          <w:color w:val="000000"/>
        </w:rPr>
        <w:t>7.4.7.10.1 创金合信中证红利低波动指数A</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(创金合信中证红利低波动指数A)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-353,052.72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-366,297.11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-719,349.83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8,477.55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-50,932.50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-42,454.95</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4,549.44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-58,857.16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-54,307.72</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3,928.11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7,924.66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11,852.77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-344,575.17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-417,229.61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-761,804.78</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7.4.7.10.2 创金合信中证红利低波动指数C</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(创金合信中证红利低波动指数C)</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-378,056.49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-337,224.99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-715,281.48</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9,680.83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-100,809.29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-91,128.46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15,632.73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-162,145.72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-146,512.99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-5,951.90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61,336.43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55,384.53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-368,375.66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-438,034.28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-806,409.94</w:t>
            </w:r>
          </w:p>
        </w:tc>
      </w:tr>
    </w:tbl>
    <w:p>
      <w:pPr>
        <w:widowControl/>
        <w:jc w:val="left"/>
        <w:rPr>
          <w:rFonts w:hint="eastAsia" w:ascii="宋体" w:hAnsi="宋体" w:cs="宋体"/>
          <w:kern w:val="0"/>
          <w:sz w:val="24"/>
          <w:szCs w:val="24"/>
        </w:rPr>
      </w:pPr>
    </w:p>
    <w:p>
      <w:pPr>
        <w:pStyle w:val="15"/>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本期2018年04月26日（基金合同生效日）至2018年12月31日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3,008.81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305.91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3,336.58</w:t>
            </w:r>
          </w:p>
        </w:tc>
      </w:tr>
    </w:tbl>
    <w:p>
      <w:pPr>
        <w:widowControl/>
        <w:jc w:val="left"/>
        <w:rPr>
          <w:rFonts w:hint="eastAsia" w:ascii="宋体" w:hAnsi="宋体" w:cs="宋体"/>
          <w:kern w:val="0"/>
          <w:sz w:val="24"/>
          <w:szCs w:val="24"/>
        </w:rPr>
      </w:pPr>
    </w:p>
    <w:p>
      <w:pPr>
        <w:pStyle w:val="15"/>
        <w:rPr>
          <w:rFonts w:hint="eastAsia"/>
        </w:rPr>
      </w:pPr>
      <w:r>
        <w:rPr>
          <w:rFonts w:hint="eastAsia"/>
          <w:b/>
          <w:bCs/>
        </w:rPr>
        <w:t>7.4.7.12 股票投资收益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2018年04月26日（基金合同生效日）至2018年12月31日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5,479,631.50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减：卖出股票成本总额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6,362,943.84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买卖股票差价收入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-883,312.34</w:t>
            </w:r>
          </w:p>
        </w:tc>
      </w:tr>
    </w:tbl>
    <w:p>
      <w:pPr>
        <w:widowControl/>
        <w:jc w:val="left"/>
        <w:rPr>
          <w:rFonts w:hint="eastAsia" w:ascii="宋体" w:hAnsi="宋体" w:cs="宋体"/>
          <w:kern w:val="0"/>
          <w:sz w:val="24"/>
          <w:szCs w:val="24"/>
        </w:rPr>
      </w:pPr>
    </w:p>
    <w:p>
      <w:pPr>
        <w:pStyle w:val="15"/>
        <w:rPr>
          <w:rFonts w:hint="eastAsia"/>
        </w:rPr>
      </w:pPr>
      <w:r>
        <w:rPr>
          <w:rFonts w:hint="eastAsia"/>
          <w:b/>
          <w:bCs/>
        </w:rPr>
        <w:t>7.4.7.13 债券投资收益</w:t>
      </w:r>
    </w:p>
    <w:p>
      <w:pPr>
        <w:pStyle w:val="15"/>
        <w:rPr>
          <w:rFonts w:hint="eastAsia"/>
        </w:rPr>
      </w:pPr>
      <w:r>
        <w:rPr>
          <w:rFonts w:hint="eastAsia"/>
          <w:b/>
          <w:bCs/>
        </w:rPr>
        <w:t>7.4.7.13.1 债券投资收益项目构成</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6"/>
        <w:gridCol w:w="5879"/>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2018年04月26日（基金合同生效日）至2018年12月31日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债券投资收益——买卖债券（、债转股及债券到期兑付）差价收入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172.78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债券投资收益——赎回差价收入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债券投资收益——申购差价收入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172.78</w:t>
            </w:r>
          </w:p>
        </w:tc>
      </w:tr>
    </w:tbl>
    <w:p>
      <w:pPr>
        <w:widowControl/>
        <w:jc w:val="left"/>
        <w:rPr>
          <w:rFonts w:hint="eastAsia" w:ascii="宋体" w:hAnsi="宋体" w:cs="宋体"/>
          <w:kern w:val="0"/>
          <w:sz w:val="24"/>
          <w:szCs w:val="24"/>
        </w:rPr>
      </w:pPr>
    </w:p>
    <w:p>
      <w:pPr>
        <w:pStyle w:val="15"/>
        <w:rPr>
          <w:rFonts w:hint="eastAsia"/>
        </w:rPr>
      </w:pPr>
      <w:r>
        <w:rPr>
          <w:rFonts w:hint="eastAsia"/>
          <w:b/>
          <w:bCs/>
        </w:rPr>
        <w:t>7.4.7.13.2 债券投资收益——买卖债券差价收入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261"/>
        <w:gridCol w:w="6784"/>
      </w:tblGrid>
      <w:tr>
        <w:tblPrEx>
          <w:tblCellMar>
            <w:top w:w="0" w:type="dxa"/>
            <w:left w:w="108" w:type="dxa"/>
            <w:bottom w:w="0" w:type="dxa"/>
            <w:right w:w="108" w:type="dxa"/>
          </w:tblCellMar>
        </w:tblPrEx>
        <w:trPr>
          <w:wBefore w:w="0" w:type="auto"/>
        </w:trPr>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2018年04月26日（基金合同生效日）至2018年12月31日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卖出债券（、债转股及债券到期兑付）成交总额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112,658.26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减：卖出债券（、债转股及债券到期兑付）成本总额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110,355.22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2,130.26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买卖债券差价收入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172.78</w:t>
            </w:r>
          </w:p>
        </w:tc>
      </w:tr>
    </w:tbl>
    <w:p>
      <w:pPr>
        <w:widowControl/>
        <w:jc w:val="left"/>
        <w:rPr>
          <w:rFonts w:hint="eastAsia" w:ascii="宋体" w:hAnsi="宋体" w:cs="宋体"/>
          <w:kern w:val="0"/>
          <w:sz w:val="24"/>
          <w:szCs w:val="24"/>
        </w:rPr>
      </w:pPr>
    </w:p>
    <w:p>
      <w:pPr>
        <w:pStyle w:val="15"/>
        <w:rPr>
          <w:rFonts w:hint="eastAsia"/>
        </w:rPr>
      </w:pPr>
      <w:r>
        <w:rPr>
          <w:rFonts w:hint="eastAsia"/>
          <w:b/>
          <w:bCs/>
        </w:rPr>
        <w:t>7.4.7.14 衍生工具收益</w:t>
      </w:r>
    </w:p>
    <w:p>
      <w:pPr>
        <w:pStyle w:val="15"/>
        <w:rPr>
          <w:rFonts w:hint="eastAsia"/>
        </w:rPr>
      </w:pPr>
      <w:r>
        <w:rPr>
          <w:rFonts w:hint="eastAsia"/>
          <w:b/>
          <w:bCs/>
        </w:rPr>
        <w:t>7.4.7.14.1 衍生工具收益——买卖权证差价收入</w:t>
      </w:r>
    </w:p>
    <w:p>
      <w:pPr>
        <w:pStyle w:val="20"/>
        <w:rPr>
          <w:rFonts w:hint="eastAsia"/>
        </w:rPr>
      </w:pPr>
      <w:r>
        <w:rPr>
          <w:rFonts w:hint="eastAsia"/>
        </w:rPr>
        <w:t>本基金本报告期无衍生工具收益。</w:t>
      </w:r>
    </w:p>
    <w:p>
      <w:pPr>
        <w:widowControl/>
        <w:jc w:val="left"/>
        <w:rPr>
          <w:rFonts w:hint="eastAsia" w:ascii="宋体" w:hAnsi="宋体" w:cs="宋体"/>
          <w:kern w:val="0"/>
          <w:sz w:val="24"/>
          <w:szCs w:val="24"/>
        </w:rPr>
      </w:pPr>
    </w:p>
    <w:p>
      <w:pPr>
        <w:pStyle w:val="15"/>
        <w:rPr>
          <w:rFonts w:hint="eastAsia"/>
        </w:rPr>
      </w:pPr>
      <w:r>
        <w:rPr>
          <w:rFonts w:hint="eastAsia"/>
          <w:b/>
          <w:bCs/>
        </w:rPr>
        <w:t>7.4.7.15 股利收益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2018年04月26日（基金合同生效日）至2018年12月31日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328,594.74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328,594.74</w:t>
            </w:r>
          </w:p>
        </w:tc>
      </w:tr>
    </w:tbl>
    <w:p>
      <w:pPr>
        <w:widowControl/>
        <w:jc w:val="left"/>
        <w:rPr>
          <w:rFonts w:hint="eastAsia" w:ascii="宋体" w:hAnsi="宋体" w:cs="宋体"/>
          <w:kern w:val="0"/>
          <w:sz w:val="24"/>
          <w:szCs w:val="24"/>
        </w:rPr>
      </w:pPr>
    </w:p>
    <w:p>
      <w:pPr>
        <w:pStyle w:val="15"/>
        <w:rPr>
          <w:rFonts w:hint="eastAsia"/>
        </w:rPr>
      </w:pPr>
      <w:r>
        <w:rPr>
          <w:rFonts w:hint="eastAsia"/>
          <w:b/>
          <w:bCs/>
        </w:rPr>
        <w:t>7.4.7.16 公允价值变动收益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713"/>
        <w:gridCol w:w="6332"/>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2018年04月26日（基金合同生效日）至2018年12月31日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-703,522.10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-703,873.32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351.22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减：应税金融商品公允价值变动产生的预估增值税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-703,522.10</w:t>
            </w:r>
          </w:p>
        </w:tc>
      </w:tr>
    </w:tbl>
    <w:p>
      <w:pPr>
        <w:widowControl/>
        <w:jc w:val="left"/>
        <w:rPr>
          <w:rFonts w:hint="eastAsia" w:ascii="宋体" w:hAnsi="宋体" w:cs="宋体"/>
          <w:kern w:val="0"/>
          <w:sz w:val="24"/>
          <w:szCs w:val="24"/>
        </w:rPr>
      </w:pPr>
    </w:p>
    <w:p>
      <w:pPr>
        <w:pStyle w:val="15"/>
        <w:rPr>
          <w:rFonts w:hint="eastAsia"/>
        </w:rPr>
      </w:pPr>
      <w:r>
        <w:rPr>
          <w:rFonts w:hint="eastAsia"/>
          <w:b/>
          <w:bCs/>
        </w:rPr>
        <w:t>7.4.7.17 其他收入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2018年04月26日（基金合同生效日）至2018年12月31日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727.78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727.78</w:t>
            </w:r>
          </w:p>
        </w:tc>
      </w:tr>
    </w:tbl>
    <w:p>
      <w:pPr>
        <w:widowControl/>
        <w:jc w:val="left"/>
        <w:rPr>
          <w:rFonts w:hint="eastAsia" w:ascii="宋体" w:hAnsi="宋体" w:cs="宋体"/>
          <w:kern w:val="0"/>
          <w:sz w:val="24"/>
          <w:szCs w:val="24"/>
        </w:rPr>
      </w:pPr>
    </w:p>
    <w:p>
      <w:pPr>
        <w:pStyle w:val="15"/>
        <w:rPr>
          <w:rFonts w:hint="eastAsia"/>
        </w:rPr>
      </w:pPr>
      <w:r>
        <w:rPr>
          <w:rFonts w:hint="eastAsia"/>
          <w:b/>
          <w:bCs/>
        </w:rPr>
        <w:t>7.4.7.18 交易费用</w:t>
      </w:r>
    </w:p>
    <w:p>
      <w:pPr>
        <w:pStyle w:val="19"/>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2018年04月26日（基金合同生效日）至2018年12月31日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18,484.46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18,484.46</w:t>
            </w:r>
          </w:p>
        </w:tc>
      </w:tr>
    </w:tbl>
    <w:p>
      <w:pPr>
        <w:widowControl/>
        <w:jc w:val="left"/>
        <w:rPr>
          <w:rFonts w:hint="eastAsia" w:ascii="宋体" w:hAnsi="宋体" w:cs="宋体"/>
          <w:kern w:val="0"/>
          <w:sz w:val="24"/>
          <w:szCs w:val="24"/>
        </w:rPr>
      </w:pPr>
    </w:p>
    <w:p>
      <w:pPr>
        <w:pStyle w:val="15"/>
        <w:rPr>
          <w:rFonts w:hint="eastAsia"/>
        </w:rPr>
      </w:pPr>
      <w:r>
        <w:rPr>
          <w:rFonts w:hint="eastAsia"/>
          <w:b/>
          <w:bCs/>
        </w:rPr>
        <w:t>7.4.7.19 其他费用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2018年04月26日（基金合同生效日）至2018年12月31日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指数使用费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27,252.75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128,902.75</w:t>
            </w:r>
          </w:p>
        </w:tc>
      </w:tr>
    </w:tbl>
    <w:p>
      <w:pPr>
        <w:widowControl/>
        <w:jc w:val="left"/>
        <w:rPr>
          <w:rFonts w:hint="eastAsia" w:ascii="宋体" w:hAnsi="宋体" w:cs="宋体"/>
          <w:kern w:val="0"/>
          <w:sz w:val="24"/>
          <w:szCs w:val="24"/>
        </w:rPr>
      </w:pPr>
    </w:p>
    <w:p>
      <w:pPr>
        <w:pStyle w:val="15"/>
        <w:rPr>
          <w:rFonts w:hint="eastAsia"/>
        </w:rPr>
      </w:pPr>
      <w:r>
        <w:rPr>
          <w:rFonts w:hint="eastAsia"/>
          <w:b/>
          <w:bCs/>
        </w:rPr>
        <w:t>7.4.8 或有事项、资产负债表日后事项的说明</w:t>
      </w:r>
    </w:p>
    <w:p>
      <w:pPr>
        <w:pStyle w:val="15"/>
        <w:rPr>
          <w:rFonts w:hint="eastAsia"/>
        </w:rPr>
      </w:pPr>
      <w:r>
        <w:rPr>
          <w:rFonts w:hint="eastAsia"/>
          <w:b/>
          <w:bCs/>
        </w:rPr>
        <w:t>7.4.8.1 或有事项</w:t>
      </w:r>
    </w:p>
    <w:p>
      <w:pPr>
        <w:pStyle w:val="20"/>
        <w:spacing w:before="0"/>
        <w:ind w:left="0" w:firstLine="480"/>
        <w:rPr>
          <w:rFonts w:hint="eastAsia"/>
        </w:rPr>
      </w:pPr>
      <w:r>
        <w:rPr>
          <w:rFonts w:hint="eastAsia"/>
        </w:rPr>
        <w:t>截至资产负债表日，本基金无须作披露的或有事项。</w:t>
      </w:r>
    </w:p>
    <w:p>
      <w:pPr>
        <w:widowControl/>
        <w:jc w:val="left"/>
        <w:rPr>
          <w:rFonts w:hint="eastAsia" w:ascii="宋体" w:hAnsi="宋体" w:cs="宋体"/>
          <w:kern w:val="0"/>
          <w:sz w:val="24"/>
          <w:szCs w:val="24"/>
        </w:rPr>
      </w:pPr>
    </w:p>
    <w:p>
      <w:pPr>
        <w:pStyle w:val="15"/>
        <w:rPr>
          <w:rFonts w:hint="eastAsia"/>
        </w:rPr>
      </w:pPr>
      <w:r>
        <w:rPr>
          <w:rFonts w:hint="eastAsia"/>
          <w:b/>
          <w:bCs/>
        </w:rPr>
        <w:t>7.4.8.2 资产负债表日后事项</w:t>
      </w:r>
    </w:p>
    <w:p>
      <w:pPr>
        <w:pStyle w:val="20"/>
        <w:spacing w:before="0"/>
        <w:ind w:left="0" w:firstLine="480"/>
        <w:rPr>
          <w:rFonts w:hint="eastAsia"/>
        </w:rPr>
      </w:pPr>
      <w:r>
        <w:rPr>
          <w:rFonts w:hint="eastAsia"/>
        </w:rPr>
        <w:t>截至本财务报表批准报出日，本基金无须作披露的资产负债表日后事项。</w:t>
      </w:r>
    </w:p>
    <w:p>
      <w:pPr>
        <w:widowControl/>
        <w:jc w:val="left"/>
        <w:rPr>
          <w:rFonts w:hint="eastAsia" w:ascii="宋体" w:hAnsi="宋体" w:cs="宋体"/>
          <w:kern w:val="0"/>
          <w:sz w:val="24"/>
          <w:szCs w:val="24"/>
        </w:rPr>
      </w:pPr>
    </w:p>
    <w:p>
      <w:pPr>
        <w:pStyle w:val="15"/>
        <w:rPr>
          <w:b/>
          <w:bCs/>
        </w:rPr>
      </w:pPr>
      <w:r>
        <w:rPr>
          <w:rFonts w:hint="eastAsia"/>
          <w:b/>
          <w:bCs/>
        </w:rPr>
        <w:t>7.4.9 关联方关系</w:t>
      </w:r>
    </w:p>
    <w:p>
      <w:pPr>
        <w:pStyle w:val="15"/>
        <w:rPr>
          <w:b/>
        </w:rPr>
      </w:pPr>
      <w:r>
        <w:rPr>
          <w:rFonts w:hint="eastAsia"/>
          <w:b/>
          <w:bCs/>
        </w:rPr>
        <w:t>7.4.9.1</w:t>
      </w:r>
      <w:r>
        <w:rPr>
          <w:b/>
          <w:bCs/>
        </w:rPr>
        <w:t xml:space="preserve"> </w:t>
      </w:r>
      <w:r>
        <w:rPr>
          <w:rFonts w:hint="eastAsia"/>
          <w:b/>
        </w:rPr>
        <w:t>本报告期存在控制关系或其他重大利害关系的关联方发生变化的情况</w:t>
      </w:r>
    </w:p>
    <w:p>
      <w:pPr>
        <w:pStyle w:val="15"/>
      </w:pPr>
      <w:r>
        <w:rPr>
          <w:rFonts w:hint="eastAsia"/>
        </w:rPr>
        <w:t>本报告期不存在重大关联方发生变化的情况。</w:t>
      </w:r>
    </w:p>
    <w:p>
      <w:pPr>
        <w:pStyle w:val="15"/>
        <w:rPr>
          <w:rFonts w:hint="eastAsia"/>
        </w:rPr>
      </w:pPr>
      <w:r>
        <w:rPr>
          <w:rFonts w:hint="eastAsia"/>
          <w:b/>
          <w:bCs/>
        </w:rPr>
        <w:t xml:space="preserve">7.4.9.2 </w:t>
      </w:r>
      <w:r>
        <w:rPr>
          <w:rFonts w:hint="eastAsia"/>
          <w:b/>
        </w:rPr>
        <w:t>本报告期与基金发生关联交易的各关联方</w:t>
      </w:r>
    </w:p>
    <w:tbl>
      <w:tblPr>
        <w:tblStyle w:val="7"/>
        <w:tblW w:w="9045" w:type="dxa"/>
        <w:tblInd w:w="108" w:type="dxa"/>
        <w:tblLayout w:type="autofit"/>
        <w:tblCellMar>
          <w:top w:w="0" w:type="dxa"/>
          <w:left w:w="108" w:type="dxa"/>
          <w:bottom w:w="0" w:type="dxa"/>
          <w:right w:w="108" w:type="dxa"/>
        </w:tblCellMar>
      </w:tblPr>
      <w:tblGrid>
        <w:gridCol w:w="4741"/>
        <w:gridCol w:w="430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招商银行股份有限公司(“招商银行”)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基金托管人、基金代销机构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w:t>
            </w:r>
          </w:p>
        </w:tc>
      </w:tr>
    </w:tbl>
    <w:p>
      <w:pPr>
        <w:pStyle w:val="20"/>
        <w:rPr>
          <w:rFonts w:hint="eastAsia"/>
        </w:rPr>
      </w:pPr>
      <w:r>
        <w:rPr>
          <w:rFonts w:hint="eastAsia"/>
        </w:rPr>
        <w:t>注：下述关联交易均在正常业务范围内按一般商业条款订立。</w:t>
      </w:r>
    </w:p>
    <w:p>
      <w:pPr>
        <w:widowControl/>
        <w:jc w:val="left"/>
        <w:rPr>
          <w:rFonts w:hint="eastAsia" w:ascii="宋体" w:hAnsi="宋体" w:cs="宋体"/>
          <w:kern w:val="0"/>
          <w:sz w:val="24"/>
          <w:szCs w:val="24"/>
        </w:rPr>
      </w:pPr>
    </w:p>
    <w:p>
      <w:pPr>
        <w:pStyle w:val="15"/>
        <w:rPr>
          <w:rFonts w:hint="eastAsia"/>
        </w:rPr>
      </w:pPr>
      <w:r>
        <w:rPr>
          <w:rFonts w:hint="eastAsia"/>
          <w:b/>
          <w:bCs/>
        </w:rPr>
        <w:t>7.4.10 本报告期及上年度可比期间的关联方交易</w:t>
      </w:r>
    </w:p>
    <w:p>
      <w:pPr>
        <w:pStyle w:val="15"/>
        <w:rPr>
          <w:rFonts w:hint="eastAsia"/>
        </w:rPr>
      </w:pPr>
      <w:r>
        <w:rPr>
          <w:rFonts w:hint="eastAsia"/>
          <w:b/>
          <w:bCs/>
        </w:rPr>
        <w:t>7.4.10.1 通过关联方交易单元进行的交易</w:t>
      </w:r>
    </w:p>
    <w:p>
      <w:pPr>
        <w:pStyle w:val="15"/>
        <w:rPr>
          <w:rFonts w:hint="eastAsia"/>
        </w:rPr>
      </w:pPr>
      <w:r>
        <w:rPr>
          <w:rFonts w:hint="eastAsia"/>
          <w:b/>
          <w:bCs/>
        </w:rPr>
        <w:t>7.4.10.1.1 股票交易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2222"/>
        <w:gridCol w:w="4761"/>
        <w:gridCol w:w="2062"/>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本期（基金合同生效日）</w:t>
            </w:r>
            <w:r>
              <w:rPr>
                <w:rFonts w:hint="eastAsia"/>
              </w:rPr>
              <w:br w:type="textWrapping"/>
            </w:r>
            <w:r>
              <w:rPr>
                <w:rFonts w:hint="eastAsia"/>
              </w:rPr>
              <w:t>2018年04月26日至2018年12月31日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9,948,156.96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45.80%</w:t>
            </w:r>
          </w:p>
        </w:tc>
      </w:tr>
    </w:tbl>
    <w:p>
      <w:pPr>
        <w:widowControl/>
        <w:jc w:val="left"/>
        <w:rPr>
          <w:rFonts w:hint="eastAsia" w:ascii="宋体" w:hAnsi="宋体" w:cs="宋体"/>
          <w:kern w:val="0"/>
          <w:sz w:val="24"/>
          <w:szCs w:val="24"/>
        </w:rPr>
      </w:pPr>
    </w:p>
    <w:p>
      <w:pPr>
        <w:pStyle w:val="15"/>
        <w:rPr>
          <w:rFonts w:hint="eastAsia"/>
        </w:rPr>
      </w:pPr>
      <w:r>
        <w:rPr>
          <w:rFonts w:hint="eastAsia"/>
          <w:b/>
          <w:bCs/>
        </w:rPr>
        <w:t>7.4.10.1.2 权证交易</w:t>
      </w:r>
    </w:p>
    <w:p>
      <w:pPr>
        <w:pStyle w:val="20"/>
        <w:rPr>
          <w:rFonts w:hint="eastAsia"/>
        </w:rPr>
      </w:pPr>
      <w:r>
        <w:rPr>
          <w:rFonts w:hint="eastAsia"/>
        </w:rPr>
        <w:t>本基金于本报告期未通过关联方交易单元进行权证交易。</w:t>
      </w:r>
    </w:p>
    <w:p>
      <w:pPr>
        <w:widowControl/>
        <w:jc w:val="left"/>
        <w:rPr>
          <w:rFonts w:hint="eastAsia" w:ascii="宋体" w:hAnsi="宋体" w:cs="宋体"/>
          <w:kern w:val="0"/>
          <w:sz w:val="24"/>
          <w:szCs w:val="24"/>
        </w:rPr>
      </w:pPr>
    </w:p>
    <w:p>
      <w:pPr>
        <w:pStyle w:val="15"/>
        <w:rPr>
          <w:rFonts w:hint="eastAsia"/>
        </w:rPr>
      </w:pPr>
      <w:r>
        <w:rPr>
          <w:rFonts w:hint="eastAsia"/>
          <w:b/>
          <w:bCs/>
        </w:rPr>
        <w:t>7.4.10.1.3 债券交易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2222"/>
        <w:gridCol w:w="4761"/>
        <w:gridCol w:w="2062"/>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2018年04月26日（基金合同生效日）至2018年12月31日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占当期债券买卖成交总额的比例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411,324.00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78.82%</w:t>
            </w:r>
          </w:p>
        </w:tc>
      </w:tr>
    </w:tbl>
    <w:p>
      <w:pPr>
        <w:widowControl/>
        <w:jc w:val="left"/>
        <w:rPr>
          <w:rFonts w:hint="eastAsia" w:ascii="宋体" w:hAnsi="宋体" w:cs="宋体"/>
          <w:kern w:val="0"/>
          <w:sz w:val="24"/>
          <w:szCs w:val="24"/>
        </w:rPr>
      </w:pPr>
    </w:p>
    <w:p>
      <w:pPr>
        <w:pStyle w:val="15"/>
        <w:rPr>
          <w:rFonts w:hint="eastAsia"/>
        </w:rPr>
      </w:pPr>
      <w:r>
        <w:rPr>
          <w:rFonts w:hint="eastAsia"/>
          <w:b/>
          <w:bCs/>
        </w:rPr>
        <w:t>7.4.10.1.4 债券回购交易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2222"/>
        <w:gridCol w:w="4761"/>
        <w:gridCol w:w="2062"/>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2018年04月26日（基金合同生效日）至2018年12月31日</w:t>
            </w:r>
          </w:p>
        </w:tc>
      </w:tr>
      <w:tr>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7.4.10.1.5 应支付关联方的佣金</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6"/>
        <w:gridCol w:w="2714"/>
        <w:gridCol w:w="1105"/>
        <w:gridCol w:w="2714"/>
        <w:gridCol w:w="124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本期（基金合同生效日）</w:t>
            </w:r>
            <w:r>
              <w:rPr>
                <w:rFonts w:hint="eastAsia"/>
              </w:rPr>
              <w:br w:type="textWrapping"/>
            </w:r>
            <w:r>
              <w:rPr>
                <w:rFonts w:hint="eastAsia"/>
              </w:rPr>
              <w:t>2018年04月26日至2018年12月31日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7,233.11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bl>
    <w:p>
      <w:pPr>
        <w:pStyle w:val="20"/>
        <w:rPr>
          <w:rFonts w:hint="eastAsia"/>
        </w:rPr>
      </w:pPr>
      <w:r>
        <w:rPr>
          <w:rFonts w:hint="eastAsia"/>
        </w:rPr>
        <w:t>注：1.上述佣金参考市场价格经本基金的基金管理人与对方协商确定，以扣除由中国证券登记结算有限责任公司收取的证管费和经手费的净额列示。</w:t>
      </w:r>
      <w:r>
        <w:rPr>
          <w:rFonts w:hint="eastAsia"/>
        </w:rPr>
        <w:br w:type="textWrapping"/>
      </w:r>
      <w:r>
        <w:rPr>
          <w:rFonts w:hint="eastAsia"/>
        </w:rPr>
        <w:t>2.该类佣金协议的服务范围还包括佣金收取方为本基金提供的证券投资研究成果和市场信息服务等。</w:t>
      </w:r>
    </w:p>
    <w:p>
      <w:pPr>
        <w:widowControl/>
        <w:jc w:val="left"/>
        <w:rPr>
          <w:rFonts w:hint="eastAsia" w:ascii="宋体" w:hAnsi="宋体" w:cs="宋体"/>
          <w:kern w:val="0"/>
          <w:sz w:val="24"/>
          <w:szCs w:val="24"/>
        </w:rPr>
      </w:pPr>
    </w:p>
    <w:p>
      <w:pPr>
        <w:pStyle w:val="15"/>
        <w:rPr>
          <w:rFonts w:hint="eastAsia"/>
        </w:rPr>
      </w:pPr>
      <w:r>
        <w:rPr>
          <w:rFonts w:hint="eastAsia"/>
          <w:b/>
          <w:bCs/>
        </w:rPr>
        <w:t>7.4.10.2 关联方报酬</w:t>
      </w:r>
    </w:p>
    <w:p>
      <w:pPr>
        <w:pStyle w:val="15"/>
        <w:rPr>
          <w:rFonts w:hint="eastAsia"/>
        </w:rPr>
      </w:pPr>
      <w:r>
        <w:rPr>
          <w:rFonts w:hint="eastAsia"/>
          <w:b/>
          <w:bCs/>
        </w:rPr>
        <w:t>7.4.10.2.1 基金管理费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2018年04月26日（基金合同生效日）至2018年12月31日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32,976.87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791.51</w:t>
            </w:r>
          </w:p>
        </w:tc>
      </w:tr>
    </w:tbl>
    <w:p>
      <w:pPr>
        <w:pStyle w:val="20"/>
        <w:rPr>
          <w:rFonts w:hint="eastAsia"/>
        </w:rPr>
      </w:pPr>
      <w:r>
        <w:rPr>
          <w:rFonts w:hint="eastAsia"/>
        </w:rPr>
        <w:t>本基金的管理费按前一日基金资产净值的0.50%年费率计提。管理费的计算方法如下：</w:t>
      </w:r>
      <w:r>
        <w:rPr>
          <w:rFonts w:hint="eastAsia"/>
        </w:rPr>
        <w:br w:type="textWrapping"/>
      </w:r>
      <w:r>
        <w:rPr>
          <w:rFonts w:hint="eastAsia"/>
        </w:rPr>
        <w:t>H＝E×0.50%÷当年天数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算，逐日累计至每月月末，按月支付。经基金管理人与基金托管人双方核对无误后，基金托管人按照与基金管理人协商一致的方式于次月前5个工作日内从基金财产中一次性支付给基金管理人。若遇法定节假日、公休日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7.4.10.2.2 基金托管费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591"/>
        <w:gridCol w:w="5454"/>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2018年04月26日（基金合同生效日）至2018年12月31日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6,595.35</w:t>
            </w:r>
          </w:p>
        </w:tc>
      </w:tr>
    </w:tbl>
    <w:p>
      <w:pPr>
        <w:pStyle w:val="20"/>
        <w:rPr>
          <w:rFonts w:hint="eastAsia"/>
        </w:rPr>
      </w:pPr>
      <w:r>
        <w:rPr>
          <w:rFonts w:hint="eastAsia"/>
        </w:rPr>
        <w:t>注：本基金的托管费按前一日基金资产净值的0.10%的年费率计提。托管费的计算方法如下：</w:t>
      </w:r>
      <w:r>
        <w:rPr>
          <w:rFonts w:hint="eastAsia"/>
        </w:rPr>
        <w:br w:type="textWrapping"/>
      </w:r>
      <w:r>
        <w:rPr>
          <w:rFonts w:hint="eastAsia"/>
        </w:rPr>
        <w:t>H＝E×0.10%÷当年天数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算，逐日累计至每月月末，按月支付。经基金管理人与基金托管人双方核对无误后，基金托管人按照与基金管理人协商一致的方式于次月前5个工作日内从基金财产中一次性支取。若遇法定节假日、公休日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7.4.10.2.3 销售服务费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358"/>
        <w:gridCol w:w="3272"/>
        <w:gridCol w:w="3272"/>
        <w:gridCol w:w="1143"/>
      </w:tblGrid>
      <w:tr>
        <w:tblPrEx>
          <w:tblCellMar>
            <w:top w:w="0" w:type="dxa"/>
            <w:left w:w="108" w:type="dxa"/>
            <w:bottom w:w="0" w:type="dxa"/>
            <w:right w:w="108" w:type="dxa"/>
          </w:tblCellMar>
        </w:tblPrEx>
        <w:trPr>
          <w:wBefore w:w="0" w:type="auto"/>
        </w:trPr>
        <w:tc>
          <w:tcPr>
            <w:tcW w:w="7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2018年04月26日（基金合同生效日）至2018年12月31日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创金合信中证红利低波动指数A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创金合信中证红利低波动指数C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6,252.93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6,252.93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6,328.09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6,328.09</w:t>
            </w:r>
          </w:p>
        </w:tc>
      </w:tr>
    </w:tbl>
    <w:p>
      <w:pPr>
        <w:pStyle w:val="20"/>
        <w:rPr>
          <w:rFonts w:hint="eastAsia"/>
        </w:rPr>
      </w:pPr>
      <w:r>
        <w:rPr>
          <w:rFonts w:hint="eastAsia"/>
        </w:rPr>
        <w:t>本基金A类基金份额不收取销售服务费，仅就C类基金份额收取销售服务费。本基金C类基金份额的销售服务费按前一日该类基金份额基金资产净值的0.20%的年费率计提。销售服务费的计算方法如下：</w:t>
      </w:r>
      <w:r>
        <w:rPr>
          <w:rFonts w:hint="eastAsia"/>
        </w:rPr>
        <w:br w:type="textWrapping"/>
      </w:r>
      <w:r>
        <w:rPr>
          <w:rFonts w:hint="eastAsia"/>
        </w:rPr>
        <w:t>H＝E×0.20%÷当年天数</w:t>
      </w:r>
      <w:r>
        <w:rPr>
          <w:rFonts w:hint="eastAsia"/>
        </w:rPr>
        <w:br w:type="textWrapping"/>
      </w:r>
      <w:r>
        <w:rPr>
          <w:rFonts w:hint="eastAsia"/>
        </w:rPr>
        <w:t>H 为C类基金份额每日应计提的销售服务费</w:t>
      </w:r>
      <w:r>
        <w:rPr>
          <w:rFonts w:hint="eastAsia"/>
        </w:rPr>
        <w:br w:type="textWrapping"/>
      </w:r>
      <w:r>
        <w:rPr>
          <w:rFonts w:hint="eastAsia"/>
        </w:rPr>
        <w:t>E 为C类基金份额前一日的基金资产净值</w:t>
      </w:r>
      <w:r>
        <w:rPr>
          <w:rFonts w:hint="eastAsia"/>
        </w:rPr>
        <w:br w:type="textWrapping"/>
      </w:r>
      <w:r>
        <w:rPr>
          <w:rFonts w:hint="eastAsia"/>
        </w:rPr>
        <w:t>销售服务费每日计算，逐日累计至每月月末，按月支付。经基金管理人与基金托管人双方核对无误后，基金托管人按照与基金管理人协商一致的方式于次月前5个工作日内从基金财产中一次性支付，由登记机构代收，登记机构收到后按相关合同规定支付给基金销售机构等。若遇法定节假日、公休日等，支付日期顺延。</w:t>
      </w:r>
      <w:r>
        <w:rPr>
          <w:rFonts w:hint="eastAsia"/>
        </w:rPr>
        <w:br w:type="textWrapping"/>
      </w:r>
      <w:r>
        <w:rPr>
          <w:rFonts w:hint="eastAsia"/>
        </w:rPr>
        <w:t>销售服务费可用于本基金市场推广、销售以及基金份额持有人服务等各项费用。</w:t>
      </w:r>
    </w:p>
    <w:p>
      <w:pPr>
        <w:widowControl/>
        <w:jc w:val="left"/>
        <w:rPr>
          <w:rFonts w:hint="eastAsia" w:ascii="宋体" w:hAnsi="宋体" w:cs="宋体"/>
          <w:kern w:val="0"/>
          <w:sz w:val="24"/>
          <w:szCs w:val="24"/>
        </w:rPr>
      </w:pPr>
    </w:p>
    <w:p>
      <w:pPr>
        <w:pStyle w:val="15"/>
        <w:rPr>
          <w:rFonts w:hint="eastAsia"/>
        </w:rPr>
      </w:pPr>
      <w:r>
        <w:rPr>
          <w:rFonts w:hint="eastAsia"/>
          <w:b/>
          <w:bCs/>
        </w:rPr>
        <w:t>7.4.10.3 与关联方进行银行间同业市场的债券(含回购)交易</w:t>
      </w:r>
    </w:p>
    <w:p>
      <w:pPr>
        <w:pStyle w:val="20"/>
        <w:rPr>
          <w:rFonts w:hint="eastAsia"/>
        </w:rPr>
      </w:pPr>
      <w:r>
        <w:rPr>
          <w:rFonts w:hint="eastAsia"/>
        </w:rPr>
        <w:t>本基金本报告期内未发生与关联方进行银行间同业市场的债券(含回购)交易。</w:t>
      </w:r>
    </w:p>
    <w:p>
      <w:pPr>
        <w:widowControl/>
        <w:jc w:val="left"/>
        <w:rPr>
          <w:rFonts w:hint="eastAsia" w:ascii="宋体" w:hAnsi="宋体" w:cs="宋体"/>
          <w:kern w:val="0"/>
          <w:sz w:val="24"/>
          <w:szCs w:val="24"/>
        </w:rPr>
      </w:pPr>
    </w:p>
    <w:p>
      <w:pPr>
        <w:pStyle w:val="15"/>
        <w:rPr>
          <w:rFonts w:hint="eastAsia"/>
        </w:rPr>
      </w:pPr>
      <w:r>
        <w:rPr>
          <w:rFonts w:hint="eastAsia"/>
          <w:b/>
          <w:bCs/>
        </w:rPr>
        <w:t>7.4.10.4 各关联方投资本基金的情况</w:t>
      </w:r>
    </w:p>
    <w:p>
      <w:pPr>
        <w:pStyle w:val="15"/>
        <w:rPr>
          <w:rFonts w:hint="eastAsia"/>
        </w:rPr>
      </w:pPr>
      <w:r>
        <w:rPr>
          <w:rFonts w:hint="eastAsia"/>
          <w:b/>
          <w:bCs/>
        </w:rPr>
        <w:t>7.4.10.4.1 报告期内基金管理人运用固有资金投资本基金的情况</w:t>
      </w:r>
    </w:p>
    <w:p>
      <w:pPr>
        <w:pStyle w:val="17"/>
        <w:rPr>
          <w:rFonts w:hint="eastAsia"/>
        </w:rPr>
      </w:pPr>
      <w:r>
        <w:rPr>
          <w:rFonts w:hint="eastAsia" w:hAnsi="Calibri"/>
          <w:color w:val="000000"/>
        </w:rPr>
        <w:t>创金合信中证红利低波动指数A</w:t>
      </w:r>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2713"/>
        <w:gridCol w:w="6332"/>
      </w:tblGrid>
      <w:tr>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8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2018年04月26日（基金合同生效日）至2018年12月31日</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基金合同生效日（2018年04月26日）持有的基金份额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5,000,700.14</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报告期初持有的基金份额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报告期间申购/买入总份额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报告期间因拆分变动份额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减：报告期间赎回/卖出总份额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5,000,700.14</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90.98%</w:t>
            </w:r>
          </w:p>
        </w:tc>
      </w:tr>
    </w:tbl>
    <w:p>
      <w:pPr>
        <w:pStyle w:val="17"/>
        <w:rPr>
          <w:rFonts w:hint="eastAsia"/>
        </w:rPr>
      </w:pPr>
      <w:r>
        <w:rPr>
          <w:rFonts w:hint="eastAsia" w:hAnsi="Calibri"/>
          <w:color w:val="000000"/>
        </w:rPr>
        <w:t>创金合信中证红利低波动指数C</w:t>
      </w:r>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2713"/>
        <w:gridCol w:w="6332"/>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8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2018年04月26日（基金合同生效日）至2018年12月31日</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基金合同生效日（2018年04月26日）持有的基金份额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5,000,700.00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报告期初持有的基金份额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报告期间申购/买入总份额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报告期间因拆分变动份额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减：报告期间赎回/卖出总份额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5,000,700.00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86.69%</w:t>
            </w:r>
          </w:p>
        </w:tc>
      </w:tr>
    </w:tbl>
    <w:p>
      <w:pPr>
        <w:widowControl/>
        <w:jc w:val="left"/>
        <w:rPr>
          <w:rFonts w:hint="eastAsia" w:ascii="宋体" w:hAnsi="宋体" w:cs="宋体"/>
          <w:kern w:val="0"/>
          <w:sz w:val="24"/>
          <w:szCs w:val="24"/>
        </w:rPr>
      </w:pPr>
    </w:p>
    <w:p>
      <w:pPr>
        <w:pStyle w:val="15"/>
        <w:rPr>
          <w:rFonts w:hint="eastAsia"/>
        </w:rPr>
      </w:pPr>
      <w:r>
        <w:rPr>
          <w:rFonts w:hint="eastAsia"/>
          <w:b/>
          <w:bCs/>
        </w:rPr>
        <w:t>7.4.10.4.2 报告期末除基金管理人之外的其他关联方投资本基金的情况</w:t>
      </w:r>
    </w:p>
    <w:p>
      <w:pPr>
        <w:pStyle w:val="20"/>
        <w:rPr>
          <w:rFonts w:hint="eastAsia"/>
        </w:rPr>
      </w:pPr>
      <w:r>
        <w:rPr>
          <w:rFonts w:hint="eastAsia"/>
        </w:rPr>
        <w:t>本报告期末无除基金管理人之外的其他关联方投资本基金的情况。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7.4.10.5 由关联方保管的银行存款余额及当期产生的利息收入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266"/>
        <w:gridCol w:w="3589"/>
        <w:gridCol w:w="4190"/>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2018年04月26日（基金合同生效日）至2018年12月31日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招商银行股份有限公司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321,820.64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3,008.81</w:t>
            </w:r>
          </w:p>
        </w:tc>
      </w:tr>
    </w:tbl>
    <w:p>
      <w:pPr>
        <w:pStyle w:val="20"/>
        <w:rPr>
          <w:rFonts w:hint="eastAsia"/>
        </w:rPr>
      </w:pPr>
      <w:r>
        <w:rPr>
          <w:rFonts w:hint="eastAsia"/>
        </w:rPr>
        <w:t>注：本基金的银行存款由基金托管人招商银行保管，按银行同业存款利率计息。</w:t>
      </w:r>
    </w:p>
    <w:p>
      <w:pPr>
        <w:widowControl/>
        <w:jc w:val="left"/>
        <w:rPr>
          <w:rFonts w:hint="eastAsia" w:ascii="宋体" w:hAnsi="宋体" w:cs="宋体"/>
          <w:kern w:val="0"/>
          <w:sz w:val="24"/>
          <w:szCs w:val="24"/>
        </w:rPr>
      </w:pPr>
    </w:p>
    <w:p>
      <w:pPr>
        <w:pStyle w:val="15"/>
        <w:rPr>
          <w:rFonts w:hint="eastAsia"/>
        </w:rPr>
      </w:pPr>
      <w:r>
        <w:rPr>
          <w:rFonts w:hint="eastAsia"/>
          <w:b/>
          <w:bCs/>
        </w:rPr>
        <w:t>7.4.10.6 本基金在承销期内参与关联方承销证券的情况</w:t>
      </w:r>
    </w:p>
    <w:p>
      <w:pPr>
        <w:pStyle w:val="20"/>
        <w:rPr>
          <w:rFonts w:hint="eastAsia"/>
        </w:rPr>
      </w:pPr>
      <w:r>
        <w:rPr>
          <w:rFonts w:hint="eastAsia"/>
        </w:rPr>
        <w:t>本基金本报告期未发生在承销期内参与关联方承销证券的情况。</w:t>
      </w:r>
    </w:p>
    <w:p>
      <w:pPr>
        <w:widowControl/>
        <w:jc w:val="left"/>
        <w:rPr>
          <w:rFonts w:hint="eastAsia" w:ascii="宋体" w:hAnsi="宋体" w:cs="宋体"/>
          <w:kern w:val="0"/>
          <w:sz w:val="24"/>
          <w:szCs w:val="24"/>
        </w:rPr>
      </w:pPr>
    </w:p>
    <w:p>
      <w:pPr>
        <w:pStyle w:val="15"/>
        <w:rPr>
          <w:rFonts w:hint="eastAsia"/>
        </w:rPr>
      </w:pPr>
      <w:r>
        <w:rPr>
          <w:rFonts w:hint="eastAsia"/>
          <w:b/>
          <w:bCs/>
        </w:rPr>
        <w:t>7.4.10.7 其他关联交易事项的说明</w:t>
      </w:r>
    </w:p>
    <w:p>
      <w:pPr>
        <w:pStyle w:val="20"/>
        <w:spacing w:before="0"/>
        <w:ind w:left="0" w:firstLine="480"/>
        <w:rPr>
          <w:rFonts w:hint="eastAsia"/>
        </w:rPr>
      </w:pPr>
      <w:r>
        <w:rPr>
          <w:rFonts w:hint="eastAsia"/>
        </w:rPr>
        <w:t>于2018年12月31日，本基金持有5,200.00股招商银行A股普通股，成本总额为人民币149,157.62元，估值总额为131,040.00元，占基金资产净值比例为1.35%。</w:t>
      </w:r>
    </w:p>
    <w:p>
      <w:pPr>
        <w:widowControl/>
        <w:jc w:val="left"/>
        <w:rPr>
          <w:rFonts w:hint="eastAsia" w:ascii="宋体" w:hAnsi="宋体" w:cs="宋体"/>
          <w:kern w:val="0"/>
          <w:sz w:val="24"/>
          <w:szCs w:val="24"/>
        </w:rPr>
      </w:pPr>
    </w:p>
    <w:p>
      <w:pPr>
        <w:pStyle w:val="15"/>
        <w:rPr>
          <w:rFonts w:hint="eastAsia"/>
        </w:rPr>
      </w:pPr>
      <w:r>
        <w:rPr>
          <w:rFonts w:hint="eastAsia"/>
          <w:b/>
          <w:bCs/>
        </w:rPr>
        <w:t>7.4.11 利润分配情况--非货币市场基金</w:t>
      </w:r>
    </w:p>
    <w:p>
      <w:pPr>
        <w:pStyle w:val="20"/>
        <w:rPr>
          <w:rFonts w:hint="eastAsia"/>
        </w:rPr>
      </w:pPr>
      <w:r>
        <w:rPr>
          <w:rFonts w:hint="eastAsia"/>
        </w:rPr>
        <w:t>本基金于本期未进行利润分配。</w:t>
      </w:r>
    </w:p>
    <w:p>
      <w:pPr>
        <w:widowControl/>
        <w:jc w:val="left"/>
        <w:rPr>
          <w:rFonts w:hint="eastAsia" w:ascii="宋体" w:hAnsi="宋体" w:cs="宋体"/>
          <w:kern w:val="0"/>
          <w:sz w:val="24"/>
          <w:szCs w:val="24"/>
        </w:rPr>
      </w:pPr>
    </w:p>
    <w:p>
      <w:pPr>
        <w:pStyle w:val="15"/>
        <w:rPr>
          <w:rFonts w:hint="eastAsia"/>
        </w:rPr>
      </w:pPr>
      <w:r>
        <w:rPr>
          <w:rFonts w:hint="eastAsia"/>
          <w:b/>
          <w:bCs/>
        </w:rPr>
        <w:t>7.4.12 期末（2018年12月31日）本基金持有的流通受限证券</w:t>
      </w:r>
    </w:p>
    <w:p>
      <w:pPr>
        <w:pStyle w:val="15"/>
        <w:rPr>
          <w:rFonts w:hint="eastAsia"/>
        </w:rPr>
      </w:pPr>
      <w:r>
        <w:rPr>
          <w:rFonts w:hint="eastAsia"/>
          <w:b/>
          <w:bCs/>
        </w:rPr>
        <w:t>7.4.12.1 因认购新发/增发证券而于期末持有的流通受限证券</w:t>
      </w:r>
    </w:p>
    <w:p>
      <w:pPr>
        <w:pStyle w:val="20"/>
        <w:rPr>
          <w:rFonts w:hint="eastAsia"/>
        </w:rPr>
      </w:pPr>
      <w:r>
        <w:rPr>
          <w:rFonts w:hint="eastAsia"/>
        </w:rPr>
        <w:t>本基金本报告期末未持有因认购新发/增发证券而流通受限的证券。</w:t>
      </w:r>
    </w:p>
    <w:p>
      <w:pPr>
        <w:widowControl/>
        <w:jc w:val="left"/>
        <w:rPr>
          <w:rFonts w:hint="eastAsia" w:ascii="宋体" w:hAnsi="宋体" w:cs="宋体"/>
          <w:kern w:val="0"/>
          <w:sz w:val="24"/>
          <w:szCs w:val="24"/>
        </w:rPr>
      </w:pPr>
    </w:p>
    <w:p>
      <w:pPr>
        <w:pStyle w:val="15"/>
        <w:rPr>
          <w:rFonts w:hint="eastAsia"/>
        </w:rPr>
      </w:pPr>
      <w:r>
        <w:rPr>
          <w:rFonts w:hint="eastAsia"/>
          <w:b/>
          <w:bCs/>
        </w:rPr>
        <w:t>7.4.12.2 期末持有的暂时停牌等流通受限股票</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664"/>
        <w:gridCol w:w="664"/>
        <w:gridCol w:w="664"/>
        <w:gridCol w:w="664"/>
        <w:gridCol w:w="664"/>
        <w:gridCol w:w="664"/>
        <w:gridCol w:w="664"/>
        <w:gridCol w:w="1092"/>
        <w:gridCol w:w="1397"/>
        <w:gridCol w:w="1397"/>
        <w:gridCol w:w="66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停牌日期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停牌原因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复牌日期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复牌开盘单价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600270</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外运发展</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2018-12-13</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重大事项停牌</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20.99</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12,100</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234,108.91</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253,979.00</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w:t>
            </w:r>
          </w:p>
        </w:tc>
      </w:tr>
    </w:tbl>
    <w:p>
      <w:pPr>
        <w:pStyle w:val="20"/>
        <w:rPr>
          <w:rFonts w:hint="eastAsia"/>
        </w:rPr>
      </w:pPr>
      <w:r>
        <w:rPr>
          <w:rFonts w:hint="eastAsia"/>
        </w:rPr>
        <w:t>注：根据《中外运空运发展股份有限公司关于公司股票终止上市的公告》，外运发展（股票代码：600270）于2018年12月28日终止上市。</w:t>
      </w:r>
    </w:p>
    <w:p>
      <w:pPr>
        <w:widowControl/>
        <w:jc w:val="left"/>
        <w:rPr>
          <w:rFonts w:hint="eastAsia" w:ascii="宋体" w:hAnsi="宋体" w:cs="宋体"/>
          <w:kern w:val="0"/>
          <w:sz w:val="24"/>
          <w:szCs w:val="24"/>
        </w:rPr>
      </w:pPr>
    </w:p>
    <w:p>
      <w:pPr>
        <w:pStyle w:val="15"/>
        <w:rPr>
          <w:rFonts w:hint="eastAsia"/>
        </w:rPr>
      </w:pPr>
      <w:r>
        <w:rPr>
          <w:rFonts w:hint="eastAsia"/>
          <w:b/>
          <w:bCs/>
        </w:rPr>
        <w:t>7.4.12.3 期末债券正回购交易中作为抵押的债券</w:t>
      </w:r>
    </w:p>
    <w:p>
      <w:pPr>
        <w:pStyle w:val="15"/>
        <w:rPr>
          <w:rFonts w:hint="eastAsia"/>
        </w:rPr>
      </w:pPr>
      <w:r>
        <w:rPr>
          <w:rFonts w:hint="eastAsia"/>
          <w:b/>
          <w:bCs/>
        </w:rPr>
        <w:t>7.4.12.3.1 银行间市场债券正回购</w:t>
      </w:r>
    </w:p>
    <w:p>
      <w:pPr>
        <w:pStyle w:val="20"/>
        <w:rPr>
          <w:rFonts w:hint="eastAsia"/>
        </w:rPr>
      </w:pPr>
      <w:r>
        <w:rPr>
          <w:rFonts w:hint="eastAsia"/>
        </w:rPr>
        <w:t>截至本报告期末2018年12月31日止，本基金从事银行间市场债券正回购交易形成的卖出回购证券款余额为0，无抵押债券。</w:t>
      </w:r>
    </w:p>
    <w:p>
      <w:pPr>
        <w:widowControl/>
        <w:jc w:val="left"/>
        <w:rPr>
          <w:rFonts w:hint="eastAsia" w:ascii="宋体" w:hAnsi="宋体" w:cs="宋体"/>
          <w:kern w:val="0"/>
          <w:sz w:val="24"/>
          <w:szCs w:val="24"/>
        </w:rPr>
      </w:pPr>
    </w:p>
    <w:p>
      <w:pPr>
        <w:pStyle w:val="15"/>
        <w:rPr>
          <w:rFonts w:hint="eastAsia"/>
        </w:rPr>
      </w:pPr>
      <w:r>
        <w:rPr>
          <w:rFonts w:hint="eastAsia"/>
          <w:b/>
          <w:bCs/>
        </w:rPr>
        <w:t>7.4.12.3.2 交易所市场债券正回购</w:t>
      </w:r>
    </w:p>
    <w:p>
      <w:pPr>
        <w:pStyle w:val="20"/>
        <w:spacing w:before="0"/>
        <w:ind w:left="0" w:firstLine="480"/>
        <w:rPr>
          <w:rFonts w:hint="eastAsia"/>
        </w:rPr>
      </w:pPr>
      <w:r>
        <w:rPr>
          <w:rFonts w:hint="eastAsia"/>
        </w:rPr>
        <w:t>截至本报告期末2018年12月31日止，本基金从事交易所债券正回购交易形成的卖出回购证券款余额为0，无抵押债券。</w:t>
      </w:r>
    </w:p>
    <w:p>
      <w:pPr>
        <w:widowControl/>
        <w:jc w:val="left"/>
        <w:rPr>
          <w:rFonts w:hint="eastAsia" w:ascii="宋体" w:hAnsi="宋体" w:cs="宋体"/>
          <w:kern w:val="0"/>
          <w:sz w:val="24"/>
          <w:szCs w:val="24"/>
        </w:rPr>
      </w:pPr>
    </w:p>
    <w:p>
      <w:pPr>
        <w:pStyle w:val="15"/>
        <w:rPr>
          <w:rFonts w:hint="eastAsia"/>
        </w:rPr>
      </w:pPr>
      <w:r>
        <w:rPr>
          <w:rFonts w:hint="eastAsia"/>
          <w:b/>
          <w:bCs/>
        </w:rPr>
        <w:t>7.4.13 金融工具风险及管理</w:t>
      </w:r>
    </w:p>
    <w:p>
      <w:pPr>
        <w:pStyle w:val="15"/>
        <w:rPr>
          <w:rFonts w:hint="eastAsia"/>
        </w:rPr>
      </w:pPr>
      <w:r>
        <w:rPr>
          <w:rFonts w:hint="eastAsia"/>
          <w:b/>
          <w:bCs/>
        </w:rPr>
        <w:t>7.4.13.1 风险管理政策和组织架构</w:t>
      </w:r>
    </w:p>
    <w:p>
      <w:pPr>
        <w:pStyle w:val="20"/>
        <w:spacing w:before="0"/>
        <w:ind w:left="0" w:firstLine="480"/>
        <w:rPr>
          <w:rFonts w:hint="eastAsia"/>
        </w:rPr>
      </w:pPr>
      <w:r>
        <w:rPr>
          <w:rFonts w:hint="eastAsia"/>
        </w:rPr>
        <w:t>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p>
    <w:p>
      <w:pPr>
        <w:pStyle w:val="20"/>
        <w:spacing w:before="0"/>
        <w:ind w:left="0" w:firstLine="480"/>
        <w:rPr>
          <w:rFonts w:hint="eastAsia"/>
        </w:rPr>
      </w:pPr>
      <w:r>
        <w:rPr>
          <w:rFonts w:hint="eastAsia"/>
        </w:rPr>
        <w:t>本基金的基金管理人奉行全面风险管理体系的建设，建立了以风控与审计委员会为核心的、由督察长、风险控制办公会、监察稽核部和相关业务部门构成的四级风险管理架构体系。</w:t>
      </w:r>
    </w:p>
    <w:p>
      <w:pPr>
        <w:widowControl/>
        <w:jc w:val="left"/>
        <w:rPr>
          <w:rFonts w:hint="eastAsia" w:ascii="宋体" w:hAnsi="宋体" w:cs="宋体"/>
          <w:kern w:val="0"/>
          <w:sz w:val="24"/>
          <w:szCs w:val="24"/>
        </w:rPr>
      </w:pPr>
    </w:p>
    <w:p>
      <w:pPr>
        <w:pStyle w:val="15"/>
        <w:rPr>
          <w:rFonts w:hint="eastAsia"/>
        </w:rPr>
      </w:pPr>
      <w:r>
        <w:rPr>
          <w:rFonts w:hint="eastAsia"/>
          <w:b/>
          <w:bCs/>
        </w:rPr>
        <w:t>7.4.13.2 信用风险</w:t>
      </w:r>
    </w:p>
    <w:p>
      <w:pPr>
        <w:pStyle w:val="20"/>
        <w:spacing w:before="0"/>
        <w:ind w:left="0" w:firstLine="480"/>
        <w:rPr>
          <w:rFonts w:hint="eastAsia"/>
        </w:rPr>
      </w:pPr>
      <w:r>
        <w:rPr>
          <w:rFonts w:hint="eastAsia"/>
        </w:rPr>
        <w:t>信用风险是指基金在交易过程中因交易对手未履行合约责任，或者基金所投资证券之发行人出现违约、拒绝支付到期本息等情况，导致基金资产损失和收益变化的风险。</w:t>
      </w:r>
    </w:p>
    <w:p>
      <w:pPr>
        <w:pStyle w:val="20"/>
        <w:spacing w:before="0"/>
        <w:ind w:left="0" w:firstLine="480"/>
        <w:rPr>
          <w:rFonts w:hint="eastAsia"/>
        </w:rPr>
      </w:pPr>
      <w:r>
        <w:rPr>
          <w:rFonts w:hint="eastAsia"/>
        </w:rPr>
        <w:t>本基金的基金管理人在交易前对交易对手和债券的资信状况进行了充分的评估。本基金的活期银行存款存放在本基金的托管行招商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p>
    <w:p>
      <w:pPr>
        <w:pStyle w:val="20"/>
        <w:spacing w:before="0"/>
        <w:ind w:left="0" w:firstLine="480"/>
        <w:rPr>
          <w:rFonts w:hint="eastAsia"/>
        </w:rPr>
      </w:pPr>
      <w:r>
        <w:rPr>
          <w:rFonts w:hint="eastAsia"/>
        </w:rPr>
        <w:t>本基金的基金管理人建立了信用风险管理流程，通过对投资品种信用等级评估来控制证券发行人的信用风险，且通过分散化投资以分散信用风险。</w:t>
      </w:r>
    </w:p>
    <w:p>
      <w:pPr>
        <w:pStyle w:val="20"/>
        <w:spacing w:before="0"/>
        <w:ind w:left="0" w:firstLine="480"/>
        <w:rPr>
          <w:rFonts w:hint="eastAsia"/>
        </w:rPr>
      </w:pPr>
      <w:r>
        <w:rPr>
          <w:rFonts w:hint="eastAsia"/>
        </w:rPr>
        <w:t>本基金债券投资的信用评级情况按《中国人民银行信用评级管理指导意见》设定的标准统计及汇总。</w:t>
      </w:r>
    </w:p>
    <w:p>
      <w:pPr>
        <w:widowControl/>
        <w:jc w:val="left"/>
        <w:rPr>
          <w:rFonts w:hint="eastAsia" w:ascii="宋体" w:hAnsi="宋体" w:cs="宋体"/>
          <w:kern w:val="0"/>
          <w:sz w:val="24"/>
          <w:szCs w:val="24"/>
        </w:rPr>
      </w:pPr>
    </w:p>
    <w:p>
      <w:pPr>
        <w:pStyle w:val="15"/>
        <w:rPr>
          <w:rFonts w:hint="eastAsia"/>
        </w:rPr>
      </w:pPr>
      <w:r>
        <w:rPr>
          <w:rFonts w:hint="eastAsia"/>
          <w:b/>
          <w:bCs/>
        </w:rPr>
        <w:t>7.4.13.2.1 按长期信用评级列示的债券投资</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4788"/>
        <w:gridCol w:w="425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w:t>
            </w:r>
          </w:p>
        </w:tc>
      </w:tr>
    </w:tbl>
    <w:p>
      <w:pPr>
        <w:widowControl/>
        <w:jc w:val="left"/>
        <w:rPr>
          <w:rFonts w:hint="eastAsia" w:ascii="宋体" w:hAnsi="宋体" w:cs="宋体"/>
          <w:kern w:val="0"/>
          <w:sz w:val="24"/>
          <w:szCs w:val="24"/>
        </w:rPr>
      </w:pPr>
    </w:p>
    <w:p>
      <w:pPr>
        <w:pStyle w:val="15"/>
        <w:rPr>
          <w:rFonts w:hint="eastAsia"/>
        </w:rPr>
      </w:pPr>
      <w:r>
        <w:rPr>
          <w:rFonts w:hint="eastAsia"/>
          <w:b/>
          <w:bCs/>
        </w:rPr>
        <w:t>7.4.13.3 流动性风险</w:t>
      </w:r>
    </w:p>
    <w:p>
      <w:pPr>
        <w:pStyle w:val="20"/>
        <w:spacing w:before="0"/>
        <w:ind w:left="0" w:firstLine="480"/>
        <w:rPr>
          <w:rFonts w:hint="eastAsia"/>
        </w:rPr>
      </w:pPr>
      <w:r>
        <w:rPr>
          <w:rFonts w:hint="eastAsia"/>
        </w:rPr>
        <w:t>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p>
    <w:p>
      <w:pPr>
        <w:pStyle w:val="20"/>
        <w:spacing w:before="0"/>
        <w:ind w:left="0" w:firstLine="480"/>
        <w:rPr>
          <w:rFonts w:hint="eastAsia"/>
        </w:rPr>
      </w:pPr>
      <w:r>
        <w:rPr>
          <w:rFonts w:hint="eastAsia"/>
        </w:rPr>
        <w:t>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pStyle w:val="20"/>
        <w:spacing w:before="0"/>
        <w:ind w:left="0" w:firstLine="480"/>
        <w:rPr>
          <w:rFonts w:hint="eastAsia"/>
        </w:rPr>
      </w:pPr>
      <w:r>
        <w:rPr>
          <w:rFonts w:hint="eastAsia"/>
        </w:rPr>
        <w:t>于2018年12月31日，本基金所承担的全部金融负债的合约约定到期日均为一个月以内且不计息，可赎回基金份额净值(所有者权益)无固定到期日且不计息，因此账面余额约为未折现的合约到期现金流量。</w:t>
      </w:r>
    </w:p>
    <w:p>
      <w:pPr>
        <w:widowControl/>
        <w:jc w:val="left"/>
        <w:rPr>
          <w:rFonts w:hint="eastAsia" w:ascii="宋体" w:hAnsi="宋体" w:cs="宋体"/>
          <w:kern w:val="0"/>
          <w:sz w:val="24"/>
          <w:szCs w:val="24"/>
        </w:rPr>
      </w:pPr>
    </w:p>
    <w:p>
      <w:pPr>
        <w:pStyle w:val="15"/>
        <w:rPr>
          <w:rFonts w:hint="eastAsia"/>
        </w:rPr>
      </w:pPr>
      <w:r>
        <w:rPr>
          <w:rFonts w:hint="eastAsia"/>
          <w:b/>
          <w:bCs/>
        </w:rPr>
        <w:t>7.4.13.3.1 报告期内本基金组合资产的流动性风险分析</w:t>
      </w:r>
    </w:p>
    <w:p>
      <w:pPr>
        <w:pStyle w:val="20"/>
        <w:spacing w:before="0"/>
        <w:ind w:left="0" w:firstLine="480"/>
        <w:rPr>
          <w:rFonts w:hint="eastAsia"/>
        </w:rPr>
      </w:pPr>
      <w:r>
        <w:rPr>
          <w:rFonts w:hint="eastAsia"/>
        </w:rPr>
        <w:t>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p>
    <w:p>
      <w:pPr>
        <w:pStyle w:val="20"/>
        <w:spacing w:before="0"/>
        <w:ind w:left="0" w:firstLine="480"/>
        <w:rPr>
          <w:rFonts w:hint="eastAsia"/>
        </w:rPr>
      </w:pPr>
      <w:r>
        <w:rPr>
          <w:rFonts w:hint="eastAsia"/>
        </w:rPr>
        <w:t>本基金投资于一家公司发行的证券市值不超过基金资产净值的10%，且本基金与由本基金的基金管理人管理的其他基金共同持有一家公司发行的证券不得超过该证券的10%。本基金与由本基金的基金管理人管理的其他开放式基金共同持有一家上市公司发行的可流通股票不得超过该上市公司可流通股票的15%，本基金与由本基金的基金管理人管理的全部投资组合持有一家上市公司发行的可流通股票，不得超过该上市公司可流通股票的30%(完全按照有关指数构成比例进行证券投资的开放式基金及中国证监会认定的特殊投资组合不受该比例限制)。</w:t>
      </w:r>
    </w:p>
    <w:p>
      <w:pPr>
        <w:pStyle w:val="20"/>
        <w:spacing w:before="0"/>
        <w:ind w:left="0" w:firstLine="480"/>
        <w:rPr>
          <w:rFonts w:hint="eastAsia"/>
        </w:rPr>
      </w:pPr>
      <w:r>
        <w:rPr>
          <w:rFonts w:hint="eastAsia"/>
        </w:rPr>
        <w:t>本基金所持部分证券在证券交易所上市，其余亦可在银行间同业市场交易，部分基金资产流通暂时受限制不能自由转让的情况参见附注7.4.12。此外，本基金可通过卖出回购金融资产方式借入短期资金应对流动性需求，其上限一般不超过基金持有的债券投资的公允价值。本基金主动投资于流动性受限资产的市值合计不得超过基金资产净值的15%。于2018年12月31日，本基金持有的流动性受限资产的估值占基金资产净值的比例为2.62%。</w:t>
      </w:r>
    </w:p>
    <w:p>
      <w:pPr>
        <w:pStyle w:val="20"/>
        <w:spacing w:before="0"/>
        <w:ind w:left="0" w:firstLine="480"/>
        <w:rPr>
          <w:rFonts w:hint="eastAsia"/>
        </w:rPr>
      </w:pPr>
      <w:r>
        <w:rPr>
          <w:rFonts w:hint="eastAsia"/>
        </w:rPr>
        <w:t>本基金的基金管理人每日对基金组合资产中7个工作日可变现资产的可变现价值进行审慎评估与测算，确保每日确认的净赎回申请不得超过7个工作日可变现资产的可变现价值。于2018年12月31日，本基金组合资产中7个工作日可变现资产的账面价值为9,558,186.96元，超过经确认的当日净赎回金额。</w:t>
      </w:r>
    </w:p>
    <w:p>
      <w:pPr>
        <w:pStyle w:val="20"/>
        <w:spacing w:before="0"/>
        <w:ind w:left="0" w:firstLine="480"/>
        <w:rPr>
          <w:rFonts w:hint="eastAsia"/>
        </w:rPr>
      </w:pPr>
      <w:r>
        <w:rPr>
          <w:rFonts w:hint="eastAsia"/>
        </w:rPr>
        <w:t>同时，本基金的基金管理人通过合理分散逆回购交易的到期日与交易对手的集中度；按照穿透原则对交易对手的财务状况、偿付能力及杠杆水平等进行必要的尽职调查与严格的准入管理，以及对不同的交易对手实施交易额度管理并进行动态调整等措施严格管理本基金从事逆回购交易的流动性风险和交易对手风险。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p>
    <w:p>
      <w:pPr>
        <w:pStyle w:val="20"/>
        <w:spacing w:before="0"/>
        <w:ind w:left="0" w:firstLine="480"/>
        <w:rPr>
          <w:rFonts w:hint="eastAsia"/>
        </w:rPr>
      </w:pPr>
      <w:r>
        <w:rPr>
          <w:rFonts w:hint="eastAsia"/>
        </w:rPr>
        <w:t>综合上述各项流动性指标的监测结果及流动性风险管理措施的实施，本基金在本报告期内流动性情况良好。</w:t>
      </w:r>
    </w:p>
    <w:p>
      <w:pPr>
        <w:widowControl/>
        <w:jc w:val="left"/>
        <w:rPr>
          <w:rFonts w:hint="eastAsia" w:ascii="宋体" w:hAnsi="宋体" w:cs="宋体"/>
          <w:kern w:val="0"/>
          <w:sz w:val="24"/>
          <w:szCs w:val="24"/>
        </w:rPr>
      </w:pPr>
    </w:p>
    <w:p>
      <w:pPr>
        <w:pStyle w:val="15"/>
        <w:rPr>
          <w:rFonts w:hint="eastAsia"/>
        </w:rPr>
      </w:pPr>
      <w:r>
        <w:rPr>
          <w:rFonts w:hint="eastAsia"/>
          <w:b/>
          <w:bCs/>
        </w:rPr>
        <w:t>7.4.13.4 市场风险</w:t>
      </w:r>
    </w:p>
    <w:p>
      <w:pPr>
        <w:pStyle w:val="20"/>
        <w:spacing w:before="0"/>
        <w:ind w:left="0" w:firstLine="480"/>
        <w:rPr>
          <w:rFonts w:hint="eastAsia"/>
        </w:rPr>
      </w:pPr>
      <w:r>
        <w:rPr>
          <w:rFonts w:hint="eastAsia"/>
        </w:rPr>
        <w:t>市场风险是指基金所持金融工具的公允价值或未来现金流量因所处市场各类价格因素的变动而发生波动的风险，包括利率风险、外汇风险和其他价格风险。</w:t>
      </w:r>
    </w:p>
    <w:p>
      <w:pPr>
        <w:pStyle w:val="15"/>
        <w:rPr>
          <w:rFonts w:hint="eastAsia"/>
        </w:rPr>
      </w:pPr>
      <w:r>
        <w:rPr>
          <w:rFonts w:hint="eastAsia"/>
          <w:b/>
          <w:bCs/>
        </w:rPr>
        <w:t>7.4.13.4.1 利率风险</w:t>
      </w:r>
    </w:p>
    <w:p>
      <w:pPr>
        <w:pStyle w:val="20"/>
        <w:spacing w:before="0"/>
        <w:ind w:left="0" w:firstLine="480"/>
        <w:rPr>
          <w:rFonts w:hint="eastAsia"/>
        </w:rPr>
      </w:pPr>
      <w:r>
        <w:rPr>
          <w:rFonts w:hint="eastAsia"/>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pStyle w:val="20"/>
        <w:spacing w:before="0"/>
        <w:ind w:left="0" w:firstLine="480"/>
        <w:rPr>
          <w:rFonts w:hint="eastAsia"/>
        </w:rPr>
      </w:pPr>
      <w:r>
        <w:rPr>
          <w:rFonts w:hint="eastAsia"/>
        </w:rPr>
        <w:t>本基金的基金管理人定期对本基金面临的利率敏感性缺口进行监控，并通过调整投资组合的久期等方法对上述利率风险进行管理。</w:t>
      </w:r>
    </w:p>
    <w:p>
      <w:pPr>
        <w:pStyle w:val="20"/>
        <w:spacing w:before="0"/>
        <w:ind w:left="0" w:firstLine="480"/>
        <w:rPr>
          <w:rFonts w:hint="eastAsia"/>
        </w:rPr>
      </w:pPr>
      <w:r>
        <w:rPr>
          <w:rFonts w:hint="eastAsia"/>
        </w:rPr>
        <w:t>本基金持有及承担的大部分金融资产和金融负债不计息，因此本基金的收入及经营活动的现金流量在很大程度上独立于市场利率变化。本基金持有的利率敏感性资产主要为银行存款、结算备付金、存出保证金、债券投资、资产支持证券投资及买入返售金融资产等。</w:t>
      </w:r>
    </w:p>
    <w:p>
      <w:pPr>
        <w:pStyle w:val="15"/>
        <w:rPr>
          <w:rFonts w:hint="eastAsia"/>
        </w:rPr>
      </w:pPr>
      <w:r>
        <w:rPr>
          <w:rFonts w:hint="eastAsia"/>
          <w:b/>
          <w:bCs/>
        </w:rPr>
        <w:t>7.4.13.4.1.1 利率风险敞口</w:t>
      </w:r>
    </w:p>
    <w:p>
      <w:pPr>
        <w:pStyle w:val="19"/>
        <w:rPr>
          <w:rFonts w:hint="eastAsia"/>
        </w:rPr>
      </w:pPr>
      <w:r>
        <w:rPr>
          <w:rFonts w:hint="eastAsia" w:hAnsi="Calibri"/>
          <w:color w:val="000000"/>
        </w:rPr>
        <w:t>单位：人民币元</w:t>
      </w:r>
    </w:p>
    <w:tbl>
      <w:tblPr>
        <w:tblStyle w:val="7"/>
        <w:tblW w:w="10200" w:type="dxa"/>
        <w:tblInd w:w="108" w:type="dxa"/>
        <w:tblLayout w:type="autofit"/>
        <w:tblCellMar>
          <w:top w:w="0" w:type="dxa"/>
          <w:left w:w="108" w:type="dxa"/>
          <w:bottom w:w="0" w:type="dxa"/>
          <w:right w:w="108" w:type="dxa"/>
        </w:tblCellMar>
      </w:tblPr>
      <w:tblGrid>
        <w:gridCol w:w="1019"/>
        <w:gridCol w:w="1763"/>
        <w:gridCol w:w="1657"/>
        <w:gridCol w:w="1657"/>
        <w:gridCol w:w="2052"/>
        <w:gridCol w:w="2052"/>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本期末2018年12月31日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321,820.64</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321,820.64</w:t>
            </w:r>
          </w:p>
        </w:tc>
      </w:tr>
      <w:tr>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4,095.61</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4,095.61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456.29</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456.29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301,320.00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9,176,628.80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9,477,948.80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8,458.65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8,458.65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4,008.03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4,008.03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627,692.54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9,189,095.48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9,816,788.02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4,162.99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4,162.99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832.59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832.59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857.51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857.51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3,381.13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3,381.13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111,000.00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111,000.00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120,234.22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120,234.22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627,692.54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9,068,861.26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9,696,553.80</w:t>
            </w:r>
          </w:p>
        </w:tc>
      </w:tr>
    </w:tbl>
    <w:p>
      <w:pPr>
        <w:pStyle w:val="20"/>
        <w:rPr>
          <w:rFonts w:hint="eastAsia"/>
        </w:rPr>
      </w:pPr>
      <w:r>
        <w:rPr>
          <w:rFonts w:hint="eastAsia"/>
        </w:rPr>
        <w:t>注：表中所示为本基金资产及负债的账面价值，并按照合约规定的利率重新定价日或到期日孰早者予以分类。</w:t>
      </w:r>
    </w:p>
    <w:p>
      <w:pPr>
        <w:widowControl/>
        <w:jc w:val="left"/>
        <w:rPr>
          <w:rFonts w:hint="eastAsia" w:ascii="宋体" w:hAnsi="宋体" w:cs="宋体"/>
          <w:kern w:val="0"/>
          <w:sz w:val="24"/>
          <w:szCs w:val="24"/>
        </w:rPr>
      </w:pPr>
    </w:p>
    <w:p>
      <w:pPr>
        <w:pStyle w:val="15"/>
        <w:rPr>
          <w:rFonts w:hint="eastAsia"/>
        </w:rPr>
      </w:pPr>
      <w:r>
        <w:rPr>
          <w:rFonts w:hint="eastAsia"/>
          <w:b/>
          <w:bCs/>
        </w:rPr>
        <w:t>7.4.13.4.1.2 利率风险的敏感性分析</w:t>
      </w:r>
    </w:p>
    <w:p>
      <w:pPr>
        <w:pStyle w:val="20"/>
        <w:rPr>
          <w:rFonts w:hint="eastAsia"/>
        </w:rPr>
      </w:pPr>
      <w:r>
        <w:rPr>
          <w:rFonts w:hint="eastAsia"/>
        </w:rPr>
        <w:t>于2018年12月31日，本基金持有的交易性债券投资公允价值占基金资产净值的比例为3.11%，因此市场利率的变动对于本基金资产净值无重大影响。</w:t>
      </w:r>
    </w:p>
    <w:p>
      <w:pPr>
        <w:widowControl/>
        <w:jc w:val="left"/>
        <w:rPr>
          <w:rFonts w:hint="eastAsia" w:ascii="宋体" w:hAnsi="宋体" w:cs="宋体"/>
          <w:kern w:val="0"/>
          <w:sz w:val="24"/>
          <w:szCs w:val="24"/>
        </w:rPr>
      </w:pPr>
    </w:p>
    <w:p>
      <w:pPr>
        <w:pStyle w:val="15"/>
        <w:rPr>
          <w:rFonts w:hint="eastAsia"/>
        </w:rPr>
      </w:pPr>
      <w:r>
        <w:rPr>
          <w:rFonts w:hint="eastAsia"/>
          <w:b/>
          <w:bCs/>
        </w:rPr>
        <w:t>7.4.13.4.2 外汇风险</w:t>
      </w:r>
    </w:p>
    <w:p>
      <w:pPr>
        <w:pStyle w:val="20"/>
        <w:spacing w:before="0"/>
        <w:ind w:left="0" w:firstLine="480"/>
        <w:rPr>
          <w:rFonts w:hint="eastAsia"/>
        </w:rPr>
      </w:pPr>
      <w:r>
        <w:rPr>
          <w:rFonts w:hint="eastAsia"/>
        </w:rPr>
        <w:t>外汇风险是指金融工具的公允价值或未来现金流量因外汇汇率变动而发生波动的风险。本基金的所有资产及负债以人民币计价，因此无重大外汇风险。</w:t>
      </w:r>
    </w:p>
    <w:p>
      <w:pPr>
        <w:widowControl/>
        <w:jc w:val="left"/>
        <w:rPr>
          <w:rFonts w:hint="eastAsia" w:ascii="宋体" w:hAnsi="宋体" w:cs="宋体"/>
          <w:kern w:val="0"/>
          <w:sz w:val="24"/>
          <w:szCs w:val="24"/>
        </w:rPr>
      </w:pPr>
    </w:p>
    <w:p>
      <w:pPr>
        <w:pStyle w:val="15"/>
        <w:rPr>
          <w:rFonts w:hint="eastAsia"/>
        </w:rPr>
      </w:pPr>
      <w:r>
        <w:rPr>
          <w:rFonts w:hint="eastAsia"/>
          <w:b/>
          <w:bCs/>
        </w:rPr>
        <w:t>7.4.13.4.3 其他价格风险</w:t>
      </w:r>
    </w:p>
    <w:p>
      <w:pPr>
        <w:pStyle w:val="20"/>
        <w:spacing w:before="0"/>
        <w:ind w:left="0" w:firstLine="480"/>
        <w:rPr>
          <w:rFonts w:hint="eastAsia"/>
        </w:rPr>
      </w:pPr>
      <w:r>
        <w:rPr>
          <w:rFonts w:hint="eastAsia"/>
        </w:rPr>
        <w:t>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p>
    <w:p>
      <w:pPr>
        <w:pStyle w:val="20"/>
        <w:spacing w:before="0"/>
        <w:ind w:left="0" w:firstLine="480"/>
        <w:rPr>
          <w:rFonts w:hint="eastAsia"/>
        </w:rPr>
      </w:pPr>
      <w:r>
        <w:rPr>
          <w:rFonts w:hint="eastAsia"/>
        </w:rPr>
        <w:t>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pStyle w:val="15"/>
        <w:rPr>
          <w:rFonts w:hint="eastAsia"/>
        </w:rPr>
      </w:pPr>
      <w:r>
        <w:rPr>
          <w:rFonts w:hint="eastAsia"/>
          <w:b/>
          <w:bCs/>
        </w:rPr>
        <w:t>7.4.13.4.3.1 其他价格风险敞口</w:t>
      </w:r>
    </w:p>
    <w:p>
      <w:pPr>
        <w:pStyle w:val="22"/>
        <w:jc w:val="right"/>
        <w:rPr>
          <w:rFonts w:hint="eastAsia"/>
        </w:rPr>
      </w:pPr>
      <w:r>
        <w:rPr>
          <w:rFonts w:hint="eastAsia"/>
        </w:rPr>
        <w:t>金额单位：人民币元</w:t>
      </w:r>
    </w:p>
    <w:tbl>
      <w:tblPr>
        <w:tblStyle w:val="7"/>
        <w:tblW w:w="9045" w:type="dxa"/>
        <w:tblInd w:w="108" w:type="dxa"/>
        <w:tblLayout w:type="autofit"/>
        <w:tblCellMar>
          <w:top w:w="0" w:type="dxa"/>
          <w:left w:w="108" w:type="dxa"/>
          <w:bottom w:w="0" w:type="dxa"/>
          <w:right w:w="108" w:type="dxa"/>
        </w:tblCellMar>
      </w:tblPr>
      <w:tblGrid>
        <w:gridCol w:w="3016"/>
        <w:gridCol w:w="4220"/>
        <w:gridCol w:w="1809"/>
      </w:tblGrid>
      <w:tr>
        <w:tblPrEx>
          <w:tblCellMar>
            <w:top w:w="0" w:type="dxa"/>
            <w:left w:w="108" w:type="dxa"/>
            <w:bottom w:w="0" w:type="dxa"/>
            <w:right w:w="108" w:type="dxa"/>
          </w:tblCellMar>
        </w:tblPrEx>
        <w:trPr>
          <w:wBefore w:w="0" w:type="auto"/>
        </w:trPr>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9,176,628.80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94.64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9,176,628.80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94.64</w:t>
            </w:r>
          </w:p>
        </w:tc>
      </w:tr>
    </w:tbl>
    <w:p>
      <w:pPr>
        <w:widowControl/>
        <w:jc w:val="left"/>
        <w:rPr>
          <w:rFonts w:hint="eastAsia" w:ascii="宋体" w:hAnsi="宋体" w:cs="宋体"/>
          <w:kern w:val="0"/>
          <w:sz w:val="24"/>
          <w:szCs w:val="24"/>
        </w:rPr>
      </w:pPr>
    </w:p>
    <w:p>
      <w:pPr>
        <w:pStyle w:val="15"/>
        <w:rPr>
          <w:rFonts w:hint="eastAsia"/>
        </w:rPr>
      </w:pPr>
      <w:r>
        <w:rPr>
          <w:rFonts w:hint="eastAsia"/>
          <w:b/>
          <w:bCs/>
        </w:rPr>
        <w:t>7.4.13.4.3.2 其他价格风险的敏感性分析</w:t>
      </w:r>
    </w:p>
    <w:tbl>
      <w:tblPr>
        <w:tblStyle w:val="7"/>
        <w:tblW w:w="0" w:type="auto"/>
        <w:tblInd w:w="108" w:type="dxa"/>
        <w:tblLayout w:type="autofit"/>
        <w:tblCellMar>
          <w:top w:w="0" w:type="dxa"/>
          <w:left w:w="108" w:type="dxa"/>
          <w:bottom w:w="0" w:type="dxa"/>
          <w:right w:w="108" w:type="dxa"/>
        </w:tblCellMar>
      </w:tblPr>
      <w:tblGrid>
        <w:gridCol w:w="1135"/>
        <w:gridCol w:w="2759"/>
        <w:gridCol w:w="530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假设</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除业绩比较基准以外的其他市场变量保持不变</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分析</w:t>
            </w:r>
          </w:p>
        </w:tc>
        <w:tc>
          <w:tcPr>
            <w:tcW w:w="1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相关风险变量的变动</w:t>
            </w:r>
          </w:p>
        </w:tc>
        <w:tc>
          <w:tcPr>
            <w:tcW w:w="50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比较基准上涨5%资产净值变动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408,956.37</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比较基准下降5%资产净值变动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-408,956.37</w:t>
            </w:r>
          </w:p>
        </w:tc>
      </w:tr>
    </w:tbl>
    <w:p>
      <w:pPr>
        <w:widowControl/>
        <w:jc w:val="left"/>
        <w:rPr>
          <w:rFonts w:hint="eastAsia" w:ascii="宋体" w:hAnsi="宋体" w:cs="宋体"/>
          <w:kern w:val="0"/>
          <w:sz w:val="24"/>
          <w:szCs w:val="24"/>
        </w:rPr>
      </w:pPr>
    </w:p>
    <w:p>
      <w:pPr>
        <w:pStyle w:val="15"/>
        <w:rPr>
          <w:rFonts w:hint="eastAsia"/>
        </w:rPr>
      </w:pPr>
      <w:r>
        <w:rPr>
          <w:rFonts w:hint="eastAsia"/>
          <w:b/>
          <w:bCs/>
        </w:rPr>
        <w:t>7.4.14 有助于理解和分析会计报表需要说明的其他事项</w:t>
      </w:r>
    </w:p>
    <w:p>
      <w:pPr>
        <w:pStyle w:val="20"/>
        <w:spacing w:before="0"/>
        <w:ind w:left="0" w:firstLine="480"/>
        <w:rPr>
          <w:rFonts w:hint="eastAsia"/>
        </w:rPr>
      </w:pPr>
      <w:r>
        <w:rPr>
          <w:rFonts w:hint="eastAsia"/>
        </w:rPr>
        <w:t>(1)公允价值</w:t>
      </w:r>
    </w:p>
    <w:p>
      <w:pPr>
        <w:pStyle w:val="20"/>
        <w:spacing w:before="0"/>
        <w:ind w:left="0" w:firstLine="480"/>
        <w:rPr>
          <w:rFonts w:hint="eastAsia"/>
        </w:rPr>
      </w:pPr>
      <w:r>
        <w:rPr>
          <w:rFonts w:hint="eastAsia"/>
        </w:rPr>
        <w:t>(a)金融工具公允价值计量的方法</w:t>
      </w:r>
    </w:p>
    <w:p>
      <w:pPr>
        <w:pStyle w:val="20"/>
        <w:spacing w:before="0"/>
        <w:ind w:left="0" w:firstLine="480"/>
        <w:rPr>
          <w:rFonts w:hint="eastAsia"/>
        </w:rPr>
      </w:pPr>
      <w:r>
        <w:rPr>
          <w:rFonts w:hint="eastAsia"/>
        </w:rPr>
        <w:t>公允价值计量结果所属的层次，由对公允价值计量整体而言具有重要意义的输入值所属的最低层次决定：</w:t>
      </w:r>
    </w:p>
    <w:p>
      <w:pPr>
        <w:pStyle w:val="20"/>
        <w:spacing w:before="0"/>
        <w:ind w:left="0" w:firstLine="480"/>
        <w:rPr>
          <w:rFonts w:hint="eastAsia"/>
        </w:rPr>
      </w:pPr>
      <w:r>
        <w:rPr>
          <w:rFonts w:hint="eastAsia"/>
        </w:rPr>
        <w:t>第一层次：相同资产或负债在活跃市场上未经调整的报价。</w:t>
      </w:r>
    </w:p>
    <w:p>
      <w:pPr>
        <w:pStyle w:val="20"/>
        <w:spacing w:before="0"/>
        <w:ind w:left="0" w:firstLine="480"/>
        <w:rPr>
          <w:rFonts w:hint="eastAsia"/>
        </w:rPr>
      </w:pPr>
      <w:r>
        <w:rPr>
          <w:rFonts w:hint="eastAsia"/>
        </w:rPr>
        <w:t>第二层次：除第一层次输入值外相关资产或负债直接或间接可观察的输入值。</w:t>
      </w:r>
    </w:p>
    <w:p>
      <w:pPr>
        <w:pStyle w:val="20"/>
        <w:spacing w:before="0"/>
        <w:ind w:left="0" w:firstLine="480"/>
        <w:rPr>
          <w:rFonts w:hint="eastAsia"/>
        </w:rPr>
      </w:pPr>
      <w:r>
        <w:rPr>
          <w:rFonts w:hint="eastAsia"/>
        </w:rPr>
        <w:t>第三层次：相关资产或负债的不可观察输入值。</w:t>
      </w:r>
    </w:p>
    <w:p>
      <w:pPr>
        <w:pStyle w:val="20"/>
        <w:spacing w:before="0"/>
        <w:ind w:left="0" w:firstLine="480"/>
        <w:rPr>
          <w:rFonts w:hint="eastAsia"/>
        </w:rPr>
      </w:pPr>
      <w:r>
        <w:rPr>
          <w:rFonts w:hint="eastAsia"/>
        </w:rPr>
        <w:t>(b)持续的以公允价值计量的金融工具</w:t>
      </w:r>
    </w:p>
    <w:p>
      <w:pPr>
        <w:pStyle w:val="20"/>
        <w:spacing w:before="0"/>
        <w:ind w:left="0" w:firstLine="480"/>
        <w:rPr>
          <w:rFonts w:hint="eastAsia"/>
        </w:rPr>
      </w:pPr>
      <w:r>
        <w:rPr>
          <w:rFonts w:hint="eastAsia"/>
        </w:rPr>
        <w:t>(i)各层次金融工具公允价值</w:t>
      </w:r>
    </w:p>
    <w:p>
      <w:pPr>
        <w:pStyle w:val="20"/>
        <w:spacing w:before="0"/>
        <w:ind w:left="0" w:firstLine="480"/>
        <w:rPr>
          <w:rFonts w:hint="eastAsia"/>
        </w:rPr>
      </w:pPr>
      <w:r>
        <w:rPr>
          <w:rFonts w:hint="eastAsia"/>
        </w:rPr>
        <w:t>于2018年12月31日，本基金持有的以公允价值计量且其变动计入当期损益的金融资产中属于第一层次的余额为8,922,649.80元，属于第二层次的余额为555,299.00元，无属于第三层次的余额。</w:t>
      </w:r>
    </w:p>
    <w:p>
      <w:pPr>
        <w:pStyle w:val="20"/>
        <w:spacing w:before="0"/>
        <w:ind w:left="0" w:firstLine="480"/>
        <w:rPr>
          <w:rFonts w:hint="eastAsia"/>
        </w:rPr>
      </w:pPr>
      <w:r>
        <w:rPr>
          <w:rFonts w:hint="eastAsia"/>
        </w:rPr>
        <w:t>(ii)公允价值所属层次间的重大变动</w:t>
      </w:r>
    </w:p>
    <w:p>
      <w:pPr>
        <w:pStyle w:val="20"/>
        <w:spacing w:before="0"/>
        <w:ind w:left="0" w:firstLine="480"/>
        <w:rPr>
          <w:rFonts w:hint="eastAsia"/>
        </w:rPr>
      </w:pPr>
      <w:r>
        <w:rPr>
          <w:rFonts w:hint="eastAsia"/>
        </w:rPr>
        <w:t>本基金以导致各层次之间转换的事项发生日为确认各层次之间转换的时点。</w:t>
      </w:r>
    </w:p>
    <w:p>
      <w:pPr>
        <w:pStyle w:val="20"/>
        <w:spacing w:before="0"/>
        <w:ind w:left="0" w:firstLine="480"/>
        <w:rPr>
          <w:rFonts w:hint="eastAsia"/>
        </w:rPr>
      </w:pPr>
      <w:r>
        <w:rPr>
          <w:rFonts w:hint="eastAsia"/>
        </w:rPr>
        <w:t>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p>
    <w:p>
      <w:pPr>
        <w:pStyle w:val="20"/>
        <w:spacing w:before="0"/>
        <w:ind w:left="0" w:firstLine="480"/>
        <w:rPr>
          <w:rFonts w:hint="eastAsia"/>
        </w:rPr>
      </w:pPr>
      <w:r>
        <w:rPr>
          <w:rFonts w:hint="eastAsia"/>
        </w:rPr>
        <w:t>(iii)第三层次公允价值余额和本期变动金额</w:t>
      </w:r>
    </w:p>
    <w:p>
      <w:pPr>
        <w:pStyle w:val="20"/>
        <w:spacing w:before="0"/>
        <w:ind w:left="0" w:firstLine="480"/>
        <w:rPr>
          <w:rFonts w:hint="eastAsia"/>
        </w:rPr>
      </w:pPr>
      <w:r>
        <w:rPr>
          <w:rFonts w:hint="eastAsia"/>
        </w:rPr>
        <w:t>无。</w:t>
      </w:r>
    </w:p>
    <w:p>
      <w:pPr>
        <w:pStyle w:val="20"/>
        <w:spacing w:before="0"/>
        <w:ind w:left="0" w:firstLine="480"/>
        <w:rPr>
          <w:rFonts w:hint="eastAsia"/>
        </w:rPr>
      </w:pPr>
      <w:r>
        <w:rPr>
          <w:rFonts w:hint="eastAsia"/>
        </w:rPr>
        <w:t>(c)非持续的以公允价值计量的金融工具</w:t>
      </w:r>
    </w:p>
    <w:p>
      <w:pPr>
        <w:pStyle w:val="20"/>
        <w:spacing w:before="0"/>
        <w:ind w:left="0" w:firstLine="480"/>
        <w:rPr>
          <w:rFonts w:hint="eastAsia"/>
        </w:rPr>
      </w:pPr>
      <w:r>
        <w:rPr>
          <w:rFonts w:hint="eastAsia"/>
        </w:rPr>
        <w:t>于2018年12月31日，本基金未持有非持续的以公允价值计量的金融资产。</w:t>
      </w:r>
    </w:p>
    <w:p>
      <w:pPr>
        <w:pStyle w:val="20"/>
        <w:spacing w:before="0"/>
        <w:ind w:left="0" w:firstLine="480"/>
        <w:rPr>
          <w:rFonts w:hint="eastAsia"/>
        </w:rPr>
      </w:pPr>
      <w:r>
        <w:rPr>
          <w:rFonts w:hint="eastAsia"/>
        </w:rPr>
        <w:t>(d)不以公允价值计量的金融工具</w:t>
      </w:r>
    </w:p>
    <w:p>
      <w:pPr>
        <w:pStyle w:val="20"/>
        <w:spacing w:before="0"/>
        <w:ind w:left="0" w:firstLine="480"/>
        <w:rPr>
          <w:rFonts w:hint="eastAsia"/>
        </w:rPr>
      </w:pPr>
      <w:r>
        <w:rPr>
          <w:rFonts w:hint="eastAsia"/>
        </w:rPr>
        <w:t>不以公允价值计量的金融资产和负债主要包括应收款项和其他金融负债，其账面价值与公允价值相差很小。</w:t>
      </w:r>
    </w:p>
    <w:p>
      <w:pPr>
        <w:pStyle w:val="20"/>
        <w:spacing w:before="0"/>
        <w:ind w:left="0" w:firstLine="480"/>
        <w:rPr>
          <w:rFonts w:hint="eastAsia"/>
        </w:rPr>
      </w:pPr>
      <w:r>
        <w:rPr>
          <w:rFonts w:hint="eastAsia"/>
        </w:rPr>
        <w:t>(2)其他</w:t>
      </w:r>
    </w:p>
    <w:p>
      <w:pPr>
        <w:pStyle w:val="20"/>
        <w:spacing w:before="0"/>
        <w:ind w:left="0" w:firstLine="480"/>
        <w:rPr>
          <w:rFonts w:hint="eastAsia"/>
        </w:rPr>
      </w:pPr>
      <w:r>
        <w:rPr>
          <w:rFonts w:hint="eastAsia"/>
        </w:rPr>
        <w:t>除公允价值外，截至资产负债表日本基金无需要说明的其他重要事项。</w:t>
      </w:r>
    </w:p>
    <w:p>
      <w:pPr>
        <w:widowControl/>
        <w:jc w:val="left"/>
        <w:rPr>
          <w:rFonts w:hint="eastAsia" w:ascii="宋体" w:hAnsi="宋体" w:cs="宋体"/>
          <w:kern w:val="0"/>
          <w:sz w:val="24"/>
          <w:szCs w:val="24"/>
        </w:rPr>
      </w:pPr>
    </w:p>
    <w:p>
      <w:pPr>
        <w:pStyle w:val="13"/>
        <w:rPr>
          <w:rFonts w:hint="eastAsia"/>
        </w:rPr>
      </w:pPr>
      <w:bookmarkStart w:id="35" w:name="_Toc4173521"/>
      <w:r>
        <w:rPr>
          <w:rFonts w:hint="eastAsia" w:hAnsi="Calibri"/>
          <w:b/>
          <w:color w:val="000000"/>
        </w:rPr>
        <w:t>§8 投资组合报告</w:t>
      </w:r>
      <w:bookmarkEnd w:id="35"/>
    </w:p>
    <w:p>
      <w:pPr>
        <w:widowControl/>
        <w:jc w:val="left"/>
        <w:rPr>
          <w:rFonts w:hint="eastAsia" w:ascii="宋体" w:hAnsi="宋体" w:cs="宋体"/>
          <w:kern w:val="0"/>
          <w:sz w:val="24"/>
          <w:szCs w:val="24"/>
        </w:rPr>
      </w:pPr>
    </w:p>
    <w:p>
      <w:pPr>
        <w:pStyle w:val="14"/>
        <w:rPr>
          <w:rFonts w:hint="eastAsia"/>
        </w:rPr>
      </w:pPr>
      <w:bookmarkStart w:id="36" w:name="_Toc4173522"/>
      <w:r>
        <w:rPr>
          <w:rFonts w:hint="eastAsia"/>
          <w:b/>
          <w:bCs/>
        </w:rPr>
        <w:t>8.1 期末基金资产组合情况</w:t>
      </w:r>
      <w:bookmarkEnd w:id="36"/>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3612"/>
        <w:gridCol w:w="2529"/>
        <w:gridCol w:w="2167"/>
      </w:tblGrid>
      <w:tr>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9,176,628.80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93.48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9,176,628.80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93.48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325,916.25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12,922.97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9,816,788.02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4"/>
        <w:rPr>
          <w:rFonts w:hint="eastAsia"/>
        </w:rPr>
      </w:pPr>
      <w:bookmarkStart w:id="37" w:name="_Toc4173523"/>
      <w:r>
        <w:rPr>
          <w:rFonts w:hint="eastAsia"/>
          <w:b/>
          <w:bCs/>
        </w:rPr>
        <w:t>8.2 报告期末按行业分类的股票投资组合</w:t>
      </w:r>
      <w:bookmarkEnd w:id="37"/>
    </w:p>
    <w:p>
      <w:pPr>
        <w:pStyle w:val="15"/>
        <w:rPr>
          <w:rFonts w:hint="eastAsia"/>
        </w:rPr>
      </w:pPr>
      <w:r>
        <w:rPr>
          <w:rFonts w:hint="eastAsia"/>
          <w:b/>
          <w:bCs/>
        </w:rPr>
        <w:t>8.2.1 报告期末（指数投资）按行业分类的境内股票投资组合</w:t>
      </w:r>
    </w:p>
    <w:tbl>
      <w:tblPr>
        <w:tblStyle w:val="7"/>
        <w:tblW w:w="0" w:type="auto"/>
        <w:tblInd w:w="108" w:type="dxa"/>
        <w:tblLayout w:type="autofit"/>
        <w:tblCellMar>
          <w:top w:w="0" w:type="dxa"/>
          <w:left w:w="108" w:type="dxa"/>
          <w:bottom w:w="0" w:type="dxa"/>
          <w:right w:w="108" w:type="dxa"/>
        </w:tblCellMar>
      </w:tblPr>
      <w:tblGrid>
        <w:gridCol w:w="832"/>
        <w:gridCol w:w="2812"/>
        <w:gridCol w:w="2812"/>
        <w:gridCol w:w="2742"/>
      </w:tblGrid>
      <w:tr>
        <w:tblPrEx>
          <w:tblCellMar>
            <w:top w:w="0" w:type="dxa"/>
            <w:left w:w="108" w:type="dxa"/>
            <w:bottom w:w="0" w:type="dxa"/>
            <w:right w:w="108" w:type="dxa"/>
          </w:tblCellMar>
        </w:tblPrEx>
        <w:trPr>
          <w:wBefore w:w="0" w:type="auto"/>
        </w:trPr>
        <w:tc>
          <w:tcPr>
            <w:tcW w:w="134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代码</w:t>
            </w:r>
          </w:p>
        </w:tc>
        <w:tc>
          <w:tcPr>
            <w:tcW w:w="401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行业类别</w:t>
            </w:r>
          </w:p>
        </w:tc>
        <w:tc>
          <w:tcPr>
            <w:tcW w:w="201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公允价值(元)</w:t>
            </w:r>
          </w:p>
        </w:tc>
        <w:tc>
          <w:tcPr>
            <w:tcW w:w="29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A</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农、林、牧、渔业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B</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采矿业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制造业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2,685,285.80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D</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电力、热力、燃气及水生产和供应业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866,336.00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E</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建筑业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109,782.00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F</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批发和零售业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142,107.00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G</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交通运输、仓储和邮政业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1,877,207.00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H</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住宿和餐饮业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I</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信息传输、软件和信息技术服务业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J</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1,673,206.00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K</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房地产业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1,635,205.00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L</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租赁和商务服务业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M</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科学研究和技术服务业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N</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水利、环境和公共设施管理业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O</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居民服务、修理和其他服务业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P</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教育</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Q</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卫生和社会工作</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R</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文化、体育和娱乐业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187,500.00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S</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综合</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合计</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9,176,628.80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94.64</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8.2.2 报告期末（积极投资）按行业分类的境内股票投资组合</w:t>
      </w:r>
    </w:p>
    <w:p>
      <w:pPr>
        <w:widowControl/>
        <w:jc w:val="left"/>
        <w:rPr>
          <w:rFonts w:hint="eastAsia" w:ascii="宋体" w:hAnsi="宋体" w:cs="宋体"/>
          <w:kern w:val="0"/>
          <w:sz w:val="24"/>
          <w:szCs w:val="24"/>
        </w:rPr>
      </w:pPr>
      <w:r>
        <w:rPr>
          <w:rFonts w:hint="eastAsia" w:ascii="宋体" w:hAnsi="宋体" w:cs="宋体"/>
          <w:kern w:val="0"/>
          <w:sz w:val="24"/>
          <w:szCs w:val="24"/>
        </w:rPr>
        <w:t xml:space="preserve">本基金本报告期末未持有积极投资股票。 </w:t>
      </w:r>
    </w:p>
    <w:p>
      <w:pPr>
        <w:widowControl/>
        <w:jc w:val="left"/>
        <w:rPr>
          <w:rFonts w:hint="eastAsia" w:ascii="宋体" w:hAnsi="宋体" w:cs="宋体"/>
          <w:kern w:val="0"/>
          <w:sz w:val="24"/>
          <w:szCs w:val="24"/>
        </w:rPr>
      </w:pPr>
    </w:p>
    <w:p>
      <w:pPr>
        <w:pStyle w:val="14"/>
        <w:rPr>
          <w:rFonts w:hint="eastAsia"/>
        </w:rPr>
      </w:pPr>
      <w:bookmarkStart w:id="38" w:name="_Toc4173524"/>
      <w:r>
        <w:rPr>
          <w:rFonts w:hint="eastAsia"/>
          <w:b/>
          <w:bCs/>
        </w:rPr>
        <w:t>8.3 期末按公允价值占基金资产净值比例大小排序的所有股票投资明细</w:t>
      </w:r>
      <w:bookmarkEnd w:id="38"/>
    </w:p>
    <w:p>
      <w:pPr>
        <w:pStyle w:val="15"/>
        <w:rPr>
          <w:rFonts w:hint="eastAsia"/>
        </w:rPr>
      </w:pPr>
      <w:r>
        <w:rPr>
          <w:rFonts w:hint="eastAsia"/>
          <w:b/>
          <w:bCs/>
        </w:rPr>
        <w:t>8.3.1 期末指数投资按公允价值占基金资产净值比例大小排序的所有股票投资明细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0"/>
        <w:gridCol w:w="1634"/>
        <w:gridCol w:w="1634"/>
        <w:gridCol w:w="1717"/>
        <w:gridCol w:w="1717"/>
        <w:gridCol w:w="1676"/>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公允价值(元)</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上汽集团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301,371.00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粤高速Ａ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270,997.00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首开股份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255,964.00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外运发展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253,979.00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金地集团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251,082.00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241,376.00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顺发恒业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237,006.00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234,360.00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华域汽车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231,840.00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农业银行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226,440.00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宁沪高速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222,460.00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215,878.00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海澜之家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215,392.00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214,809.00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214,793.00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潍柴动力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210,980.00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厦门空港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210,771.00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孚日股份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210,511.00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大秦铁路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205,750.00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桂冠电力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205,130.00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202,607.00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福耀玻璃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195,908.00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佛山照明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195,234.20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建设银行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193,648.00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中南传媒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威孚高科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176,600.00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福建高速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176,418.00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171,810.00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171,675.00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迎驾贡酒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158,032.00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川投能源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156,927.00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绿地控股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155,194.00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赣粤高速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150,540.00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渤海轮渡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149,796.00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 科Ａ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147,684.00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劲嘉股份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147,609.00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北京银行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145,299.00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茂业商业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142,107.00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139,221.00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保利地产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139,122.00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韶能股份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138,012.00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131,040.00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老凤祥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中原高速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127,716.00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TCL 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125,930.00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陕天然气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124,891.00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一汽富维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123,951.60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法拉电子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122,206.00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中国建筑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109,782.00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上港集团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108,780.00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w:t>
            </w:r>
          </w:p>
        </w:tc>
      </w:tr>
    </w:tbl>
    <w:p>
      <w:pPr>
        <w:widowControl/>
        <w:jc w:val="left"/>
        <w:rPr>
          <w:rFonts w:hint="eastAsia" w:ascii="宋体" w:hAnsi="宋体" w:cs="宋体"/>
          <w:kern w:val="0"/>
          <w:sz w:val="24"/>
          <w:szCs w:val="24"/>
        </w:rPr>
      </w:pPr>
    </w:p>
    <w:p>
      <w:pPr>
        <w:pStyle w:val="15"/>
        <w:rPr>
          <w:rFonts w:hint="eastAsia"/>
        </w:rPr>
      </w:pPr>
      <w:r>
        <w:rPr>
          <w:rFonts w:hint="eastAsia"/>
          <w:b/>
          <w:bCs/>
        </w:rPr>
        <w:t>8.3.2 期末积极投资按公允价值占基金资产净值比例大小排序的所有股票投资明细</w:t>
      </w:r>
    </w:p>
    <w:p>
      <w:pPr>
        <w:pStyle w:val="20"/>
        <w:rPr>
          <w:rFonts w:hint="eastAsia"/>
        </w:rPr>
      </w:pPr>
      <w:r>
        <w:rPr>
          <w:rFonts w:hint="eastAsia"/>
        </w:rPr>
        <w:t>本基金本报告期末未持有积极投资股票。</w:t>
      </w:r>
    </w:p>
    <w:p>
      <w:pPr>
        <w:widowControl/>
        <w:jc w:val="left"/>
        <w:rPr>
          <w:rFonts w:hint="eastAsia" w:ascii="宋体" w:hAnsi="宋体" w:cs="宋体"/>
          <w:kern w:val="0"/>
          <w:sz w:val="24"/>
          <w:szCs w:val="24"/>
        </w:rPr>
      </w:pPr>
    </w:p>
    <w:p>
      <w:pPr>
        <w:pStyle w:val="14"/>
        <w:rPr>
          <w:rFonts w:hint="eastAsia"/>
        </w:rPr>
      </w:pPr>
      <w:bookmarkStart w:id="39" w:name="_Toc4173525"/>
      <w:r>
        <w:rPr>
          <w:rFonts w:hint="eastAsia"/>
          <w:b/>
          <w:bCs/>
        </w:rPr>
        <w:t>8.4 报告期内股票投资组合的重大变动</w:t>
      </w:r>
      <w:bookmarkEnd w:id="39"/>
    </w:p>
    <w:p>
      <w:pPr>
        <w:pStyle w:val="15"/>
        <w:rPr>
          <w:rFonts w:hint="eastAsia"/>
        </w:rPr>
      </w:pPr>
      <w:r>
        <w:rPr>
          <w:rFonts w:hint="eastAsia"/>
          <w:b/>
          <w:bCs/>
        </w:rPr>
        <w:t>8.4.1 累计买入金额超出期末基金资产净值2%或前20名的股票明细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本期累计买入金额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占期末基金资产净值比例(%)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上汽集团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546,322.00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海澜之家</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430,494.00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402,979.00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华域汽车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387,527.00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交通银行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350,728.00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345,649.00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贵州茅台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339,709.00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长江电力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337,115.00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工商银行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334,543.00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金地集团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328,622.96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王府井</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321,382.00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华发股份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303,859.00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289,710.00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首开股份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288,550.00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保利地产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277,122.00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申能股份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256,055.00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粤高速Ａ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254,377.00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长安汽车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249,958.00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民生银行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246,889.00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潍柴动力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246,848.00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福建高速</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246,380.00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顺发恒业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246,024.00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 科Ａ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244,586.00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外运发展</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241,783.00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佛山照明</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240,607.00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平高电气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237,785.00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建设银行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233,481.00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农业银行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226,614.00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 融 街</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226,050.00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威孚高科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224,828.00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宁沪高速</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218,695.00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厦门空港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218,267.00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金科股份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217,014.00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215,759.00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孚日股份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物产中大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212,574.00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法拉电子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209,829.00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五 粮 液</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208,385.00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赣粤高速</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203,193.00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大秦铁路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200,844.00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山东高速</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200,716.00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韶能股份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200,520.00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w:t>
            </w:r>
          </w:p>
        </w:tc>
      </w:tr>
    </w:tbl>
    <w:p>
      <w:pPr>
        <w:pStyle w:val="20"/>
        <w:rPr>
          <w:rFonts w:hint="eastAsia"/>
        </w:rPr>
      </w:pPr>
      <w:r>
        <w:rPr>
          <w:rFonts w:hint="eastAsia"/>
        </w:rPr>
        <w:t>注：本期累计买入金额按买卖成交金额,不考虑相关交易费用。</w:t>
      </w:r>
    </w:p>
    <w:p>
      <w:pPr>
        <w:widowControl/>
        <w:jc w:val="left"/>
        <w:rPr>
          <w:rFonts w:hint="eastAsia" w:ascii="宋体" w:hAnsi="宋体" w:cs="宋体"/>
          <w:kern w:val="0"/>
          <w:sz w:val="24"/>
          <w:szCs w:val="24"/>
        </w:rPr>
      </w:pPr>
    </w:p>
    <w:p>
      <w:pPr>
        <w:pStyle w:val="15"/>
        <w:rPr>
          <w:rFonts w:hint="eastAsia"/>
        </w:rPr>
      </w:pPr>
      <w:r>
        <w:rPr>
          <w:rFonts w:hint="eastAsia"/>
          <w:b/>
          <w:bCs/>
        </w:rPr>
        <w:t>8.4.2 累计卖出金额超出期末基金资产净值2%或前20名的股票明细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本期累计卖出金额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占期末基金资产净值比例(%)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贵州茅台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302,982.00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295,706.00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平高电气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276,674.00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申能股份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236,013.00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民生银行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226,327.20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217,334.00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王府井</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214,115.00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 融 街</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175,948.00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中国太保</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171,649.00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山东高速</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171,572.00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物产中大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168,057.00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164,928.00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长安汽车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163,839.00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五 粮 液</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157,442.00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中国平安</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149,074.00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上汽集团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144,631.00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138,921.00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白云机场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137,099.00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小天鹅Ａ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130,439.00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工商银行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125,006.00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w:t>
            </w:r>
          </w:p>
        </w:tc>
      </w:tr>
    </w:tbl>
    <w:p>
      <w:pPr>
        <w:pStyle w:val="20"/>
        <w:rPr>
          <w:rFonts w:hint="eastAsia"/>
        </w:rPr>
      </w:pPr>
      <w:r>
        <w:rPr>
          <w:rFonts w:hint="eastAsia"/>
        </w:rPr>
        <w:t>注：本期累计卖出金额按买卖成交金额,不考虑相关交易费用。</w:t>
      </w:r>
    </w:p>
    <w:p>
      <w:pPr>
        <w:widowControl/>
        <w:jc w:val="left"/>
        <w:rPr>
          <w:rFonts w:hint="eastAsia" w:ascii="宋体" w:hAnsi="宋体" w:cs="宋体"/>
          <w:kern w:val="0"/>
          <w:sz w:val="24"/>
          <w:szCs w:val="24"/>
        </w:rPr>
      </w:pPr>
    </w:p>
    <w:p>
      <w:pPr>
        <w:pStyle w:val="15"/>
        <w:rPr>
          <w:rFonts w:hint="eastAsia"/>
        </w:rPr>
      </w:pPr>
      <w:r>
        <w:rPr>
          <w:rFonts w:hint="eastAsia"/>
          <w:b/>
          <w:bCs/>
        </w:rPr>
        <w:t>8.4.3 买入股票的成本总额及卖出股票的收入总额</w:t>
      </w:r>
    </w:p>
    <w:p>
      <w:pPr>
        <w:pStyle w:val="19"/>
        <w:rPr>
          <w:rFonts w:hint="eastAsia"/>
        </w:rPr>
      </w:pPr>
      <w:r>
        <w:rPr>
          <w:rFonts w:hint="eastAsia" w:hAnsi="Calibri"/>
          <w:color w:val="000000"/>
        </w:rPr>
        <w:t>单位：人民币元</w:t>
      </w:r>
    </w:p>
    <w:tbl>
      <w:tblPr>
        <w:tblStyle w:val="7"/>
        <w:tblW w:w="0" w:type="auto"/>
        <w:tblInd w:w="108" w:type="dxa"/>
        <w:tblLayout w:type="autofit"/>
        <w:tblCellMar>
          <w:top w:w="0" w:type="dxa"/>
          <w:left w:w="108" w:type="dxa"/>
          <w:bottom w:w="0" w:type="dxa"/>
          <w:right w:w="108" w:type="dxa"/>
        </w:tblCellMar>
      </w:tblPr>
      <w:tblGrid>
        <w:gridCol w:w="3971"/>
        <w:gridCol w:w="5057"/>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买入股票成本（成交）总额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16,243,445.96</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卖出股票收入（成交）总额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5,479,631.50</w:t>
            </w:r>
          </w:p>
        </w:tc>
      </w:tr>
    </w:tbl>
    <w:p>
      <w:pPr>
        <w:pStyle w:val="20"/>
        <w:rPr>
          <w:rFonts w:hint="eastAsia"/>
        </w:rPr>
      </w:pPr>
      <w:r>
        <w:rPr>
          <w:rFonts w:hint="eastAsia"/>
        </w:rPr>
        <w:t>注：买入股票成本、卖出股票收入均按买卖成交金额填列，不考虑相关交易费用。</w:t>
      </w:r>
    </w:p>
    <w:p>
      <w:pPr>
        <w:widowControl/>
        <w:jc w:val="left"/>
        <w:rPr>
          <w:rFonts w:hint="eastAsia" w:ascii="宋体" w:hAnsi="宋体" w:cs="宋体"/>
          <w:kern w:val="0"/>
          <w:sz w:val="24"/>
          <w:szCs w:val="24"/>
        </w:rPr>
      </w:pPr>
    </w:p>
    <w:p>
      <w:pPr>
        <w:pStyle w:val="14"/>
        <w:rPr>
          <w:rFonts w:hint="eastAsia"/>
        </w:rPr>
      </w:pPr>
      <w:bookmarkStart w:id="40" w:name="_Toc4173526"/>
      <w:r>
        <w:rPr>
          <w:rFonts w:hint="eastAsia"/>
          <w:b/>
          <w:bCs/>
        </w:rPr>
        <w:t>8.5 期末按债券品种分类的债券投资组合</w:t>
      </w:r>
      <w:bookmarkEnd w:id="40"/>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2529"/>
        <w:gridCol w:w="2528"/>
        <w:gridCol w:w="3251"/>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可转债(可交换债)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3.11</w:t>
            </w:r>
          </w:p>
        </w:tc>
      </w:tr>
    </w:tbl>
    <w:p>
      <w:pPr>
        <w:widowControl/>
        <w:jc w:val="left"/>
        <w:rPr>
          <w:rFonts w:hint="eastAsia" w:ascii="宋体" w:hAnsi="宋体" w:cs="宋体"/>
          <w:kern w:val="0"/>
          <w:sz w:val="24"/>
          <w:szCs w:val="24"/>
        </w:rPr>
      </w:pPr>
    </w:p>
    <w:p>
      <w:pPr>
        <w:pStyle w:val="14"/>
        <w:rPr>
          <w:rFonts w:hint="eastAsia"/>
        </w:rPr>
      </w:pPr>
      <w:bookmarkStart w:id="41" w:name="_Toc4173527"/>
      <w:r>
        <w:rPr>
          <w:rFonts w:hint="eastAsia"/>
          <w:b/>
          <w:bCs/>
        </w:rPr>
        <w:t>8.6 期末按公允价值占基金资产净值比例大小排序的前五名债券投资明细</w:t>
      </w:r>
      <w:bookmarkEnd w:id="41"/>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92"/>
        <w:gridCol w:w="1543"/>
        <w:gridCol w:w="1543"/>
        <w:gridCol w:w="1734"/>
        <w:gridCol w:w="1995"/>
        <w:gridCol w:w="1591"/>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数量（张）</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018005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国开1701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301,320.00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3.11</w:t>
            </w:r>
          </w:p>
        </w:tc>
      </w:tr>
    </w:tbl>
    <w:p>
      <w:pPr>
        <w:widowControl/>
        <w:jc w:val="left"/>
        <w:rPr>
          <w:rFonts w:hint="eastAsia" w:ascii="宋体" w:hAnsi="宋体" w:cs="宋体"/>
          <w:kern w:val="0"/>
          <w:sz w:val="24"/>
          <w:szCs w:val="24"/>
        </w:rPr>
      </w:pPr>
    </w:p>
    <w:p>
      <w:pPr>
        <w:pStyle w:val="14"/>
        <w:rPr>
          <w:rFonts w:hint="eastAsia"/>
        </w:rPr>
      </w:pPr>
      <w:bookmarkStart w:id="42" w:name="_Toc4173528"/>
      <w:r>
        <w:rPr>
          <w:rFonts w:hint="eastAsia"/>
          <w:b/>
          <w:bCs/>
        </w:rPr>
        <w:t>8.7 期末按公允价值占基金资产净值比例大小排序的所有资产支持证券投资明细</w:t>
      </w:r>
      <w:bookmarkEnd w:id="42"/>
    </w:p>
    <w:p>
      <w:pPr>
        <w:pStyle w:val="20"/>
        <w:rPr>
          <w:rFonts w:hint="eastAsia"/>
        </w:rPr>
      </w:pPr>
      <w:r>
        <w:rPr>
          <w:rFonts w:hint="eastAsia"/>
        </w:rPr>
        <w:t>本基金本报告期末未持有资产支持证券。</w:t>
      </w:r>
    </w:p>
    <w:p>
      <w:pPr>
        <w:widowControl/>
        <w:jc w:val="left"/>
        <w:rPr>
          <w:rFonts w:hint="eastAsia" w:ascii="宋体" w:hAnsi="宋体" w:cs="宋体"/>
          <w:kern w:val="0"/>
          <w:sz w:val="24"/>
          <w:szCs w:val="24"/>
        </w:rPr>
      </w:pPr>
    </w:p>
    <w:p>
      <w:pPr>
        <w:pStyle w:val="14"/>
        <w:rPr>
          <w:rFonts w:hint="eastAsia"/>
        </w:rPr>
      </w:pPr>
      <w:bookmarkStart w:id="43" w:name="_Toc4173529"/>
      <w:r>
        <w:rPr>
          <w:rFonts w:hint="eastAsia"/>
          <w:b/>
          <w:bCs/>
        </w:rPr>
        <w:t>8.8 报告期末按公允价值占基金资产净值比例大小排序的前五名贵金属投资明细</w:t>
      </w:r>
      <w:bookmarkEnd w:id="43"/>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本基金本报告期末未持有贵金属。</w:t>
      </w:r>
    </w:p>
    <w:p>
      <w:pPr>
        <w:widowControl/>
        <w:jc w:val="left"/>
        <w:rPr>
          <w:rFonts w:hint="eastAsia" w:ascii="宋体" w:hAnsi="宋体" w:cs="宋体"/>
          <w:kern w:val="0"/>
          <w:sz w:val="24"/>
          <w:szCs w:val="24"/>
        </w:rPr>
      </w:pPr>
    </w:p>
    <w:p>
      <w:pPr>
        <w:pStyle w:val="14"/>
        <w:rPr>
          <w:rFonts w:hint="eastAsia"/>
        </w:rPr>
      </w:pPr>
      <w:bookmarkStart w:id="44" w:name="_Toc4173530"/>
      <w:r>
        <w:rPr>
          <w:rFonts w:hint="eastAsia"/>
          <w:b/>
          <w:bCs/>
        </w:rPr>
        <w:t>8.9 期末按公允价值占基金资产净值比例大小排序的前五名权证投资明细</w:t>
      </w:r>
      <w:bookmarkEnd w:id="44"/>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本基金本报告期末未持有权证。</w:t>
      </w:r>
    </w:p>
    <w:p>
      <w:pPr>
        <w:widowControl/>
        <w:jc w:val="left"/>
        <w:rPr>
          <w:rFonts w:hint="eastAsia" w:ascii="宋体" w:hAnsi="宋体" w:cs="宋体"/>
          <w:kern w:val="0"/>
          <w:sz w:val="24"/>
          <w:szCs w:val="24"/>
        </w:rPr>
      </w:pPr>
    </w:p>
    <w:p>
      <w:pPr>
        <w:pStyle w:val="14"/>
        <w:rPr>
          <w:rFonts w:hint="eastAsia"/>
        </w:rPr>
      </w:pPr>
      <w:bookmarkStart w:id="45" w:name="_Toc4173531"/>
      <w:r>
        <w:rPr>
          <w:rFonts w:hint="eastAsia"/>
          <w:b/>
          <w:bCs/>
        </w:rPr>
        <w:t>8.10 报告期末本基金投资的股指期货交易情况说明</w:t>
      </w:r>
      <w:bookmarkEnd w:id="45"/>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本基金本报告期未投资股指期货。</w:t>
      </w:r>
    </w:p>
    <w:p>
      <w:pPr>
        <w:widowControl/>
        <w:jc w:val="left"/>
        <w:rPr>
          <w:rFonts w:hint="eastAsia" w:ascii="宋体" w:hAnsi="宋体" w:cs="宋体"/>
          <w:kern w:val="0"/>
          <w:sz w:val="24"/>
          <w:szCs w:val="24"/>
        </w:rPr>
      </w:pPr>
    </w:p>
    <w:p>
      <w:pPr>
        <w:pStyle w:val="14"/>
        <w:rPr>
          <w:rFonts w:hint="eastAsia"/>
        </w:rPr>
      </w:pPr>
      <w:bookmarkStart w:id="46" w:name="_Toc4173532"/>
      <w:r>
        <w:rPr>
          <w:rFonts w:hint="eastAsia"/>
          <w:b/>
          <w:bCs/>
        </w:rPr>
        <w:t>8.11 报告期末本基金投资的国债期货交易情况说明</w:t>
      </w:r>
      <w:bookmarkEnd w:id="46"/>
    </w:p>
    <w:p>
      <w:pPr>
        <w:pStyle w:val="20"/>
        <w:rPr>
          <w:rFonts w:hint="eastAsia"/>
        </w:rPr>
      </w:pPr>
      <w:r>
        <w:rPr>
          <w:rFonts w:hint="eastAsia"/>
        </w:rPr>
        <w:t>本基金本报告期未投资国债期货。</w:t>
      </w:r>
    </w:p>
    <w:p>
      <w:pPr>
        <w:widowControl/>
        <w:jc w:val="left"/>
        <w:rPr>
          <w:rFonts w:hint="eastAsia" w:ascii="宋体" w:hAnsi="宋体" w:cs="宋体"/>
          <w:kern w:val="0"/>
          <w:sz w:val="24"/>
          <w:szCs w:val="24"/>
        </w:rPr>
      </w:pPr>
    </w:p>
    <w:p>
      <w:pPr>
        <w:pStyle w:val="14"/>
        <w:rPr>
          <w:rFonts w:hint="eastAsia"/>
        </w:rPr>
      </w:pPr>
      <w:bookmarkStart w:id="47" w:name="_Toc4173533"/>
      <w:r>
        <w:rPr>
          <w:rFonts w:hint="eastAsia"/>
          <w:b/>
          <w:bCs/>
        </w:rPr>
        <w:t>8.12 投资组合报告附注</w:t>
      </w:r>
      <w:bookmarkEnd w:id="47"/>
    </w:p>
    <w:p>
      <w:pPr>
        <w:pStyle w:val="15"/>
        <w:rPr>
          <w:rFonts w:hint="eastAsia"/>
        </w:rPr>
      </w:pPr>
      <w:r>
        <w:rPr>
          <w:rFonts w:hint="eastAsia"/>
          <w:b/>
          <w:bCs/>
        </w:rPr>
        <w:t>8.12.1 本报告期内，未出现基金投资前十名证券的发行主体被监管部门立案调查或编制日前一年内受到公开谴责、处罚的情况。</w:t>
      </w:r>
    </w:p>
    <w:p>
      <w:pPr>
        <w:widowControl/>
        <w:jc w:val="left"/>
        <w:rPr>
          <w:rFonts w:hint="eastAsia" w:ascii="宋体" w:hAnsi="宋体" w:cs="宋体"/>
          <w:kern w:val="0"/>
          <w:sz w:val="24"/>
          <w:szCs w:val="24"/>
        </w:rPr>
      </w:pPr>
    </w:p>
    <w:p>
      <w:pPr>
        <w:pStyle w:val="15"/>
        <w:rPr>
          <w:rFonts w:hint="eastAsia"/>
        </w:rPr>
      </w:pPr>
      <w:r>
        <w:rPr>
          <w:rFonts w:hint="eastAsia"/>
          <w:b/>
          <w:bCs/>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15"/>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456.29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8,458.65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4,008.03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12,922.97</w:t>
            </w:r>
          </w:p>
        </w:tc>
      </w:tr>
    </w:tbl>
    <w:p>
      <w:pPr>
        <w:widowControl/>
        <w:jc w:val="left"/>
        <w:rPr>
          <w:rFonts w:hint="eastAsia" w:ascii="宋体" w:hAnsi="宋体" w:cs="宋体"/>
          <w:kern w:val="0"/>
          <w:sz w:val="24"/>
          <w:szCs w:val="24"/>
        </w:rPr>
      </w:pPr>
    </w:p>
    <w:p>
      <w:pPr>
        <w:pStyle w:val="15"/>
        <w:rPr>
          <w:rFonts w:hint="eastAsia"/>
        </w:rPr>
      </w:pPr>
      <w:r>
        <w:rPr>
          <w:rFonts w:hint="eastAsia"/>
          <w:b/>
          <w:bCs/>
        </w:rPr>
        <w:t>8.12.4 期末持有的处于转股期的可转换债券明细</w:t>
      </w:r>
    </w:p>
    <w:p>
      <w:pPr>
        <w:pStyle w:val="20"/>
        <w:rPr>
          <w:rFonts w:hint="eastAsia"/>
        </w:rPr>
      </w:pPr>
      <w:r>
        <w:rPr>
          <w:rFonts w:hint="eastAsia"/>
        </w:rPr>
        <w:t>本基金本报告期末未持有处于转股期的可转换债券。</w:t>
      </w:r>
    </w:p>
    <w:p>
      <w:pPr>
        <w:widowControl/>
        <w:jc w:val="left"/>
        <w:rPr>
          <w:rFonts w:hint="eastAsia" w:ascii="宋体" w:hAnsi="宋体" w:cs="宋体"/>
          <w:kern w:val="0"/>
          <w:sz w:val="24"/>
          <w:szCs w:val="24"/>
        </w:rPr>
      </w:pPr>
    </w:p>
    <w:p>
      <w:pPr>
        <w:pStyle w:val="15"/>
        <w:rPr>
          <w:rFonts w:hint="eastAsia"/>
        </w:rPr>
      </w:pPr>
      <w:r>
        <w:rPr>
          <w:rFonts w:hint="eastAsia"/>
          <w:b/>
          <w:bCs/>
        </w:rPr>
        <w:t>8.12.5 期末前十名股票中存在流通受限情况的说明</w:t>
      </w:r>
    </w:p>
    <w:p>
      <w:pPr>
        <w:pStyle w:val="15"/>
        <w:rPr>
          <w:rFonts w:hint="eastAsia"/>
        </w:rPr>
      </w:pPr>
      <w:r>
        <w:rPr>
          <w:rFonts w:hint="eastAsia"/>
          <w:b/>
          <w:bCs/>
        </w:rPr>
        <w:t>8.12.5.1 期末指数投资前十名股票中存在流通受限情况的说明</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9"/>
        <w:gridCol w:w="1666"/>
        <w:gridCol w:w="1666"/>
        <w:gridCol w:w="1666"/>
        <w:gridCol w:w="1705"/>
        <w:gridCol w:w="1666"/>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流通受限部分的公允价值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流通受限情况说明</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外运发展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253,979.00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r>
    </w:tbl>
    <w:p>
      <w:pPr>
        <w:widowControl/>
        <w:jc w:val="left"/>
        <w:rPr>
          <w:rFonts w:hint="eastAsia" w:ascii="宋体" w:hAnsi="宋体" w:cs="宋体"/>
          <w:kern w:val="0"/>
          <w:sz w:val="24"/>
          <w:szCs w:val="24"/>
        </w:rPr>
      </w:pPr>
    </w:p>
    <w:p>
      <w:pPr>
        <w:pStyle w:val="15"/>
        <w:rPr>
          <w:rFonts w:hint="eastAsia"/>
        </w:rPr>
      </w:pPr>
      <w:r>
        <w:rPr>
          <w:rFonts w:hint="eastAsia"/>
          <w:b/>
          <w:bCs/>
        </w:rPr>
        <w:t>8.12.5.2 期末积极投资前五名股票中存在流通受限情况的说明</w:t>
      </w:r>
    </w:p>
    <w:p>
      <w:pPr>
        <w:pStyle w:val="20"/>
        <w:rPr>
          <w:rFonts w:hint="eastAsia"/>
        </w:rPr>
      </w:pPr>
      <w:r>
        <w:rPr>
          <w:rFonts w:hint="eastAsia"/>
        </w:rPr>
        <w:t>本基金本报告期末未持有积极投资股票。</w:t>
      </w:r>
    </w:p>
    <w:p>
      <w:pPr>
        <w:widowControl/>
        <w:jc w:val="left"/>
        <w:rPr>
          <w:rFonts w:hint="eastAsia" w:ascii="宋体" w:hAnsi="宋体" w:cs="宋体"/>
          <w:kern w:val="0"/>
          <w:sz w:val="24"/>
          <w:szCs w:val="24"/>
        </w:rPr>
      </w:pPr>
    </w:p>
    <w:p>
      <w:pPr>
        <w:pStyle w:val="13"/>
        <w:rPr>
          <w:rFonts w:hint="eastAsia"/>
        </w:rPr>
      </w:pPr>
      <w:bookmarkStart w:id="48" w:name="_Toc4173534"/>
      <w:r>
        <w:rPr>
          <w:rFonts w:hint="eastAsia" w:hAnsi="Calibri"/>
          <w:b/>
          <w:color w:val="000000"/>
        </w:rPr>
        <w:t>§9  基金份额持有人信息</w:t>
      </w:r>
      <w:bookmarkEnd w:id="48"/>
    </w:p>
    <w:p>
      <w:pPr>
        <w:widowControl/>
        <w:jc w:val="left"/>
        <w:rPr>
          <w:rFonts w:hint="eastAsia" w:ascii="宋体" w:hAnsi="宋体" w:cs="宋体"/>
          <w:kern w:val="0"/>
          <w:sz w:val="24"/>
          <w:szCs w:val="24"/>
        </w:rPr>
      </w:pPr>
    </w:p>
    <w:p>
      <w:pPr>
        <w:pStyle w:val="14"/>
        <w:rPr>
          <w:rFonts w:hint="eastAsia"/>
        </w:rPr>
      </w:pPr>
      <w:bookmarkStart w:id="49" w:name="_Toc4173535"/>
      <w:r>
        <w:rPr>
          <w:rFonts w:hint="eastAsia"/>
          <w:b/>
          <w:bCs/>
        </w:rPr>
        <w:t>9.1 期末基金份额持有人户数及持有人结构</w:t>
      </w:r>
      <w:bookmarkEnd w:id="49"/>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876"/>
        <w:gridCol w:w="711"/>
        <w:gridCol w:w="1600"/>
        <w:gridCol w:w="1962"/>
        <w:gridCol w:w="877"/>
        <w:gridCol w:w="1962"/>
        <w:gridCol w:w="1057"/>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持有人户数(户)</w:t>
            </w:r>
          </w:p>
        </w:tc>
        <w:tc>
          <w:tcPr>
            <w:tcW w:w="9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户均持有的基金份额</w:t>
            </w:r>
          </w:p>
        </w:tc>
        <w:tc>
          <w:tcPr>
            <w:tcW w:w="3300" w:type="pct"/>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机构投资者</w:t>
            </w: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创金合信中证红利低波动指数A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38,435.27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5,000,700.14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495,543.30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创金合信中证红利低波动指数C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47,282.99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86.69%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767,825.08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45,606.35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10,001,400.14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1,263,368.38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11.22%</w:t>
            </w:r>
          </w:p>
        </w:tc>
      </w:tr>
    </w:tbl>
    <w:p>
      <w:pPr>
        <w:widowControl/>
        <w:jc w:val="left"/>
        <w:rPr>
          <w:rFonts w:hint="eastAsia" w:ascii="宋体" w:hAnsi="宋体" w:cs="宋体"/>
          <w:kern w:val="0"/>
          <w:sz w:val="24"/>
          <w:szCs w:val="24"/>
        </w:rPr>
      </w:pPr>
    </w:p>
    <w:p>
      <w:pPr>
        <w:pStyle w:val="14"/>
        <w:rPr>
          <w:rFonts w:hint="eastAsia"/>
        </w:rPr>
      </w:pPr>
      <w:bookmarkStart w:id="50" w:name="_Toc4173536"/>
      <w:r>
        <w:rPr>
          <w:rFonts w:hint="eastAsia" w:hAnsi="Calibri"/>
          <w:b/>
          <w:color w:val="000000"/>
        </w:rPr>
        <w:t>9.2 期末基金管理人的从业人员持有本基金的情况</w:t>
      </w:r>
      <w:bookmarkEnd w:id="50"/>
    </w:p>
    <w:tbl>
      <w:tblPr>
        <w:tblStyle w:val="7"/>
        <w:tblW w:w="9045" w:type="dxa"/>
        <w:tblInd w:w="108" w:type="dxa"/>
        <w:tblLayout w:type="autofit"/>
        <w:tblCellMar>
          <w:top w:w="0" w:type="dxa"/>
          <w:left w:w="108" w:type="dxa"/>
          <w:bottom w:w="0" w:type="dxa"/>
          <w:right w:w="108" w:type="dxa"/>
        </w:tblCellMar>
      </w:tblPr>
      <w:tblGrid>
        <w:gridCol w:w="2863"/>
        <w:gridCol w:w="2465"/>
        <w:gridCol w:w="1854"/>
        <w:gridCol w:w="1863"/>
      </w:tblGrid>
      <w:tr>
        <w:tblPrEx>
          <w:tblCellMar>
            <w:top w:w="0" w:type="dxa"/>
            <w:left w:w="108" w:type="dxa"/>
            <w:bottom w:w="0" w:type="dxa"/>
            <w:right w:w="108" w:type="dxa"/>
          </w:tblCellMar>
        </w:tblPrEx>
        <w:trPr>
          <w:wBefore w:w="0" w:type="auto"/>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99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创金合信中证红利低波动指数A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4,994.18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0.09%</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创金合信中证红利低波动指数C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2,000.35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0.03%</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6,994.53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0.06%</w:t>
            </w:r>
          </w:p>
        </w:tc>
      </w:tr>
    </w:tbl>
    <w:p>
      <w:pPr>
        <w:widowControl/>
        <w:jc w:val="left"/>
        <w:rPr>
          <w:rFonts w:hint="eastAsia" w:ascii="宋体" w:hAnsi="宋体" w:cs="宋体"/>
          <w:kern w:val="0"/>
          <w:sz w:val="24"/>
          <w:szCs w:val="24"/>
        </w:rPr>
      </w:pPr>
    </w:p>
    <w:p>
      <w:pPr>
        <w:pStyle w:val="14"/>
        <w:rPr>
          <w:rFonts w:hint="eastAsia"/>
        </w:rPr>
      </w:pPr>
      <w:bookmarkStart w:id="51" w:name="_Toc4173537"/>
      <w:r>
        <w:rPr>
          <w:rFonts w:hint="eastAsia"/>
          <w:b/>
          <w:bCs/>
        </w:rPr>
        <w:t>9.3 期末基金管理人的从业人员持有本开放式基金份额总量区间情况</w:t>
      </w:r>
      <w:bookmarkEnd w:id="51"/>
    </w:p>
    <w:tbl>
      <w:tblPr>
        <w:tblStyle w:val="7"/>
        <w:tblW w:w="9045" w:type="dxa"/>
        <w:tblInd w:w="108" w:type="dxa"/>
        <w:tblLayout w:type="autofit"/>
        <w:tblCellMar>
          <w:top w:w="0" w:type="dxa"/>
          <w:left w:w="108" w:type="dxa"/>
          <w:bottom w:w="0" w:type="dxa"/>
          <w:right w:w="108" w:type="dxa"/>
        </w:tblCellMar>
      </w:tblPr>
      <w:tblGrid>
        <w:gridCol w:w="3618"/>
        <w:gridCol w:w="2261"/>
        <w:gridCol w:w="3166"/>
      </w:tblGrid>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创金合信中证红利低波动指数A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创金合信中证红利低波动指数C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创金合信中证红利低波动指数A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创金合信中证红利低波动指数C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bl>
    <w:p>
      <w:pPr>
        <w:widowControl/>
        <w:jc w:val="left"/>
        <w:rPr>
          <w:rFonts w:hint="eastAsia" w:ascii="宋体" w:hAnsi="宋体" w:cs="宋体"/>
          <w:kern w:val="0"/>
          <w:sz w:val="24"/>
          <w:szCs w:val="24"/>
        </w:rPr>
      </w:pPr>
    </w:p>
    <w:p>
      <w:pPr>
        <w:pStyle w:val="14"/>
        <w:rPr>
          <w:rFonts w:hint="eastAsia"/>
        </w:rPr>
      </w:pPr>
      <w:bookmarkStart w:id="52" w:name="_Toc4173538"/>
      <w:r>
        <w:rPr>
          <w:rFonts w:hint="eastAsia"/>
          <w:b/>
          <w:bCs/>
        </w:rPr>
        <w:t>9.4发起式基金发起资金持有份额情况</w:t>
      </w:r>
      <w:bookmarkEnd w:id="52"/>
    </w:p>
    <w:tbl>
      <w:tblPr>
        <w:tblStyle w:val="7"/>
        <w:tblW w:w="9045" w:type="dxa"/>
        <w:tblInd w:w="108" w:type="dxa"/>
        <w:tblLayout w:type="autofit"/>
        <w:tblCellMar>
          <w:top w:w="0" w:type="dxa"/>
          <w:left w:w="108" w:type="dxa"/>
          <w:bottom w:w="0" w:type="dxa"/>
          <w:right w:w="108" w:type="dxa"/>
        </w:tblCellMar>
      </w:tblPr>
      <w:tblGrid>
        <w:gridCol w:w="1357"/>
        <w:gridCol w:w="1791"/>
        <w:gridCol w:w="1140"/>
        <w:gridCol w:w="1791"/>
        <w:gridCol w:w="1140"/>
        <w:gridCol w:w="1826"/>
      </w:tblGrid>
      <w:tr>
        <w:tblPrEx>
          <w:tblCellMar>
            <w:top w:w="0" w:type="dxa"/>
            <w:left w:w="108" w:type="dxa"/>
            <w:bottom w:w="0" w:type="dxa"/>
            <w:right w:w="108" w:type="dxa"/>
          </w:tblCellMar>
        </w:tblPrEx>
        <w:trPr>
          <w:wBefore w:w="0" w:type="auto"/>
        </w:trPr>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持有份额总数</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持有份额占基金总份额比例</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发起份额总数</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发起份额承诺持有期限</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基金管理人固有资金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10,001,400.14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88.78%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10,001,400.14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88.78%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36月</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基金管理人高级管理人员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基金经理等人员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基金管理人股东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10,001,400.14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88.78%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10,001,400.14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88.78%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36月</w:t>
            </w:r>
          </w:p>
        </w:tc>
      </w:tr>
    </w:tbl>
    <w:p>
      <w:pPr>
        <w:widowControl/>
        <w:jc w:val="left"/>
        <w:rPr>
          <w:rFonts w:hint="eastAsia" w:ascii="宋体" w:hAnsi="宋体" w:cs="宋体"/>
          <w:kern w:val="0"/>
          <w:sz w:val="24"/>
          <w:szCs w:val="24"/>
        </w:rPr>
      </w:pPr>
    </w:p>
    <w:p>
      <w:pPr>
        <w:pStyle w:val="13"/>
        <w:rPr>
          <w:rFonts w:hint="eastAsia"/>
        </w:rPr>
      </w:pPr>
      <w:bookmarkStart w:id="53" w:name="_Toc4173539"/>
      <w:r>
        <w:rPr>
          <w:rFonts w:hint="eastAsia" w:hAnsi="Calibri"/>
          <w:b/>
          <w:color w:val="000000"/>
        </w:rPr>
        <w:t>§10  开放式基金份额变动</w:t>
      </w:r>
      <w:bookmarkEnd w:id="53"/>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7"/>
        <w:tblW w:w="9045" w:type="dxa"/>
        <w:tblInd w:w="108" w:type="dxa"/>
        <w:tblLayout w:type="autofit"/>
        <w:tblCellMar>
          <w:top w:w="0" w:type="dxa"/>
          <w:left w:w="108" w:type="dxa"/>
          <w:bottom w:w="0" w:type="dxa"/>
          <w:right w:w="108" w:type="dxa"/>
        </w:tblCellMar>
      </w:tblPr>
      <w:tblGrid>
        <w:gridCol w:w="3617"/>
        <w:gridCol w:w="2714"/>
        <w:gridCol w:w="271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hAnsi="Calibri"/>
                <w:color w:val="000000"/>
              </w:rPr>
              <w:t>创金合信中证红利低波动指数A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创金合信中证红利低波动指数C</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基金合同生效日(2018年04月26日)基金份额总额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5,043,324.08</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5,038,281.29</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基金合同生效日起至报告期期末基金总申购份额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567,083.44</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1,196,751.73</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减：基金合同生效日起至报告期期末基金总赎回份额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114,164.08</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466,507.94</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基金合同生效日起至报告期期末基金拆分变动份额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本报告期期末基金份额总额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5,496,243.44</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5,768,525.08</w:t>
            </w:r>
          </w:p>
        </w:tc>
      </w:tr>
    </w:tbl>
    <w:p>
      <w:pPr>
        <w:widowControl/>
        <w:jc w:val="left"/>
        <w:rPr>
          <w:rFonts w:hint="eastAsia" w:ascii="宋体" w:hAnsi="宋体" w:cs="宋体"/>
          <w:kern w:val="0"/>
          <w:sz w:val="24"/>
          <w:szCs w:val="24"/>
        </w:rPr>
      </w:pPr>
    </w:p>
    <w:p>
      <w:pPr>
        <w:pStyle w:val="13"/>
        <w:rPr>
          <w:rFonts w:hint="eastAsia"/>
        </w:rPr>
      </w:pPr>
      <w:bookmarkStart w:id="54" w:name="_Toc4173540"/>
      <w:r>
        <w:rPr>
          <w:rFonts w:hint="eastAsia" w:hAnsi="Calibri"/>
          <w:b/>
          <w:color w:val="000000"/>
        </w:rPr>
        <w:t>§11  重大事件揭示</w:t>
      </w:r>
      <w:bookmarkEnd w:id="54"/>
    </w:p>
    <w:p>
      <w:pPr>
        <w:widowControl/>
        <w:jc w:val="left"/>
        <w:rPr>
          <w:rFonts w:hint="eastAsia" w:ascii="宋体" w:hAnsi="宋体" w:cs="宋体"/>
          <w:kern w:val="0"/>
          <w:sz w:val="24"/>
          <w:szCs w:val="24"/>
        </w:rPr>
      </w:pPr>
    </w:p>
    <w:p>
      <w:pPr>
        <w:pStyle w:val="14"/>
        <w:rPr>
          <w:rFonts w:hint="eastAsia"/>
        </w:rPr>
      </w:pPr>
      <w:bookmarkStart w:id="55" w:name="_Toc4173541"/>
      <w:r>
        <w:rPr>
          <w:rFonts w:hint="eastAsia"/>
          <w:b/>
          <w:bCs/>
        </w:rPr>
        <w:t>11.1 基金份额持有人大会决议</w:t>
      </w:r>
      <w:bookmarkEnd w:id="55"/>
    </w:p>
    <w:p>
      <w:pPr>
        <w:pStyle w:val="20"/>
        <w:spacing w:before="0"/>
        <w:ind w:left="0" w:firstLine="480"/>
        <w:rPr>
          <w:rFonts w:hint="eastAsia"/>
        </w:rPr>
      </w:pPr>
      <w:r>
        <w:rPr>
          <w:rFonts w:hint="eastAsia"/>
        </w:rPr>
        <w:t>本报告期内未召开基金份额持有人大会。</w:t>
      </w:r>
    </w:p>
    <w:p>
      <w:pPr>
        <w:widowControl/>
        <w:jc w:val="left"/>
        <w:rPr>
          <w:rFonts w:hint="eastAsia" w:ascii="宋体" w:hAnsi="宋体" w:cs="宋体"/>
          <w:kern w:val="0"/>
          <w:sz w:val="24"/>
          <w:szCs w:val="24"/>
        </w:rPr>
      </w:pPr>
    </w:p>
    <w:p>
      <w:pPr>
        <w:pStyle w:val="14"/>
        <w:rPr>
          <w:rFonts w:hint="eastAsia"/>
        </w:rPr>
      </w:pPr>
      <w:bookmarkStart w:id="56" w:name="_Toc4173542"/>
      <w:r>
        <w:rPr>
          <w:rFonts w:hint="eastAsia"/>
          <w:b/>
          <w:bCs/>
        </w:rPr>
        <w:t>11.2 基金管理人、基金托管人的专门基金托管部门的重大人事变动</w:t>
      </w:r>
      <w:bookmarkEnd w:id="56"/>
    </w:p>
    <w:p>
      <w:pPr>
        <w:pStyle w:val="20"/>
        <w:spacing w:before="0"/>
        <w:ind w:left="0" w:firstLine="480"/>
        <w:rPr>
          <w:rFonts w:hint="eastAsia"/>
        </w:rPr>
      </w:pPr>
      <w:r>
        <w:rPr>
          <w:rFonts w:hint="eastAsia"/>
        </w:rPr>
        <w:t>本报告期内基金管理人、基金托管人的专门基金托管部门无重大人事变动。</w:t>
      </w:r>
    </w:p>
    <w:p>
      <w:pPr>
        <w:widowControl/>
        <w:jc w:val="left"/>
        <w:rPr>
          <w:rFonts w:hint="eastAsia" w:ascii="宋体" w:hAnsi="宋体" w:cs="宋体"/>
          <w:kern w:val="0"/>
          <w:sz w:val="24"/>
          <w:szCs w:val="24"/>
        </w:rPr>
      </w:pPr>
    </w:p>
    <w:p>
      <w:pPr>
        <w:pStyle w:val="14"/>
        <w:rPr>
          <w:rFonts w:hint="eastAsia"/>
        </w:rPr>
      </w:pPr>
      <w:bookmarkStart w:id="57" w:name="_Toc4173543"/>
      <w:r>
        <w:rPr>
          <w:rFonts w:hint="eastAsia"/>
          <w:b/>
          <w:bCs/>
        </w:rPr>
        <w:t>11.3 涉及基金管理人、基金财产、基金托管业务的诉讼</w:t>
      </w:r>
      <w:bookmarkEnd w:id="57"/>
    </w:p>
    <w:p>
      <w:pPr>
        <w:pStyle w:val="20"/>
        <w:spacing w:before="0"/>
        <w:ind w:left="0" w:firstLine="480"/>
        <w:rPr>
          <w:rFonts w:hint="eastAsia"/>
        </w:rPr>
      </w:pPr>
      <w:r>
        <w:rPr>
          <w:rFonts w:hint="eastAsia"/>
        </w:rPr>
        <w:t>本报告期内，未出现涉及基金管理人、基金财产、基金托管业务的诉讼。</w:t>
      </w:r>
    </w:p>
    <w:p>
      <w:pPr>
        <w:widowControl/>
        <w:jc w:val="left"/>
        <w:rPr>
          <w:rFonts w:hint="eastAsia" w:ascii="宋体" w:hAnsi="宋体" w:cs="宋体"/>
          <w:kern w:val="0"/>
          <w:sz w:val="24"/>
          <w:szCs w:val="24"/>
        </w:rPr>
      </w:pPr>
    </w:p>
    <w:p>
      <w:pPr>
        <w:pStyle w:val="14"/>
        <w:rPr>
          <w:rFonts w:hint="eastAsia"/>
        </w:rPr>
      </w:pPr>
      <w:bookmarkStart w:id="58" w:name="_Toc4173544"/>
      <w:r>
        <w:rPr>
          <w:rFonts w:hint="eastAsia"/>
          <w:b/>
          <w:bCs/>
        </w:rPr>
        <w:t>11.4 基金投资策略的改变</w:t>
      </w:r>
      <w:bookmarkEnd w:id="58"/>
    </w:p>
    <w:p>
      <w:pPr>
        <w:pStyle w:val="20"/>
        <w:spacing w:before="0"/>
        <w:ind w:left="0" w:firstLine="480"/>
        <w:rPr>
          <w:rFonts w:hint="eastAsia"/>
        </w:rPr>
      </w:pPr>
      <w:r>
        <w:rPr>
          <w:rFonts w:hint="eastAsia"/>
        </w:rPr>
        <w:t>本报告期内基金投资策略无重大改变。</w:t>
      </w:r>
    </w:p>
    <w:p>
      <w:pPr>
        <w:widowControl/>
        <w:jc w:val="left"/>
        <w:rPr>
          <w:rFonts w:hint="eastAsia" w:ascii="宋体" w:hAnsi="宋体" w:cs="宋体"/>
          <w:kern w:val="0"/>
          <w:sz w:val="24"/>
          <w:szCs w:val="24"/>
        </w:rPr>
      </w:pPr>
    </w:p>
    <w:p>
      <w:pPr>
        <w:pStyle w:val="14"/>
        <w:rPr>
          <w:rFonts w:hint="eastAsia"/>
        </w:rPr>
      </w:pPr>
      <w:bookmarkStart w:id="59" w:name="_Toc4173545"/>
      <w:r>
        <w:rPr>
          <w:rFonts w:hint="eastAsia"/>
          <w:b/>
          <w:bCs/>
        </w:rPr>
        <w:t>11.5 为基金进行审计的会计师事务所情况</w:t>
      </w:r>
      <w:bookmarkEnd w:id="59"/>
    </w:p>
    <w:p>
      <w:pPr>
        <w:pStyle w:val="20"/>
        <w:spacing w:before="0"/>
        <w:ind w:left="0" w:firstLine="480"/>
        <w:rPr>
          <w:rFonts w:hint="eastAsia"/>
        </w:rPr>
      </w:pPr>
      <w:r>
        <w:rPr>
          <w:rFonts w:hint="eastAsia"/>
        </w:rPr>
        <w:t xml:space="preserve">本报告期内本基金未更换会计师事务所,本年度支付给普华永道中天会计师事务所(特殊普通合伙)审计费用35,000.00元,该审计机构连续提供审计服务的年限为1年。 </w:t>
      </w:r>
    </w:p>
    <w:p>
      <w:pPr>
        <w:widowControl/>
        <w:jc w:val="left"/>
        <w:rPr>
          <w:rFonts w:hint="eastAsia" w:ascii="宋体" w:hAnsi="宋体" w:cs="宋体"/>
          <w:kern w:val="0"/>
          <w:sz w:val="24"/>
          <w:szCs w:val="24"/>
        </w:rPr>
      </w:pPr>
    </w:p>
    <w:p>
      <w:pPr>
        <w:pStyle w:val="14"/>
        <w:rPr>
          <w:rFonts w:hint="eastAsia"/>
        </w:rPr>
      </w:pPr>
      <w:bookmarkStart w:id="60" w:name="_Toc4173546"/>
      <w:r>
        <w:rPr>
          <w:rFonts w:hint="eastAsia"/>
          <w:b/>
          <w:bCs/>
        </w:rPr>
        <w:t>11.6 管理人、托管人及其高级管理人员受稽查或处罚等情况</w:t>
      </w:r>
      <w:bookmarkEnd w:id="60"/>
    </w:p>
    <w:p>
      <w:pPr>
        <w:pStyle w:val="20"/>
        <w:spacing w:before="0"/>
        <w:ind w:left="0" w:firstLine="480"/>
        <w:rPr>
          <w:rFonts w:hint="eastAsia"/>
        </w:rPr>
      </w:pPr>
      <w:r>
        <w:rPr>
          <w:rFonts w:hint="eastAsia"/>
        </w:rPr>
        <w:t>本报告期内，未出现管理人、托管人及其高级管理人员受监管部门稽查或处罚的情况。</w:t>
      </w:r>
    </w:p>
    <w:p>
      <w:pPr>
        <w:widowControl/>
        <w:jc w:val="left"/>
        <w:rPr>
          <w:rFonts w:hint="eastAsia" w:ascii="宋体" w:hAnsi="宋体" w:cs="宋体"/>
          <w:kern w:val="0"/>
          <w:sz w:val="24"/>
          <w:szCs w:val="24"/>
        </w:rPr>
      </w:pPr>
    </w:p>
    <w:p>
      <w:pPr>
        <w:pStyle w:val="14"/>
        <w:rPr>
          <w:rFonts w:hint="eastAsia"/>
        </w:rPr>
      </w:pPr>
      <w:bookmarkStart w:id="61" w:name="_Toc4173547"/>
      <w:r>
        <w:rPr>
          <w:rFonts w:hint="eastAsia"/>
          <w:b/>
          <w:bCs/>
        </w:rPr>
        <w:t>11.7 基金租用证券公司交易单元的有关情况</w:t>
      </w:r>
      <w:bookmarkEnd w:id="61"/>
    </w:p>
    <w:p>
      <w:pPr>
        <w:pStyle w:val="15"/>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871"/>
        <w:gridCol w:w="471"/>
        <w:gridCol w:w="2318"/>
        <w:gridCol w:w="1233"/>
        <w:gridCol w:w="2319"/>
        <w:gridCol w:w="1233"/>
        <w:gridCol w:w="600"/>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交易单元数量</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股票交易</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佣金</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英大证券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9,948,156.96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7,233.11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65.30%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10,015,223.50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46.10%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3,264.10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29.47%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1,403,257.00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462.89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356,440.00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117.03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20"/>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本基金在报告期内成立，交易单元均于本期内新增。</w:t>
      </w:r>
    </w:p>
    <w:p>
      <w:pPr>
        <w:widowControl/>
        <w:jc w:val="left"/>
        <w:rPr>
          <w:rFonts w:hint="eastAsia" w:ascii="宋体" w:hAnsi="宋体" w:cs="宋体"/>
          <w:kern w:val="0"/>
          <w:sz w:val="24"/>
          <w:szCs w:val="24"/>
        </w:rPr>
      </w:pPr>
    </w:p>
    <w:p>
      <w:pPr>
        <w:pStyle w:val="15"/>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904"/>
        <w:gridCol w:w="1808"/>
        <w:gridCol w:w="905"/>
        <w:gridCol w:w="1809"/>
        <w:gridCol w:w="905"/>
        <w:gridCol w:w="396"/>
        <w:gridCol w:w="961"/>
        <w:gridCol w:w="396"/>
        <w:gridCol w:w="961"/>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券商名称</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债券交易</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18"/>
                <w:szCs w:val="18"/>
              </w:rPr>
            </w:pP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占当期债券成交总额的比例</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英大证券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411,324.00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78.82%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23,000,000.00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110,528.00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bl>
    <w:p>
      <w:pPr>
        <w:widowControl/>
        <w:jc w:val="left"/>
        <w:rPr>
          <w:rFonts w:hint="eastAsia" w:ascii="宋体" w:hAnsi="宋体" w:cs="宋体"/>
          <w:kern w:val="0"/>
          <w:sz w:val="24"/>
          <w:szCs w:val="24"/>
        </w:rPr>
      </w:pPr>
    </w:p>
    <w:p>
      <w:pPr>
        <w:pStyle w:val="14"/>
        <w:rPr>
          <w:rFonts w:hint="eastAsia"/>
        </w:rPr>
      </w:pPr>
      <w:bookmarkStart w:id="62" w:name="_Toc4173548"/>
      <w:r>
        <w:rPr>
          <w:rFonts w:hint="eastAsia"/>
          <w:b/>
          <w:bCs/>
        </w:rPr>
        <w:t>11.8 其他重大事件</w:t>
      </w:r>
      <w:bookmarkEnd w:id="62"/>
    </w:p>
    <w:tbl>
      <w:tblPr>
        <w:tblStyle w:val="7"/>
        <w:tblW w:w="9045" w:type="dxa"/>
        <w:tblInd w:w="108"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创金合信中证红利低波动指数发起式证券投资基金基金份额发售公告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2018-04-04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创金合信中证红利低波动指数发起式证券投资基金基金合同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2018-04-04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创金合信中证红利低波动指数发起式证券投资基金基金合同内容摘要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2018-04-04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创金合信中证红利低波动指数发起式证券投资基金托管协议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2018-04-04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创金合信中证红利低波动指数发起式证券投资基金招募说明书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2018-04-04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创金合信基金管理有限公司关于创金合信中证红利低波动指数发起式证券投资基金增加招商银行为代销机构的公告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2018-04-17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创金合信中证红利低波动指数发起式证券投资基金基金合同生效公告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2018-04-27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创金合信中证红利低波动指数发起式证券投资基金开放日常申购、赎回、转换和定期定额投资业务的公告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创金合信基金管理有限公司关于旗下开放式基金参与第一创业证券费率优惠活动的公告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创金合信中证红利低波动指数发起式证券投资基金2018年第2季度报告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创金合信基金管理有限公司关于旗下部分开放式基金增加长量基金为代销机构的公告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创金合信基金管理有限公司关于旗下部分开放式基金增加和耕传承为代销机构的公告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创金合信中证红利低波动指数发起式证券投资基金2018年半年度报告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关于创金合信MSCI中国A股国际指数发起式证券投资基金、创金合信中证红利低波动指数发起式证券投资基金投资关联方证券的公告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创金合信中证红利低波动指数发起式证券投资基金2018年第3季度报告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创金合信基金管理有限公司关于旗下部分开放式基金增加植信基金为代销机构的公告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创金合信基金管理有限公司关于旗下部分开放式基金增加中银国际证券为代销机构的公告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2018-11-13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创金合信基金管理有限公司关于旗下部分开放式基金增加阳光人寿为代销机构的公告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2018-11-29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创金合信中证红利低波动指数发起式证券投资基金（2018年第1号）招募说明书（更新）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2018-12-07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创金合信中证红利低波动指数发起式证券投资基金招募说明书（更新）摘要（2018年第1号）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2018-12-07</w:t>
            </w:r>
          </w:p>
        </w:tc>
      </w:tr>
    </w:tbl>
    <w:p>
      <w:pPr>
        <w:widowControl/>
        <w:jc w:val="left"/>
        <w:rPr>
          <w:rFonts w:hint="eastAsia" w:ascii="宋体" w:hAnsi="宋体" w:cs="宋体"/>
          <w:kern w:val="0"/>
          <w:sz w:val="24"/>
          <w:szCs w:val="24"/>
        </w:rPr>
      </w:pPr>
    </w:p>
    <w:p>
      <w:pPr>
        <w:pStyle w:val="13"/>
        <w:rPr>
          <w:rFonts w:hint="eastAsia"/>
        </w:rPr>
      </w:pPr>
      <w:bookmarkStart w:id="63" w:name="_Toc4173549"/>
      <w:r>
        <w:rPr>
          <w:rFonts w:hint="eastAsia" w:hAnsi="Calibri"/>
          <w:b/>
          <w:color w:val="000000"/>
        </w:rPr>
        <w:t>§12  影响投资者决策的其他重要信息</w:t>
      </w:r>
      <w:bookmarkEnd w:id="63"/>
    </w:p>
    <w:p>
      <w:pPr>
        <w:widowControl/>
        <w:jc w:val="left"/>
        <w:rPr>
          <w:rFonts w:hint="eastAsia" w:ascii="宋体" w:hAnsi="宋体" w:cs="宋体"/>
          <w:kern w:val="0"/>
          <w:sz w:val="24"/>
          <w:szCs w:val="24"/>
        </w:rPr>
      </w:pPr>
    </w:p>
    <w:p>
      <w:pPr>
        <w:pStyle w:val="14"/>
        <w:rPr>
          <w:rFonts w:hint="eastAsia"/>
        </w:rPr>
      </w:pPr>
      <w:bookmarkStart w:id="64" w:name="_Toc4173550"/>
      <w:r>
        <w:rPr>
          <w:rFonts w:hint="eastAsia"/>
          <w:b/>
          <w:bCs/>
        </w:rPr>
        <w:t>12.1 报告期内单一投资者持有基金份额比例达到或超过20%的情况</w:t>
      </w:r>
      <w:bookmarkEnd w:id="64"/>
    </w:p>
    <w:tbl>
      <w:tblPr>
        <w:tblStyle w:val="7"/>
        <w:tblW w:w="10200" w:type="dxa"/>
        <w:tblInd w:w="108" w:type="dxa"/>
        <w:tblLayout w:type="autofit"/>
        <w:tblCellMar>
          <w:top w:w="0" w:type="dxa"/>
          <w:left w:w="108" w:type="dxa"/>
          <w:bottom w:w="0" w:type="dxa"/>
          <w:right w:w="108" w:type="dxa"/>
        </w:tblCellMar>
      </w:tblPr>
      <w:tblGrid>
        <w:gridCol w:w="510"/>
        <w:gridCol w:w="510"/>
        <w:gridCol w:w="1020"/>
        <w:gridCol w:w="1734"/>
        <w:gridCol w:w="1734"/>
        <w:gridCol w:w="1734"/>
        <w:gridCol w:w="1530"/>
        <w:gridCol w:w="1428"/>
      </w:tblGrid>
      <w:tr>
        <w:tblPrEx>
          <w:tblCellMar>
            <w:top w:w="0" w:type="dxa"/>
            <w:left w:w="108" w:type="dxa"/>
            <w:bottom w:w="0" w:type="dxa"/>
            <w:right w:w="108" w:type="dxa"/>
          </w:tblCellMar>
        </w:tblPrEx>
        <w:trPr>
          <w:wBefore w:w="0" w:type="auto"/>
        </w:trPr>
        <w:tc>
          <w:tcPr>
            <w:tcW w:w="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b/>
                <w:color w:val="000000"/>
              </w:rPr>
              <w:t>投资者类别</w:t>
            </w:r>
          </w:p>
        </w:tc>
        <w:tc>
          <w:tcPr>
            <w:tcW w:w="3250" w:type="pct"/>
            <w:gridSpan w:val="5"/>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报告期内持有基金份额变化情况</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报告期末持有基金情况</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持有基金份额比例达到或者超过20%的时间区间</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期初份额</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申购份额</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赎回份额</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份额占比</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机构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20180426 - 20181231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10,001,400.14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10,001,400.14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88.78%</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产品特有风险</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6"/>
              <w:wordWrap w:val="0"/>
              <w:spacing w:before="0" w:beforeAutospacing="0" w:after="0" w:afterAutospacing="0"/>
              <w:ind w:firstLine="480"/>
              <w:rPr>
                <w:rFonts w:hint="eastAsia"/>
              </w:rPr>
            </w:pPr>
            <w:r>
              <w:rPr>
                <w:rFonts w:hint="eastAsia"/>
              </w:rPr>
              <w:t>本基金在报告期内，存在报告期间单一投资者持有基金份额达到或超过20%的情形，可能会存在以下风险：</w:t>
            </w:r>
          </w:p>
          <w:p>
            <w:pPr>
              <w:pStyle w:val="20"/>
              <w:wordWrap w:val="0"/>
              <w:spacing w:before="0"/>
              <w:ind w:left="0" w:firstLine="480"/>
              <w:rPr>
                <w:rFonts w:hint="eastAsia"/>
              </w:rPr>
            </w:pPr>
            <w:r>
              <w:rPr>
                <w:rFonts w:hint="eastAsia"/>
              </w:rPr>
              <w:t>1、大额申购风险</w:t>
            </w:r>
          </w:p>
          <w:p>
            <w:pPr>
              <w:pStyle w:val="20"/>
              <w:wordWrap w:val="0"/>
              <w:spacing w:before="0"/>
              <w:ind w:left="0" w:firstLine="480"/>
              <w:rPr>
                <w:rFonts w:hint="eastAsia"/>
              </w:rPr>
            </w:pPr>
            <w:r>
              <w:rPr>
                <w:rFonts w:hint="eastAsia"/>
              </w:rPr>
              <w:t>在发生投资者大额申购时，若本基金所投资的标的资产未及时准备，则可能降低基金净值涨幅。</w:t>
            </w:r>
          </w:p>
          <w:p>
            <w:pPr>
              <w:pStyle w:val="20"/>
              <w:wordWrap w:val="0"/>
              <w:spacing w:before="0"/>
              <w:ind w:left="0" w:firstLine="480"/>
              <w:rPr>
                <w:rFonts w:hint="eastAsia"/>
              </w:rPr>
            </w:pPr>
            <w:r>
              <w:rPr>
                <w:rFonts w:hint="eastAsia"/>
              </w:rPr>
              <w:t>2、大额赎回风险</w:t>
            </w:r>
          </w:p>
          <w:p>
            <w:pPr>
              <w:pStyle w:val="20"/>
              <w:wordWrap w:val="0"/>
              <w:spacing w:before="0"/>
              <w:ind w:left="0" w:firstLine="480"/>
              <w:rPr>
                <w:rFonts w:hint="eastAsia"/>
              </w:rPr>
            </w:pPr>
            <w:r>
              <w:rPr>
                <w:rFonts w:hint="eastAsia"/>
              </w:rPr>
              <w:t>（1）若本基金在短时间内难以变现足够的资产予以应对，可能导致流动性风险；</w:t>
            </w:r>
          </w:p>
          <w:p>
            <w:pPr>
              <w:pStyle w:val="20"/>
              <w:wordWrap w:val="0"/>
              <w:spacing w:before="0"/>
              <w:ind w:left="0" w:firstLine="480"/>
              <w:rPr>
                <w:rFonts w:hint="eastAsia"/>
              </w:rPr>
            </w:pPr>
            <w:r>
              <w:rPr>
                <w:rFonts w:hint="eastAsia"/>
              </w:rPr>
              <w:t>（2）若持有基金份额比例达到或超过基金份额总额20%的单一投资者大额赎回引发巨额赎回，将可能对基金管理人的管理造成影响；</w:t>
            </w:r>
          </w:p>
          <w:p>
            <w:pPr>
              <w:pStyle w:val="20"/>
              <w:wordWrap w:val="0"/>
              <w:spacing w:before="0"/>
              <w:ind w:left="0" w:firstLine="480"/>
              <w:rPr>
                <w:rFonts w:hint="eastAsia"/>
              </w:rPr>
            </w:pPr>
            <w:r>
              <w:rPr>
                <w:rFonts w:hint="eastAsia"/>
              </w:rPr>
              <w:t>（3）基金管理人被迫大量卖出基金投资标的以赎回现金，可能使基金资产净值受到不利影响，影响基金的投资运作；</w:t>
            </w:r>
          </w:p>
          <w:p>
            <w:pPr>
              <w:pStyle w:val="20"/>
              <w:wordWrap w:val="0"/>
              <w:spacing w:before="0"/>
              <w:ind w:left="0" w:firstLine="480"/>
              <w:rPr>
                <w:rFonts w:hint="eastAsia"/>
              </w:rPr>
            </w:pPr>
            <w:r>
              <w:rPr>
                <w:rFonts w:hint="eastAsia"/>
              </w:rPr>
              <w:t>（4）因基金净值精度计算问题，可能因赎回费归入基金资产，导致基金净值有较大波动；</w:t>
            </w:r>
          </w:p>
          <w:p>
            <w:pPr>
              <w:pStyle w:val="20"/>
              <w:wordWrap w:val="0"/>
              <w:spacing w:before="0"/>
              <w:ind w:left="0" w:firstLine="480"/>
              <w:rPr>
                <w:rFonts w:hint="eastAsia"/>
              </w:rPr>
            </w:pPr>
            <w:r>
              <w:rPr>
                <w:rFonts w:hint="eastAsia"/>
              </w:rPr>
              <w:t>（5）大额赎回导致基金资产规模过小，不能满足存续条件，可能导致基金合同终止、清算等风险。</w:t>
            </w:r>
          </w:p>
          <w:p>
            <w:pPr>
              <w:pStyle w:val="20"/>
              <w:wordWrap w:val="0"/>
              <w:spacing w:before="0"/>
              <w:ind w:left="0" w:firstLine="480"/>
              <w:rPr>
                <w:rFonts w:hint="eastAsia"/>
              </w:rPr>
            </w:pPr>
            <w:r>
              <w:rPr>
                <w:rFonts w:hint="eastAsia"/>
              </w:rPr>
              <w:t>本基金管理人将建立完善的风险管理机制，以有效防止上述风险，最大限度的保护基金份额持有人的合法权益。</w:t>
            </w:r>
          </w:p>
        </w:tc>
      </w:tr>
    </w:tbl>
    <w:p>
      <w:pPr>
        <w:widowControl/>
        <w:jc w:val="left"/>
        <w:rPr>
          <w:rFonts w:hint="eastAsia" w:ascii="宋体" w:hAnsi="宋体" w:cs="宋体"/>
          <w:kern w:val="0"/>
          <w:sz w:val="24"/>
          <w:szCs w:val="24"/>
        </w:rPr>
      </w:pPr>
    </w:p>
    <w:p>
      <w:pPr>
        <w:pStyle w:val="14"/>
        <w:rPr>
          <w:rFonts w:hint="eastAsia"/>
        </w:rPr>
      </w:pPr>
      <w:bookmarkStart w:id="65" w:name="_Toc4173551"/>
      <w:r>
        <w:rPr>
          <w:rFonts w:hint="eastAsia"/>
          <w:b/>
          <w:bCs/>
        </w:rPr>
        <w:t>12.2 影响投资者决策的其他重要信息</w:t>
      </w:r>
      <w:bookmarkEnd w:id="65"/>
    </w:p>
    <w:p>
      <w:pPr>
        <w:pStyle w:val="17"/>
        <w:spacing w:before="0"/>
        <w:ind w:left="0" w:firstLine="480"/>
        <w:rPr>
          <w:rFonts w:hint="eastAsia"/>
        </w:rPr>
      </w:pPr>
      <w:r>
        <w:rPr>
          <w:rFonts w:hint="eastAsia"/>
        </w:rPr>
        <w:t>本报告期，未出现影响投资者决策的其他重要信息。</w:t>
      </w:r>
    </w:p>
    <w:p>
      <w:pPr>
        <w:widowControl/>
        <w:jc w:val="left"/>
        <w:rPr>
          <w:rFonts w:hint="eastAsia" w:ascii="宋体" w:hAnsi="宋体" w:cs="宋体"/>
          <w:kern w:val="0"/>
          <w:sz w:val="24"/>
          <w:szCs w:val="24"/>
        </w:rPr>
      </w:pPr>
    </w:p>
    <w:p>
      <w:pPr>
        <w:pStyle w:val="13"/>
        <w:rPr>
          <w:rFonts w:hint="eastAsia"/>
        </w:rPr>
      </w:pPr>
      <w:bookmarkStart w:id="66" w:name="_Toc4173552"/>
      <w:r>
        <w:rPr>
          <w:rFonts w:hint="eastAsia" w:hAnsi="Calibri"/>
          <w:b/>
          <w:color w:val="000000"/>
        </w:rPr>
        <w:t>§13  备查文件目录</w:t>
      </w:r>
      <w:bookmarkEnd w:id="66"/>
    </w:p>
    <w:p>
      <w:pPr>
        <w:widowControl/>
        <w:jc w:val="left"/>
        <w:rPr>
          <w:rFonts w:hint="eastAsia" w:ascii="宋体" w:hAnsi="宋体" w:cs="宋体"/>
          <w:kern w:val="0"/>
          <w:sz w:val="24"/>
          <w:szCs w:val="24"/>
        </w:rPr>
      </w:pPr>
    </w:p>
    <w:p>
      <w:pPr>
        <w:pStyle w:val="14"/>
        <w:rPr>
          <w:rFonts w:hint="eastAsia"/>
        </w:rPr>
      </w:pPr>
      <w:bookmarkStart w:id="67" w:name="_Toc4173553"/>
      <w:r>
        <w:rPr>
          <w:rFonts w:hint="eastAsia"/>
          <w:b/>
          <w:bCs/>
        </w:rPr>
        <w:t>13.1 备查文件目录</w:t>
      </w:r>
      <w:bookmarkEnd w:id="67"/>
    </w:p>
    <w:p>
      <w:pPr>
        <w:pStyle w:val="20"/>
        <w:spacing w:before="0"/>
        <w:ind w:left="0" w:firstLine="480"/>
        <w:rPr>
          <w:rFonts w:hint="eastAsia"/>
        </w:rPr>
      </w:pPr>
      <w:r>
        <w:rPr>
          <w:rFonts w:hint="eastAsia"/>
        </w:rPr>
        <w:t>1、《创金合信中证红利低波动指数发起式证券投资基金基金合同》；</w:t>
      </w:r>
    </w:p>
    <w:p>
      <w:pPr>
        <w:pStyle w:val="20"/>
        <w:spacing w:before="0"/>
        <w:ind w:left="0" w:firstLine="480"/>
        <w:rPr>
          <w:rFonts w:hint="eastAsia"/>
        </w:rPr>
      </w:pPr>
      <w:r>
        <w:rPr>
          <w:rFonts w:hint="eastAsia"/>
        </w:rPr>
        <w:t>2、《创金合信中证红利低波动指数发起式证券投资基金托管协议》；</w:t>
      </w:r>
    </w:p>
    <w:p>
      <w:pPr>
        <w:pStyle w:val="20"/>
        <w:spacing w:before="0"/>
        <w:ind w:left="0" w:firstLine="480"/>
        <w:rPr>
          <w:rFonts w:hint="eastAsia"/>
        </w:rPr>
      </w:pPr>
      <w:r>
        <w:rPr>
          <w:rFonts w:hint="eastAsia"/>
        </w:rPr>
        <w:t>3、创金合信中证红利低波动指数发起式证券投资基金2018年年度报告。</w:t>
      </w:r>
    </w:p>
    <w:p>
      <w:pPr>
        <w:widowControl/>
        <w:jc w:val="left"/>
        <w:rPr>
          <w:rFonts w:hint="eastAsia" w:ascii="宋体" w:hAnsi="宋体" w:cs="宋体"/>
          <w:kern w:val="0"/>
          <w:sz w:val="24"/>
          <w:szCs w:val="24"/>
        </w:rPr>
      </w:pPr>
    </w:p>
    <w:p>
      <w:pPr>
        <w:pStyle w:val="14"/>
        <w:rPr>
          <w:rFonts w:hint="eastAsia"/>
        </w:rPr>
      </w:pPr>
      <w:bookmarkStart w:id="68" w:name="_Toc4173554"/>
      <w:r>
        <w:rPr>
          <w:rFonts w:hint="eastAsia"/>
          <w:b/>
          <w:bCs/>
        </w:rPr>
        <w:t>13.2 存放地点</w:t>
      </w:r>
      <w:bookmarkEnd w:id="68"/>
    </w:p>
    <w:p>
      <w:pPr>
        <w:pStyle w:val="20"/>
        <w:spacing w:before="0"/>
        <w:ind w:left="0" w:firstLine="480"/>
        <w:rPr>
          <w:rFonts w:hint="eastAsia"/>
        </w:rPr>
      </w:pPr>
      <w:r>
        <w:rPr>
          <w:rFonts w:hint="eastAsia"/>
        </w:rPr>
        <w:t>深圳市福田中心区福华一路115号投行大厦15楼</w:t>
      </w:r>
    </w:p>
    <w:p>
      <w:pPr>
        <w:widowControl/>
        <w:jc w:val="left"/>
        <w:rPr>
          <w:rFonts w:hint="eastAsia" w:ascii="宋体" w:hAnsi="宋体" w:cs="宋体"/>
          <w:kern w:val="0"/>
          <w:sz w:val="24"/>
          <w:szCs w:val="24"/>
        </w:rPr>
      </w:pPr>
    </w:p>
    <w:p>
      <w:pPr>
        <w:pStyle w:val="14"/>
        <w:rPr>
          <w:rFonts w:hint="eastAsia"/>
        </w:rPr>
      </w:pPr>
      <w:bookmarkStart w:id="69" w:name="_Toc4173555"/>
      <w:r>
        <w:rPr>
          <w:rFonts w:hint="eastAsia"/>
          <w:b/>
          <w:bCs/>
        </w:rPr>
        <w:t>13.3 查阅方式</w:t>
      </w:r>
      <w:bookmarkEnd w:id="69"/>
    </w:p>
    <w:p>
      <w:pPr>
        <w:pStyle w:val="20"/>
        <w:spacing w:before="0"/>
        <w:ind w:left="0" w:firstLine="480"/>
        <w:rPr>
          <w:rFonts w:hint="eastAsia"/>
        </w:rPr>
      </w:pPr>
      <w:r>
        <w:rPr>
          <w:rFonts w:hint="eastAsia"/>
        </w:rPr>
        <w:t>www.cjhxfund.com</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9"/>
        <w:rPr>
          <w:rFonts w:hint="eastAsia"/>
        </w:rPr>
      </w:pPr>
      <w:r>
        <w:rPr>
          <w:rFonts w:hint="eastAsia" w:hAnsi="Calibri"/>
          <w:b/>
          <w:bCs/>
          <w:color w:val="000000"/>
        </w:rPr>
        <w:t>创金合信基金管理有限公司</w:t>
      </w:r>
    </w:p>
    <w:p>
      <w:pPr>
        <w:pStyle w:val="19"/>
        <w:rPr>
          <w:rFonts w:hint="eastAsia"/>
        </w:rPr>
      </w:pPr>
      <w:r>
        <w:rPr>
          <w:rFonts w:hint="eastAsia" w:hAnsi="Calibri"/>
          <w:b/>
          <w:bCs/>
          <w:color w:val="000000"/>
        </w:rPr>
        <w:t>二〇一九年三月二十九日</w:t>
      </w:r>
    </w:p>
    <w:p>
      <w:pPr>
        <w:pStyle w:val="24"/>
        <w:autoSpaceDE w:val="0"/>
        <w:autoSpaceDN w:val="0"/>
        <w:adjustRightInd w:val="0"/>
        <w:spacing w:before="145" w:beforeAutospacing="0" w:after="0" w:afterAutospacing="0" w:line="288" w:lineRule="auto"/>
        <w:ind w:left="15"/>
        <w:jc w:val="right"/>
        <w:rPr>
          <w:rFonts w:hint="eastAsia"/>
          <w:b/>
        </w:rPr>
      </w:pPr>
    </w:p>
    <w:sectPr>
      <w:headerReference r:id="rId3" w:type="default"/>
      <w:footerReference r:id="rId4" w:type="default"/>
      <w:footerReference r:id="rId5"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lang/>
      </w:rPr>
      <w:t>31</w:t>
    </w:r>
    <w:r>
      <w:rPr>
        <w:rStyle w:val="10"/>
      </w:rPr>
      <w:fldChar w:fldCharType="end"/>
    </w:r>
  </w:p>
  <w:p>
    <w:pPr>
      <w:pStyle w:val="2"/>
      <w:jc w:val="center"/>
    </w:pPr>
    <w:r>
      <w:rPr>
        <w:rFonts w:hint="eastAsia"/>
      </w:rPr>
      <w:t xml:space="preserve">                   第       页，共67页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p>
    <w:pPr>
      <w:pStyle w:val="3"/>
      <w:jc w:val="right"/>
    </w:pPr>
    <w:r>
      <w:rPr>
        <w:rFonts w:hint="eastAsia"/>
      </w:rPr>
      <w:t>创金合信中证红利低波动指数发起式证券投资基金2018年年度报告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12854"/>
    <w:rsid w:val="00247569"/>
    <w:rsid w:val="00312854"/>
    <w:rsid w:val="00B266A1"/>
    <w:rsid w:val="00C26447"/>
    <w:rsid w:val="2C25172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styleId="2">
    <w:name w:val="footer"/>
    <w:basedOn w:val="1"/>
    <w:link w:val="26"/>
    <w:unhideWhenUsed/>
    <w:uiPriority w:val="99"/>
    <w:pPr>
      <w:tabs>
        <w:tab w:val="center" w:pos="4153"/>
        <w:tab w:val="right" w:pos="8306"/>
      </w:tabs>
      <w:snapToGrid w:val="0"/>
      <w:jc w:val="left"/>
    </w:pPr>
    <w:rPr>
      <w:sz w:val="18"/>
      <w:szCs w:val="18"/>
    </w:rPr>
  </w:style>
  <w:style w:type="paragraph" w:styleId="3">
    <w:name w:val="header"/>
    <w:basedOn w:val="1"/>
    <w:link w:val="25"/>
    <w:unhideWhenUsed/>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qFormat/>
    <w:uiPriority w:val="22"/>
    <w:rPr>
      <w:b/>
      <w:bCs/>
    </w:rPr>
  </w:style>
  <w:style w:type="character" w:styleId="10">
    <w:name w:val="page number"/>
    <w:semiHidden/>
    <w:unhideWhenUsed/>
    <w:uiPriority w:val="99"/>
  </w:style>
  <w:style w:type="character" w:styleId="11">
    <w:name w:val="Hyperlink"/>
    <w:unhideWhenUsed/>
    <w:uiPriority w:val="99"/>
    <w:rPr>
      <w:color w:val="0563C1"/>
      <w:u w:val="single"/>
    </w:rPr>
  </w:style>
  <w:style w:type="paragraph" w:customStyle="1" w:styleId="12">
    <w:name w:val="msonormal1"/>
    <w:qFormat/>
    <w:uiPriority w:val="0"/>
    <w:pPr>
      <w:widowControl w:val="0"/>
      <w:jc w:val="both"/>
    </w:pPr>
    <w:rPr>
      <w:kern w:val="2"/>
      <w:sz w:val="21"/>
      <w:szCs w:val="22"/>
      <w:lang w:val="en-US" w:eastAsia="zh-CN" w:bidi="ar-SA"/>
    </w:rPr>
  </w:style>
  <w:style w:type="paragraph" w:customStyle="1" w:styleId="13">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4">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5">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6">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17">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8">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19">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20">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1">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2">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3">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4">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5">
    <w:name w:val="页眉 Char"/>
    <w:link w:val="3"/>
    <w:locked/>
    <w:uiPriority w:val="99"/>
    <w:rPr>
      <w:rFonts w:hint="default" w:ascii="Times New Roman" w:hAnsi="Times New Roman" w:cs="Times New Roman"/>
      <w:sz w:val="18"/>
      <w:szCs w:val="18"/>
    </w:rPr>
  </w:style>
  <w:style w:type="character" w:customStyle="1" w:styleId="26">
    <w:name w:val="页脚 Char"/>
    <w:link w:val="2"/>
    <w:locked/>
    <w:uiPriority w:val="99"/>
    <w:rPr>
      <w:rFonts w:hint="default" w:ascii="Times New Roman" w:hAnsi="Times New Roman" w:cs="Times New Roman"/>
      <w:sz w:val="18"/>
      <w:szCs w:val="18"/>
    </w:rPr>
  </w:style>
  <w:style w:type="character" w:customStyle="1" w:styleId="27">
    <w:name w:val="$sfzbgqn"/>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66</Pages>
  <Words>7332</Words>
  <Characters>41798</Characters>
  <Lines>348</Lines>
  <Paragraphs>98</Paragraphs>
  <TotalTime>0</TotalTime>
  <ScaleCrop>false</ScaleCrop>
  <LinksUpToDate>false</LinksUpToDate>
  <CharactersWithSpaces>49032</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2019-03-22T10:57:00Z</dcterms:created>
  <dc:creator>石怡翔</dc:creator>
  <cp:lastModifiedBy>Administrator</cp:lastModifiedBy>
  <dcterms:modified xsi:type="dcterms:W3CDTF">2019-12-26T14:10:23Z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