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70" w:name="_GoBack"/>
      <w:bookmarkEnd w:id="70"/>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创金合信国证2000指数发起式证券投资基金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3"/>
        <w:spacing w:before="240" w:after="120"/>
      </w:pPr>
      <w:bookmarkStart w:id="0" w:name="_Toc4173695"/>
      <w:r>
        <w:rPr>
          <w:rFonts w:hint="eastAsia" w:hAnsi="Calibri"/>
          <w:b/>
          <w:color w:val="000000"/>
        </w:rPr>
        <w:t>§1  重要提示及目录</w:t>
      </w:r>
      <w:bookmarkEnd w:id="0"/>
      <w:r>
        <w:rPr>
          <w:rFonts w:hint="eastAsia"/>
        </w:rPr>
        <w:t xml:space="preserve"> </w:t>
      </w:r>
    </w:p>
    <w:p>
      <w:pPr>
        <w:pStyle w:val="14"/>
        <w:rPr>
          <w:rFonts w:hint="eastAsia"/>
        </w:rPr>
      </w:pPr>
      <w:bookmarkStart w:id="1" w:name="_Toc4173696"/>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7"/>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0"/>
              <w:wordWrap w:val="0"/>
              <w:spacing w:before="0"/>
              <w:ind w:left="0" w:firstLine="480"/>
              <w:rPr>
                <w:rFonts w:hint="eastAsia"/>
              </w:rPr>
            </w:pPr>
            <w:r>
              <w:rPr>
                <w:rFonts w:hint="eastAsia"/>
              </w:rPr>
              <w:t>基金托管人招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0"/>
              <w:wordWrap w:val="0"/>
              <w:spacing w:before="0"/>
              <w:ind w:left="0" w:firstLine="480"/>
              <w:rPr>
                <w:rFonts w:hint="eastAsia"/>
              </w:rPr>
            </w:pPr>
            <w:r>
              <w:rPr>
                <w:rFonts w:hint="eastAsia"/>
              </w:rPr>
              <w:t>基金管理人承诺以诚实信用、勤勉尽责的原则管理和运用基金资产，但不保证基金一定盈利。</w:t>
            </w:r>
          </w:p>
          <w:p>
            <w:pPr>
              <w:pStyle w:val="20"/>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0"/>
              <w:wordWrap w:val="0"/>
              <w:spacing w:before="0"/>
              <w:ind w:left="0" w:firstLine="480"/>
              <w:rPr>
                <w:rFonts w:hint="eastAsia"/>
              </w:rPr>
            </w:pPr>
            <w:r>
              <w:rPr>
                <w:rFonts w:hint="eastAsia"/>
              </w:rPr>
              <w:t>本报告期自2018年02月07日起至2018年12月31日止。</w:t>
            </w:r>
          </w:p>
        </w:tc>
      </w:tr>
    </w:tbl>
    <w:p>
      <w:pPr>
        <w:pStyle w:val="14"/>
        <w:rPr>
          <w:rFonts w:hint="eastAsia"/>
        </w:rPr>
      </w:pPr>
      <w:r>
        <w:rPr>
          <w:rFonts w:ascii="Times New Roman" w:hAnsi="Times New Roman"/>
        </w:rPr>
        <w:br w:type="page"/>
      </w:r>
      <w:bookmarkStart w:id="2" w:name="_Toc4173697"/>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"_Toc4173695"</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_Toc4173695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"_Toc4173696"</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_Toc4173696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"_Toc4173697"</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_Toc4173697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"_Toc4173698"</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_Toc4173698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"_Toc4173699"</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_Toc4173699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"_Toc4173700"</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_Toc4173700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"_Toc4173701"</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_Toc4173701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"_Toc4173702"</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_Toc4173702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"_Toc4173703"</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_Toc4173703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"_Toc4173704"</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_Toc4173704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"_Toc4173705"</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_Toc4173705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"_Toc4173706"</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_Toc4173706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"_Toc4173707"</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_Toc4173707 \h </w:instrText>
      </w:r>
      <w:r>
        <w:rPr>
          <w:lang/>
        </w:rPr>
        <w:fldChar w:fldCharType="separate"/>
      </w:r>
      <w:r>
        <w:rPr>
          <w:lang/>
        </w:rPr>
        <w:t>10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"_Toc4173708"</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_Toc4173708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"_Toc4173709"</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_Toc4173709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"_Toc4173710"</w:instrText>
      </w:r>
      <w:r>
        <w:rPr>
          <w:rStyle w:val="11"/>
          <w:lang/>
        </w:rPr>
        <w:instrText xml:space="preserve"> </w:instrText>
      </w:r>
      <w:r>
        <w:rPr>
          <w:rStyle w:val="11"/>
          <w:lang/>
        </w:rPr>
        <w:fldChar w:fldCharType="separate"/>
      </w:r>
      <w:r>
        <w:rPr>
          <w:rStyle w:val="11"/>
          <w:b/>
          <w:lang/>
        </w:rPr>
        <w:t xml:space="preserve">4.2 </w:t>
      </w:r>
      <w:r>
        <w:rPr>
          <w:rStyle w:val="11"/>
          <w:rFonts w:hint="eastAsia"/>
          <w:b/>
          <w:lang/>
        </w:rPr>
        <w:t>管理人对报告期内本基金运作遵规守信情况的说明</w:t>
      </w:r>
      <w:r>
        <w:rPr>
          <w:lang/>
        </w:rPr>
        <w:tab/>
      </w:r>
      <w:r>
        <w:rPr>
          <w:lang/>
        </w:rPr>
        <w:fldChar w:fldCharType="begin"/>
      </w:r>
      <w:r>
        <w:rPr>
          <w:lang/>
        </w:rPr>
        <w:instrText xml:space="preserve"> PAGEREF _Toc4173710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"_Toc4173711"</w:instrText>
      </w:r>
      <w:r>
        <w:rPr>
          <w:rStyle w:val="11"/>
          <w:lang/>
        </w:rPr>
        <w:instrText xml:space="preserve"> </w:instrText>
      </w:r>
      <w:r>
        <w:rPr>
          <w:rStyle w:val="11"/>
          <w:lang/>
        </w:rPr>
        <w:fldChar w:fldCharType="separate"/>
      </w:r>
      <w:r>
        <w:rPr>
          <w:rStyle w:val="11"/>
          <w:b/>
          <w:lang/>
        </w:rPr>
        <w:t xml:space="preserve">4.3 </w:t>
      </w:r>
      <w:r>
        <w:rPr>
          <w:rStyle w:val="11"/>
          <w:rFonts w:hint="eastAsia"/>
          <w:b/>
          <w:lang/>
        </w:rPr>
        <w:t>管理人对报告期内公平交易情况的专项说明</w:t>
      </w:r>
      <w:r>
        <w:rPr>
          <w:lang/>
        </w:rPr>
        <w:tab/>
      </w:r>
      <w:r>
        <w:rPr>
          <w:lang/>
        </w:rPr>
        <w:fldChar w:fldCharType="begin"/>
      </w:r>
      <w:r>
        <w:rPr>
          <w:lang/>
        </w:rPr>
        <w:instrText xml:space="preserve"> PAGEREF _Toc4173711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"_Toc4173712"</w:instrText>
      </w:r>
      <w:r>
        <w:rPr>
          <w:rStyle w:val="11"/>
          <w:lang/>
        </w:rPr>
        <w:instrText xml:space="preserve"> </w:instrText>
      </w:r>
      <w:r>
        <w:rPr>
          <w:rStyle w:val="11"/>
          <w:lang/>
        </w:rPr>
        <w:fldChar w:fldCharType="separate"/>
      </w:r>
      <w:r>
        <w:rPr>
          <w:rStyle w:val="11"/>
          <w:b/>
          <w:lang/>
        </w:rPr>
        <w:t xml:space="preserve">4.4 </w:t>
      </w:r>
      <w:r>
        <w:rPr>
          <w:rStyle w:val="11"/>
          <w:rFonts w:hint="eastAsia"/>
          <w:b/>
          <w:lang/>
        </w:rPr>
        <w:t>管理人对报告期内基金的投资策略和业绩表现的说明</w:t>
      </w:r>
      <w:r>
        <w:rPr>
          <w:lang/>
        </w:rPr>
        <w:tab/>
      </w:r>
      <w:r>
        <w:rPr>
          <w:lang/>
        </w:rPr>
        <w:fldChar w:fldCharType="begin"/>
      </w:r>
      <w:r>
        <w:rPr>
          <w:lang/>
        </w:rPr>
        <w:instrText xml:space="preserve"> PAGEREF _Toc4173712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"_Toc4173713"</w:instrText>
      </w:r>
      <w:r>
        <w:rPr>
          <w:rStyle w:val="11"/>
          <w:lang/>
        </w:rPr>
        <w:instrText xml:space="preserve"> </w:instrText>
      </w:r>
      <w:r>
        <w:rPr>
          <w:rStyle w:val="11"/>
          <w:lang/>
        </w:rPr>
        <w:fldChar w:fldCharType="separate"/>
      </w:r>
      <w:r>
        <w:rPr>
          <w:rStyle w:val="11"/>
          <w:b/>
          <w:lang/>
        </w:rPr>
        <w:t xml:space="preserve">4.5 </w:t>
      </w:r>
      <w:r>
        <w:rPr>
          <w:rStyle w:val="11"/>
          <w:rFonts w:hint="eastAsia"/>
          <w:b/>
          <w:lang/>
        </w:rPr>
        <w:t>管理人对宏观经济、证券市场及行业走势的简要展望</w:t>
      </w:r>
      <w:r>
        <w:rPr>
          <w:lang/>
        </w:rPr>
        <w:tab/>
      </w:r>
      <w:r>
        <w:rPr>
          <w:lang/>
        </w:rPr>
        <w:fldChar w:fldCharType="begin"/>
      </w:r>
      <w:r>
        <w:rPr>
          <w:lang/>
        </w:rPr>
        <w:instrText xml:space="preserve"> PAGEREF _Toc4173713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"_Toc4173714"</w:instrText>
      </w:r>
      <w:r>
        <w:rPr>
          <w:rStyle w:val="11"/>
          <w:lang/>
        </w:rPr>
        <w:instrText xml:space="preserve"> </w:instrText>
      </w:r>
      <w:r>
        <w:rPr>
          <w:rStyle w:val="11"/>
          <w:lang/>
        </w:rPr>
        <w:fldChar w:fldCharType="separate"/>
      </w:r>
      <w:r>
        <w:rPr>
          <w:rStyle w:val="11"/>
          <w:b/>
          <w:lang/>
        </w:rPr>
        <w:t xml:space="preserve">4.6 </w:t>
      </w:r>
      <w:r>
        <w:rPr>
          <w:rStyle w:val="11"/>
          <w:rFonts w:hint="eastAsia"/>
          <w:b/>
          <w:lang/>
        </w:rPr>
        <w:t>管理人内部有关本基金的监察稽核工作情况</w:t>
      </w:r>
      <w:r>
        <w:rPr>
          <w:lang/>
        </w:rPr>
        <w:tab/>
      </w:r>
      <w:r>
        <w:rPr>
          <w:lang/>
        </w:rPr>
        <w:fldChar w:fldCharType="begin"/>
      </w:r>
      <w:r>
        <w:rPr>
          <w:lang/>
        </w:rPr>
        <w:instrText xml:space="preserve"> PAGEREF _Toc4173714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"_Toc4173715"</w:instrText>
      </w:r>
      <w:r>
        <w:rPr>
          <w:rStyle w:val="11"/>
          <w:lang/>
        </w:rPr>
        <w:instrText xml:space="preserve"> </w:instrText>
      </w:r>
      <w:r>
        <w:rPr>
          <w:rStyle w:val="11"/>
          <w:lang/>
        </w:rPr>
        <w:fldChar w:fldCharType="separate"/>
      </w:r>
      <w:r>
        <w:rPr>
          <w:rStyle w:val="11"/>
          <w:b/>
          <w:lang/>
        </w:rPr>
        <w:t xml:space="preserve">4.7 </w:t>
      </w:r>
      <w:r>
        <w:rPr>
          <w:rStyle w:val="11"/>
          <w:rFonts w:hint="eastAsia"/>
          <w:b/>
          <w:lang/>
        </w:rPr>
        <w:t>管理人对报告期内基金估值程序等事项的说明</w:t>
      </w:r>
      <w:r>
        <w:rPr>
          <w:lang/>
        </w:rPr>
        <w:tab/>
      </w:r>
      <w:r>
        <w:rPr>
          <w:lang/>
        </w:rPr>
        <w:fldChar w:fldCharType="begin"/>
      </w:r>
      <w:r>
        <w:rPr>
          <w:lang/>
        </w:rPr>
        <w:instrText xml:space="preserve"> PAGEREF _Toc4173715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"_Toc4173716"</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_Toc4173716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"_Toc4173717"</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_Toc4173717 \h </w:instrText>
      </w:r>
      <w:r>
        <w:rPr>
          <w:lang/>
        </w:rPr>
        <w:fldChar w:fldCharType="separate"/>
      </w:r>
      <w:r>
        <w:rPr>
          <w:lang/>
        </w:rPr>
        <w:t>15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"_Toc4173718"</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_Toc4173718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"_Toc4173719"</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_Toc4173719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"_Toc4173720"</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_Toc4173720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"_Toc4173721"</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_Toc4173721 \h </w:instrText>
      </w:r>
      <w:r>
        <w:rPr>
          <w:lang/>
        </w:rPr>
        <w:fldChar w:fldCharType="separate"/>
      </w:r>
      <w:r>
        <w:rPr>
          <w:lang/>
        </w:rPr>
        <w:t>15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"_Toc4173722"</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_Toc4173722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"_Toc4173723"</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_Toc4173723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"_Toc4173724"</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_Toc4173724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"_Toc4173725"</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_Toc4173725 \h </w:instrText>
      </w:r>
      <w:r>
        <w:rPr>
          <w:lang/>
        </w:rPr>
        <w:fldChar w:fldCharType="separate"/>
      </w:r>
      <w:r>
        <w:rPr>
          <w:lang/>
        </w:rPr>
        <w:t>18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"_Toc4173726"</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_Toc4173726 \h </w:instrText>
      </w:r>
      <w:r>
        <w:rPr>
          <w:lang/>
        </w:rPr>
        <w:fldChar w:fldCharType="separate"/>
      </w:r>
      <w:r>
        <w:rPr>
          <w:lang/>
        </w:rPr>
        <w:t>18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"_Toc4173727"</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_Toc4173727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"_Toc4173728"</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_Toc4173728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"_Toc4173729"</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_Toc4173729 \h </w:instrText>
      </w:r>
      <w:r>
        <w:rPr>
          <w:lang/>
        </w:rPr>
        <w:fldChar w:fldCharType="separate"/>
      </w:r>
      <w:r>
        <w:rPr>
          <w:lang/>
        </w:rPr>
        <w:t>23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"_Toc4173730"</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_Toc4173730 \h </w:instrText>
      </w:r>
      <w:r>
        <w:rPr>
          <w:lang/>
        </w:rPr>
        <w:fldChar w:fldCharType="separate"/>
      </w:r>
      <w:r>
        <w:rPr>
          <w:lang/>
        </w:rPr>
        <w:t>48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"_Toc4173731"</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_Toc4173731 \h </w:instrText>
      </w:r>
      <w:r>
        <w:rPr>
          <w:lang/>
        </w:rPr>
        <w:fldChar w:fldCharType="separate"/>
      </w:r>
      <w:r>
        <w:rPr>
          <w:lang/>
        </w:rPr>
        <w:t>48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"_Toc4173732"</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_Toc4173732 \h </w:instrText>
      </w:r>
      <w:r>
        <w:rPr>
          <w:lang/>
        </w:rPr>
        <w:fldChar w:fldCharType="separate"/>
      </w:r>
      <w:r>
        <w:rPr>
          <w:lang/>
        </w:rPr>
        <w:t>49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"_Toc4173733"</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_Toc4173733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"_Toc4173734"</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_Toc4173734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"_Toc4173735"</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_Toc4173735 \h </w:instrText>
      </w:r>
      <w:r>
        <w:rPr>
          <w:lang/>
        </w:rPr>
        <w:fldChar w:fldCharType="separate"/>
      </w:r>
      <w:r>
        <w:rPr>
          <w:lang/>
        </w:rPr>
        <w:t>65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"_Toc4173736"</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_Toc4173736 \h </w:instrText>
      </w:r>
      <w:r>
        <w:rPr>
          <w:lang/>
        </w:rPr>
        <w:fldChar w:fldCharType="separate"/>
      </w:r>
      <w:r>
        <w:rPr>
          <w:lang/>
        </w:rPr>
        <w:t>66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"_Toc4173737"</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_Toc4173737 \h </w:instrText>
      </w:r>
      <w:r>
        <w:rPr>
          <w:lang/>
        </w:rPr>
        <w:fldChar w:fldCharType="separate"/>
      </w:r>
      <w:r>
        <w:rPr>
          <w:lang/>
        </w:rPr>
        <w:t>66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"_Toc4173738"</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_Toc4173738 \h </w:instrText>
      </w:r>
      <w:r>
        <w:rPr>
          <w:lang/>
        </w:rPr>
        <w:fldChar w:fldCharType="separate"/>
      </w:r>
      <w:r>
        <w:rPr>
          <w:lang/>
        </w:rPr>
        <w:t>66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"_Toc4173739"</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_Toc4173739 \h </w:instrText>
      </w:r>
      <w:r>
        <w:rPr>
          <w:lang/>
        </w:rPr>
        <w:fldChar w:fldCharType="separate"/>
      </w:r>
      <w:r>
        <w:rPr>
          <w:lang/>
        </w:rPr>
        <w:t>66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"_Toc4173740"</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_Toc4173740 \h </w:instrText>
      </w:r>
      <w:r>
        <w:rPr>
          <w:lang/>
        </w:rPr>
        <w:fldChar w:fldCharType="separate"/>
      </w:r>
      <w:r>
        <w:rPr>
          <w:lang/>
        </w:rPr>
        <w:t>66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"_Toc4173741"</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_Toc4173741 \h </w:instrText>
      </w:r>
      <w:r>
        <w:rPr>
          <w:lang/>
        </w:rPr>
        <w:fldChar w:fldCharType="separate"/>
      </w:r>
      <w:r>
        <w:rPr>
          <w:lang/>
        </w:rPr>
        <w:t>66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"_Toc4173742"</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_Toc4173742 \h </w:instrText>
      </w:r>
      <w:r>
        <w:rPr>
          <w:lang/>
        </w:rPr>
        <w:fldChar w:fldCharType="separate"/>
      </w:r>
      <w:r>
        <w:rPr>
          <w:lang/>
        </w:rPr>
        <w:t>66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"_Toc4173743"</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_Toc4173743 \h </w:instrText>
      </w:r>
      <w:r>
        <w:rPr>
          <w:lang/>
        </w:rPr>
        <w:fldChar w:fldCharType="separate"/>
      </w:r>
      <w:r>
        <w:rPr>
          <w:lang/>
        </w:rPr>
        <w:t>67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"_Toc4173744"</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_Toc4173744 \h </w:instrText>
      </w:r>
      <w:r>
        <w:rPr>
          <w:lang/>
        </w:rPr>
        <w:fldChar w:fldCharType="separate"/>
      </w:r>
      <w:r>
        <w:rPr>
          <w:lang/>
        </w:rPr>
        <w:t>67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"_Toc4173745"</w:instrText>
      </w:r>
      <w:r>
        <w:rPr>
          <w:rStyle w:val="11"/>
          <w:lang/>
        </w:rPr>
        <w:instrText xml:space="preserve"> </w:instrText>
      </w:r>
      <w:r>
        <w:rPr>
          <w:rStyle w:val="11"/>
          <w:lang/>
        </w:rPr>
        <w:fldChar w:fldCharType="separate"/>
      </w:r>
      <w:r>
        <w:rPr>
          <w:rStyle w:val="11"/>
          <w:b/>
          <w:lang/>
        </w:rPr>
        <w:t xml:space="preserve">9.2 </w:t>
      </w:r>
      <w:r>
        <w:rPr>
          <w:rStyle w:val="11"/>
          <w:rFonts w:hint="eastAsia"/>
          <w:b/>
          <w:lang/>
        </w:rPr>
        <w:t>期末基金管理人的从业人员持有本基金的情况</w:t>
      </w:r>
      <w:r>
        <w:rPr>
          <w:lang/>
        </w:rPr>
        <w:tab/>
      </w:r>
      <w:r>
        <w:rPr>
          <w:lang/>
        </w:rPr>
        <w:fldChar w:fldCharType="begin"/>
      </w:r>
      <w:r>
        <w:rPr>
          <w:lang/>
        </w:rPr>
        <w:instrText xml:space="preserve"> PAGEREF _Toc4173745 \h </w:instrText>
      </w:r>
      <w:r>
        <w:rPr>
          <w:lang/>
        </w:rPr>
        <w:fldChar w:fldCharType="separate"/>
      </w:r>
      <w:r>
        <w:rPr>
          <w:lang/>
        </w:rPr>
        <w:t>68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"_Toc4173746"</w:instrText>
      </w:r>
      <w:r>
        <w:rPr>
          <w:rStyle w:val="11"/>
          <w:lang/>
        </w:rPr>
        <w:instrText xml:space="preserve"> </w:instrText>
      </w:r>
      <w:r>
        <w:rPr>
          <w:rStyle w:val="11"/>
          <w:lang/>
        </w:rPr>
        <w:fldChar w:fldCharType="separate"/>
      </w:r>
      <w:r>
        <w:rPr>
          <w:rStyle w:val="11"/>
          <w:b/>
          <w:bCs/>
          <w:lang/>
        </w:rPr>
        <w:t xml:space="preserve">9.3 </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_Toc4173746 \h </w:instrText>
      </w:r>
      <w:r>
        <w:rPr>
          <w:lang/>
        </w:rPr>
        <w:fldChar w:fldCharType="separate"/>
      </w:r>
      <w:r>
        <w:rPr>
          <w:lang/>
        </w:rPr>
        <w:t>68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"_Toc4173747"</w:instrText>
      </w:r>
      <w:r>
        <w:rPr>
          <w:rStyle w:val="11"/>
          <w:lang/>
        </w:rPr>
        <w:instrText xml:space="preserve"> </w:instrText>
      </w:r>
      <w:r>
        <w:rPr>
          <w:rStyle w:val="11"/>
          <w:lang/>
        </w:rPr>
        <w:fldChar w:fldCharType="separate"/>
      </w:r>
      <w:r>
        <w:rPr>
          <w:rStyle w:val="11"/>
          <w:b/>
          <w:bCs/>
          <w:lang/>
        </w:rPr>
        <w:t>9.4</w:t>
      </w:r>
      <w:r>
        <w:rPr>
          <w:rStyle w:val="11"/>
          <w:rFonts w:hint="eastAsia"/>
          <w:b/>
          <w:bCs/>
          <w:lang/>
        </w:rPr>
        <w:t>发起式基金发起资金持有份额情况</w:t>
      </w:r>
      <w:r>
        <w:rPr>
          <w:lang/>
        </w:rPr>
        <w:tab/>
      </w:r>
      <w:r>
        <w:rPr>
          <w:lang/>
        </w:rPr>
        <w:fldChar w:fldCharType="begin"/>
      </w:r>
      <w:r>
        <w:rPr>
          <w:lang/>
        </w:rPr>
        <w:instrText xml:space="preserve"> PAGEREF _Toc4173747 \h </w:instrText>
      </w:r>
      <w:r>
        <w:rPr>
          <w:lang/>
        </w:rPr>
        <w:fldChar w:fldCharType="separate"/>
      </w:r>
      <w:r>
        <w:rPr>
          <w:lang/>
        </w:rPr>
        <w:t>68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"_Toc4173748"</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_Toc4173748 \h </w:instrText>
      </w:r>
      <w:r>
        <w:rPr>
          <w:lang/>
        </w:rPr>
        <w:fldChar w:fldCharType="separate"/>
      </w:r>
      <w:r>
        <w:rPr>
          <w:lang/>
        </w:rPr>
        <w:t>69</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"_Toc4173749"</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_Toc4173749 \h </w:instrText>
      </w:r>
      <w:r>
        <w:rPr>
          <w:lang/>
        </w:rPr>
        <w:fldChar w:fldCharType="separate"/>
      </w:r>
      <w:r>
        <w:rPr>
          <w:lang/>
        </w:rPr>
        <w:t>69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"_Toc4173750"</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_Toc4173750 \h </w:instrText>
      </w:r>
      <w:r>
        <w:rPr>
          <w:lang/>
        </w:rPr>
        <w:fldChar w:fldCharType="separate"/>
      </w:r>
      <w:r>
        <w:rPr>
          <w:lang/>
        </w:rPr>
        <w:t>69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"_Toc4173751"</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_Toc4173751 \h </w:instrText>
      </w:r>
      <w:r>
        <w:rPr>
          <w:lang/>
        </w:rPr>
        <w:fldChar w:fldCharType="separate"/>
      </w:r>
      <w:r>
        <w:rPr>
          <w:lang/>
        </w:rPr>
        <w:t>70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"_Toc4173752"</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_Toc4173752 \h </w:instrText>
      </w:r>
      <w:r>
        <w:rPr>
          <w:lang/>
        </w:rPr>
        <w:fldChar w:fldCharType="separate"/>
      </w:r>
      <w:r>
        <w:rPr>
          <w:lang/>
        </w:rPr>
        <w:t>70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"_Toc4173753"</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_Toc4173753 \h </w:instrText>
      </w:r>
      <w:r>
        <w:rPr>
          <w:lang/>
        </w:rPr>
        <w:fldChar w:fldCharType="separate"/>
      </w:r>
      <w:r>
        <w:rPr>
          <w:lang/>
        </w:rPr>
        <w:t>70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"_Toc4173754"</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_Toc4173754 \h </w:instrText>
      </w:r>
      <w:r>
        <w:rPr>
          <w:lang/>
        </w:rPr>
        <w:fldChar w:fldCharType="separate"/>
      </w:r>
      <w:r>
        <w:rPr>
          <w:lang/>
        </w:rPr>
        <w:t>70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"_Toc4173755"</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_Toc4173755 \h </w:instrText>
      </w:r>
      <w:r>
        <w:rPr>
          <w:lang/>
        </w:rPr>
        <w:fldChar w:fldCharType="separate"/>
      </w:r>
      <w:r>
        <w:rPr>
          <w:lang/>
        </w:rPr>
        <w:t>70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"_Toc4173756"</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_Toc4173756 \h </w:instrText>
      </w:r>
      <w:r>
        <w:rPr>
          <w:lang/>
        </w:rPr>
        <w:fldChar w:fldCharType="separate"/>
      </w:r>
      <w:r>
        <w:rPr>
          <w:lang/>
        </w:rPr>
        <w:t>70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"_Toc4173757"</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_Toc4173757 \h </w:instrText>
      </w:r>
      <w:r>
        <w:rPr>
          <w:lang/>
        </w:rPr>
        <w:fldChar w:fldCharType="separate"/>
      </w:r>
      <w:r>
        <w:rPr>
          <w:lang/>
        </w:rPr>
        <w:t>72</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"_Toc4173758"</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_Toc4173758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"_Toc4173759"</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_Toc4173759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"_Toc4173760"</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_Toc4173760 \h </w:instrText>
      </w:r>
      <w:r>
        <w:rPr>
          <w:lang/>
        </w:rPr>
        <w:fldChar w:fldCharType="separate"/>
      </w:r>
      <w:r>
        <w:rPr>
          <w:lang/>
        </w:rPr>
        <w:t>75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"_Toc4173761"</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_Toc4173761 \h </w:instrText>
      </w:r>
      <w:r>
        <w:rPr>
          <w:lang/>
        </w:rPr>
        <w:fldChar w:fldCharType="separate"/>
      </w:r>
      <w:r>
        <w:rPr>
          <w:lang/>
        </w:rPr>
        <w:t>75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"_Toc4173762"</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lang/>
        </w:rPr>
        <w:tab/>
      </w:r>
      <w:r>
        <w:rPr>
          <w:lang/>
        </w:rPr>
        <w:fldChar w:fldCharType="begin"/>
      </w:r>
      <w:r>
        <w:rPr>
          <w:lang/>
        </w:rPr>
        <w:instrText xml:space="preserve"> PAGEREF _Toc4173762 \h </w:instrText>
      </w:r>
      <w:r>
        <w:rPr>
          <w:lang/>
        </w:rPr>
        <w:fldChar w:fldCharType="separate"/>
      </w:r>
      <w:r>
        <w:rPr>
          <w:lang/>
        </w:rPr>
        <w:t>75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"_Toc4173763"</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_Toc4173763 \h </w:instrText>
      </w:r>
      <w:r>
        <w:rPr>
          <w:lang/>
        </w:rPr>
        <w:fldChar w:fldCharType="separate"/>
      </w:r>
      <w:r>
        <w:rPr>
          <w:lang/>
        </w:rPr>
        <w:t>76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"_Toc4173764"</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_Toc4173764 \h </w:instrText>
      </w:r>
      <w:r>
        <w:rPr>
          <w:lang/>
        </w:rPr>
        <w:fldChar w:fldCharType="separate"/>
      </w:r>
      <w:r>
        <w:rPr>
          <w:lang/>
        </w:rPr>
        <w:t>76</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4173698"/>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4173699"/>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创金合信国证2000指数发起式证券投资基金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创金合信国证2000指数</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005565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2018年02月07日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11,713,349.42份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创金合信国证2000指数A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创金合信国证2000指数C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005566</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5,169,877.61份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6,543,471.81份</w:t>
            </w:r>
          </w:p>
        </w:tc>
      </w:tr>
    </w:tbl>
    <w:p>
      <w:pPr>
        <w:widowControl/>
        <w:jc w:val="left"/>
        <w:rPr>
          <w:rFonts w:hint="eastAsia" w:ascii="宋体" w:hAnsi="宋体" w:cs="宋体"/>
          <w:kern w:val="0"/>
          <w:sz w:val="24"/>
          <w:szCs w:val="24"/>
        </w:rPr>
      </w:pPr>
    </w:p>
    <w:p>
      <w:pPr>
        <w:pStyle w:val="14"/>
        <w:rPr>
          <w:rFonts w:hint="eastAsia"/>
        </w:rPr>
      </w:pPr>
      <w:bookmarkStart w:id="5" w:name="_Toc4173700"/>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紧密跟踪业绩比较基准，追求跟踪偏离度和跟踪误差的最小化。</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正常情况下，本基金主要采用完全复制法进行投资，力争将年化跟踪误差控制在2%以内，日跟踪偏离度绝对值的平均值控制在0.20%以内。</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国证2000指数收益率×95%+银行人民币活期存款利率（税后）×5%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本基金为股票型基金，理论上其预期风险和预期收益水平高于混合型基金、债券型基金及货币市场基金。本基金紧密跟踪标的指数表现，具有与标的指数相似的风险收益特征。</w:t>
            </w:r>
          </w:p>
        </w:tc>
      </w:tr>
    </w:tbl>
    <w:p>
      <w:pPr>
        <w:widowControl/>
        <w:jc w:val="left"/>
        <w:rPr>
          <w:rFonts w:hint="eastAsia" w:ascii="宋体" w:hAnsi="宋体" w:cs="宋体"/>
          <w:kern w:val="0"/>
          <w:sz w:val="24"/>
          <w:szCs w:val="24"/>
        </w:rPr>
      </w:pPr>
    </w:p>
    <w:p>
      <w:pPr>
        <w:pStyle w:val="14"/>
        <w:rPr>
          <w:rFonts w:hint="eastAsia"/>
        </w:rPr>
      </w:pPr>
      <w:bookmarkStart w:id="6" w:name="_Toc4173701"/>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14"/>
        <w:rPr>
          <w:rFonts w:hint="eastAsia"/>
        </w:rPr>
      </w:pPr>
      <w:bookmarkStart w:id="7" w:name="_Toc4173702"/>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证券时报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20"/>
        <w:rPr>
          <w:rFonts w:hint="eastAsia"/>
        </w:rPr>
      </w:pPr>
      <w:r>
        <w:rPr>
          <w:rFonts w:hint="eastAsia"/>
        </w:rPr>
        <w:t>注：本基金自2019年1月19日起信息披露报纸由《证券时报》、《上海证券报》变更为《证券时报》。</w:t>
      </w:r>
    </w:p>
    <w:p>
      <w:pPr>
        <w:widowControl/>
        <w:jc w:val="left"/>
        <w:rPr>
          <w:rFonts w:hint="eastAsia" w:ascii="宋体" w:hAnsi="宋体" w:cs="宋体"/>
          <w:kern w:val="0"/>
          <w:sz w:val="24"/>
          <w:szCs w:val="24"/>
        </w:rPr>
      </w:pPr>
    </w:p>
    <w:p>
      <w:pPr>
        <w:pStyle w:val="14"/>
        <w:rPr>
          <w:rFonts w:hint="eastAsia"/>
        </w:rPr>
      </w:pPr>
      <w:bookmarkStart w:id="8" w:name="_Toc4173703"/>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9" w:name="_Toc4173704"/>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4173705"/>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921"/>
        <w:gridCol w:w="3062"/>
        <w:gridCol w:w="3062"/>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本期2018年02月07日（基金合同生效日）- 2018年12月31日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创金合信国证2000指数A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创金合信国证2000指数C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-745,758.60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-917,177.63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-1,288,062.70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-1,435,077.10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-1,253,185.44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-1,594,397.30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3,916,692.17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4,949,074.51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0.7563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-24.37%</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4.本基金合同生效日为2018年2月7日，截至报告期末，本基金成立不满一年。合同生效当期的相关数据和指标按实际存续期计算。</w:t>
      </w:r>
    </w:p>
    <w:p>
      <w:pPr>
        <w:widowControl/>
        <w:jc w:val="left"/>
        <w:rPr>
          <w:rFonts w:hint="eastAsia" w:ascii="宋体" w:hAnsi="宋体" w:cs="宋体"/>
          <w:kern w:val="0"/>
          <w:sz w:val="24"/>
          <w:szCs w:val="24"/>
        </w:rPr>
      </w:pPr>
    </w:p>
    <w:p>
      <w:pPr>
        <w:pStyle w:val="14"/>
        <w:rPr>
          <w:rFonts w:hint="eastAsia"/>
        </w:rPr>
      </w:pPr>
      <w:bookmarkStart w:id="11" w:name="_Toc4173706"/>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p>
      <w:pPr>
        <w:pStyle w:val="17"/>
        <w:rPr>
          <w:rFonts w:hint="eastAsia"/>
        </w:rPr>
      </w:pPr>
      <w:r>
        <w:rPr>
          <w:rFonts w:hint="eastAsia" w:hAnsi="Calibri"/>
          <w:color w:val="000000"/>
        </w:rPr>
        <w:t>创金合信国证2000指数A</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bl>
    <w:p>
      <w:pPr>
        <w:pStyle w:val="17"/>
        <w:rPr>
          <w:rFonts w:hint="eastAsia"/>
        </w:rPr>
      </w:pPr>
      <w:r>
        <w:rPr>
          <w:rFonts w:hint="eastAsia" w:hAnsi="Calibri"/>
          <w:color w:val="000000"/>
        </w:rPr>
        <w:t>创金合信国证2000指数C</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bl>
    <w:p>
      <w:pPr>
        <w:widowControl/>
        <w:jc w:val="left"/>
        <w:rPr>
          <w:rFonts w:hint="eastAsia" w:ascii="宋体" w:hAnsi="宋体" w:cs="宋体"/>
          <w:kern w:val="0"/>
          <w:sz w:val="24"/>
          <w:szCs w:val="24"/>
        </w:rPr>
      </w:pPr>
    </w:p>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fcsc\HSFA\Bin\Bin\MOD\TMP\CN_50990000_005565_FB010010_20190002_2.jpg" type="#_x0000_t75" style="height:286.5pt;width:441pt;" filled="f" stroked="f" coordsize="21600,21600">
            <v:path/>
            <v:fill on="f" focussize="0,0"/>
            <v:stroke on="f"/>
            <v:imagedata r:id="rId7" grayscale="f" bilevel="f" o:title="CN_50990000_005565_FB010010_20190002_2"/>
            <o:lock v:ext="edit" grouping="f" rotation="f" aspectratio="t"/>
            <w10:wrap type="none"/>
            <w10:anchorlock/>
          </v:shape>
        </w:pict>
      </w:r>
    </w:p>
    <w:p>
      <w:pPr>
        <w:pStyle w:val="17"/>
        <w:rPr>
          <w:rFonts w:hint="eastAsia"/>
        </w:rPr>
      </w:pPr>
      <w:r>
        <w:rPr>
          <w:rFonts w:hAnsi="Calibri"/>
          <w:color w:val="000000"/>
          <w:lang/>
        </w:rPr>
        <w:pict>
          <v:shape id="_x0000_i1026" o:spt="75" alt="D:\fcsc\HSFA\Bin\Bin\MOD\TMP\CN_50990000_005565_FB010010_20190002_3.jpg" type="#_x0000_t75" style="height:286.5pt;width:441pt;" filled="f" stroked="f" coordsize="21600,21600">
            <v:path/>
            <v:fill on="f" focussize="0,0"/>
            <v:stroke on="f"/>
            <v:imagedata r:id="rId8" grayscale="f" bilevel="f" o:title="CN_50990000_005565_FB010010_20190002_3"/>
            <o:lock v:ext="edit" grouping="f" rotation="f" aspectratio="t"/>
            <w10:wrap type="none"/>
            <w10:anchorlock/>
          </v:shape>
        </w:pict>
      </w:r>
    </w:p>
    <w:p>
      <w:pPr>
        <w:widowControl/>
        <w:jc w:val="left"/>
        <w:rPr>
          <w:rFonts w:hint="eastAsia" w:ascii="宋体" w:hAnsi="宋体" w:cs="宋体"/>
          <w:kern w:val="0"/>
          <w:sz w:val="24"/>
          <w:szCs w:val="24"/>
        </w:rPr>
      </w:pPr>
      <w:r>
        <w:rPr>
          <w:rFonts w:hint="eastAsia" w:ascii="宋体" w:hAnsi="宋体" w:cs="宋体"/>
          <w:kern w:val="0"/>
          <w:sz w:val="24"/>
          <w:szCs w:val="24"/>
        </w:rPr>
        <w:t>注：1、本基金的基金合同于2018年2月7日生效，截至报告期末，本基金成立不满一年。</w:t>
      </w:r>
      <w:r>
        <w:rPr>
          <w:rFonts w:hint="eastAsia" w:ascii="宋体" w:hAnsi="宋体" w:cs="宋体"/>
          <w:kern w:val="0"/>
          <w:sz w:val="24"/>
          <w:szCs w:val="24"/>
        </w:rPr>
        <w:br w:type="textWrapping"/>
      </w:r>
      <w:r>
        <w:rPr>
          <w:rFonts w:hint="eastAsia" w:ascii="宋体" w:hAnsi="宋体" w:cs="宋体"/>
          <w:kern w:val="0"/>
          <w:sz w:val="24"/>
          <w:szCs w:val="24"/>
        </w:rPr>
        <w:t xml:space="preserve">2、本基金的建仓期为6个月，建仓期结束时各项资产配置比例符合合同规定。 </w:t>
      </w:r>
    </w:p>
    <w:p>
      <w:pPr>
        <w:widowControl/>
        <w:jc w:val="left"/>
        <w:rPr>
          <w:rFonts w:hint="eastAsia" w:ascii="宋体" w:hAnsi="宋体" w:cs="宋体"/>
          <w:kern w:val="0"/>
          <w:sz w:val="24"/>
          <w:szCs w:val="24"/>
        </w:rPr>
      </w:pP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fcsc\HSFA\Bin\Bin\MOD\TMP\CN_50990000_005565_FB010010_20190002_6.jpg" type="#_x0000_t75" style="height:286.5pt;width:441pt;" filled="f" stroked="f" coordsize="21600,21600">
            <v:path/>
            <v:fill on="f" focussize="0,0"/>
            <v:stroke on="f"/>
            <v:imagedata r:id="rId9" grayscale="f" bilevel="f" o:title="CN_50990000_005565_FB010010_20190002_6"/>
            <o:lock v:ext="edit" grouping="f" rotation="f" aspectratio="t"/>
            <w10:wrap type="none"/>
            <w10:anchorlock/>
          </v:shape>
        </w:pict>
      </w:r>
    </w:p>
    <w:p>
      <w:pPr>
        <w:pStyle w:val="17"/>
        <w:rPr>
          <w:rFonts w:hint="eastAsia"/>
        </w:rPr>
      </w:pPr>
      <w:r>
        <w:rPr>
          <w:rFonts w:hAnsi="Calibri"/>
          <w:color w:val="000000"/>
          <w:lang/>
        </w:rPr>
        <w:pict>
          <v:shape id="_x0000_i1028" o:spt="75" alt="D:\fcsc\HSFA\Bin\Bin\MOD\TMP\CN_50990000_005565_FB010010_20190002_7.jpg" type="#_x0000_t75" style="height:286.5pt;width:441pt;" filled="f" stroked="f" coordsize="21600,21600">
            <v:path/>
            <v:fill on="f" focussize="0,0"/>
            <v:stroke on="f"/>
            <v:imagedata r:id="rId10" grayscale="f" bilevel="f" o:title="CN_50990000_005565_FB010010_20190002_7"/>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bookmarkStart w:id="12" w:name="_Toc4173707"/>
      <w:r>
        <w:rPr>
          <w:rFonts w:hint="eastAsia" w:hAnsi="Calibri"/>
          <w:b/>
          <w:color w:val="000000"/>
        </w:rPr>
        <w:t>3.3 过去三年基金的利润分配情况</w:t>
      </w:r>
      <w:bookmarkEnd w:id="12"/>
    </w:p>
    <w:p>
      <w:pPr>
        <w:pStyle w:val="20"/>
        <w:rPr>
          <w:rFonts w:hint="eastAsia"/>
        </w:rPr>
      </w:pPr>
      <w:r>
        <w:rPr>
          <w:rFonts w:hint="eastAsia"/>
        </w:rPr>
        <w:t>本基金自基金合同生效日（2018年2月7日）至本报告期末未发生利润分配。</w:t>
      </w:r>
    </w:p>
    <w:p>
      <w:pPr>
        <w:widowControl/>
        <w:jc w:val="left"/>
        <w:rPr>
          <w:rFonts w:hint="eastAsia" w:ascii="宋体" w:hAnsi="宋体" w:cs="宋体"/>
          <w:kern w:val="0"/>
          <w:sz w:val="24"/>
          <w:szCs w:val="24"/>
        </w:rPr>
      </w:pPr>
    </w:p>
    <w:p>
      <w:pPr>
        <w:pStyle w:val="13"/>
        <w:rPr>
          <w:rFonts w:hint="eastAsia"/>
        </w:rPr>
      </w:pPr>
      <w:bookmarkStart w:id="13" w:name="_Toc4173708"/>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4173709"/>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0"/>
        <w:spacing w:before="0"/>
        <w:ind w:left="0" w:firstLine="480"/>
        <w:rPr>
          <w:rFonts w:hint="eastAsia"/>
        </w:rPr>
      </w:pPr>
      <w:r>
        <w:rPr>
          <w:rFonts w:hint="eastAsia"/>
        </w:rPr>
        <w:t>公司始终坚持"客户利益至上"，致力于为客户实现长期稳定的投资回报，做客户投资理财的亲密伙伴。</w:t>
      </w:r>
    </w:p>
    <w:p>
      <w:pPr>
        <w:pStyle w:val="20"/>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陈龙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陈龙先生，中国国籍，复旦大学经济学硕士和美国加州大学洛杉矶分校（UCLA）金融工程硕士。2006年7月就职于中证指数有限公司，任研发部高级研究员。2013年2月加入中国金融期货交易所，任股指事业部高级经理，2016年3月加入创金合信基金管理有限公司，现任指数策略投资研究部副总监、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4"/>
        <w:rPr>
          <w:rFonts w:hint="eastAsia"/>
        </w:rPr>
      </w:pPr>
      <w:bookmarkStart w:id="15" w:name="_Toc4173710"/>
      <w:r>
        <w:rPr>
          <w:rFonts w:hint="eastAsia" w:hAnsi="Calibri"/>
          <w:b/>
          <w:color w:val="000000"/>
        </w:rPr>
        <w:t>4.2 管理人对报告期内本基金运作遵规守信情况的说明</w:t>
      </w:r>
      <w:bookmarkEnd w:id="15"/>
    </w:p>
    <w:p>
      <w:pPr>
        <w:pStyle w:val="20"/>
        <w:spacing w:before="0"/>
        <w:ind w:left="0" w:firstLine="480"/>
        <w:rPr>
          <w:rFonts w:hint="eastAsia"/>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4"/>
        <w:rPr>
          <w:rFonts w:hint="eastAsia"/>
        </w:rPr>
      </w:pPr>
      <w:bookmarkStart w:id="16" w:name="_Toc4173711"/>
      <w:r>
        <w:rPr>
          <w:rFonts w:hint="eastAsia" w:hAnsi="Calibri"/>
          <w:b/>
          <w:color w:val="000000"/>
        </w:rPr>
        <w:t>4.3 管理人对报告期内公平交易情况的专项说明</w:t>
      </w:r>
      <w:bookmarkEnd w:id="16"/>
    </w:p>
    <w:p>
      <w:pPr>
        <w:pStyle w:val="15"/>
        <w:rPr>
          <w:rFonts w:hint="eastAsia"/>
        </w:rPr>
      </w:pPr>
      <w:r>
        <w:rPr>
          <w:rFonts w:hint="eastAsia" w:hAnsi="Calibri"/>
          <w:b/>
          <w:color w:val="000000"/>
        </w:rPr>
        <w:t>4.3.1 公平交易制度和控制方法</w:t>
      </w:r>
    </w:p>
    <w:p>
      <w:pPr>
        <w:pStyle w:val="20"/>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0"/>
        <w:spacing w:before="0"/>
        <w:ind w:left="0" w:firstLine="480"/>
        <w:rPr>
          <w:rFonts w:hint="eastAsia" w:hAnsi="Calibri"/>
          <w:color w:val="000000"/>
        </w:rPr>
      </w:pPr>
      <w:r>
        <w:rPr>
          <w:rFonts w:hint="eastAsia" w:hAnsi="Calibri"/>
          <w:color w:val="000000"/>
        </w:rPr>
        <w:t>1、授权、研究分析与投资决策的内部控制</w:t>
      </w:r>
    </w:p>
    <w:p>
      <w:pPr>
        <w:pStyle w:val="20"/>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0"/>
        <w:spacing w:before="0"/>
        <w:ind w:left="0" w:firstLine="480"/>
        <w:rPr>
          <w:rFonts w:hint="eastAsia" w:hAnsi="Calibri"/>
          <w:color w:val="000000"/>
        </w:rPr>
      </w:pPr>
      <w:r>
        <w:rPr>
          <w:rFonts w:hint="eastAsia" w:hAnsi="Calibri"/>
          <w:color w:val="000000"/>
        </w:rPr>
        <w:t>2、交易执行的内部控制</w:t>
      </w:r>
    </w:p>
    <w:p>
      <w:pPr>
        <w:pStyle w:val="20"/>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0"/>
        <w:spacing w:before="0"/>
        <w:ind w:left="0" w:firstLine="480"/>
        <w:rPr>
          <w:rFonts w:hint="eastAsia" w:hAnsi="Calibri"/>
          <w:color w:val="000000"/>
        </w:rPr>
      </w:pPr>
      <w:r>
        <w:rPr>
          <w:rFonts w:hint="eastAsia" w:hAnsi="Calibri"/>
          <w:color w:val="000000"/>
        </w:rPr>
        <w:t>3、交易指令分配的控制</w:t>
      </w:r>
    </w:p>
    <w:p>
      <w:pPr>
        <w:pStyle w:val="20"/>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0"/>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0"/>
        <w:spacing w:before="0"/>
        <w:ind w:left="0" w:firstLine="480"/>
        <w:rPr>
          <w:rFonts w:hint="eastAsia" w:hAnsi="Calibri"/>
          <w:color w:val="000000"/>
        </w:rPr>
      </w:pPr>
      <w:r>
        <w:rPr>
          <w:rFonts w:hint="eastAsia" w:hAnsi="Calibri"/>
          <w:color w:val="000000"/>
        </w:rPr>
        <w:t>4、公平交易监控</w:t>
      </w:r>
    </w:p>
    <w:p>
      <w:pPr>
        <w:pStyle w:val="20"/>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4.3.2 公平交易制度的执行情况</w:t>
      </w:r>
    </w:p>
    <w:p>
      <w:pPr>
        <w:pStyle w:val="20"/>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4.3.3 异常交易行为的专项说明</w:t>
      </w:r>
    </w:p>
    <w:p>
      <w:pPr>
        <w:pStyle w:val="20"/>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4173712"/>
      <w:r>
        <w:rPr>
          <w:rFonts w:hint="eastAsia" w:hAnsi="Calibri"/>
          <w:b/>
          <w:color w:val="000000"/>
        </w:rPr>
        <w:t>4.4 管理人对报告期内基金的投资策略和业绩表现的说明</w:t>
      </w:r>
      <w:bookmarkEnd w:id="17"/>
    </w:p>
    <w:p>
      <w:pPr>
        <w:pStyle w:val="15"/>
        <w:rPr>
          <w:rFonts w:hint="eastAsia"/>
        </w:rPr>
      </w:pPr>
      <w:r>
        <w:rPr>
          <w:rFonts w:hint="eastAsia" w:hAnsi="Calibri"/>
          <w:b/>
          <w:color w:val="000000"/>
        </w:rPr>
        <w:t>4.4.1 报告期内基金投资策略和运作分析</w:t>
      </w:r>
    </w:p>
    <w:p>
      <w:pPr>
        <w:pStyle w:val="20"/>
        <w:spacing w:before="0"/>
        <w:ind w:left="0" w:firstLine="480"/>
        <w:rPr>
          <w:rFonts w:hint="eastAsia"/>
        </w:rPr>
      </w:pPr>
      <w:r>
        <w:rPr>
          <w:rFonts w:hint="eastAsia" w:hAnsi="Calibri"/>
          <w:color w:val="000000"/>
        </w:rPr>
        <w:t>本基金跟踪的标的指数为国证2000指数，业绩基准为国证2000指数收益率×95%+银行人民币活期存款利率（税后）×5%。国证2000指数的样本股由：在深圳、上海证券交易所上市的除ST、*ST股票外，按照市值和成交金额在市场中所占比例的综合排名，扣除国证1000指数样本股后，排名靠前的2000只股票构成。该指数于2014年3月28日发布，用以反映A股市场小盘股票的价格变动趋势。本基金的投资策略，正常情况下，主要采用完全复制法进行投资，力争将年化跟踪误差控制在2%以内，日跟踪偏离度绝对值的平均值控制在0.20%以内；为了更好地实现投资目标，当出现特殊情形导致本基金无法有效复制和跟踪标的指数时，本基金 将采用包括替代、抽样等技术手段在内的优化复制法来构造股票投资组合。</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4.4.2 报告期内基金的业绩表现</w:t>
      </w:r>
    </w:p>
    <w:p>
      <w:pPr>
        <w:pStyle w:val="20"/>
        <w:spacing w:before="0"/>
        <w:ind w:left="0" w:firstLine="480"/>
        <w:rPr>
          <w:rFonts w:hint="eastAsia"/>
        </w:rPr>
      </w:pPr>
      <w:r>
        <w:rPr>
          <w:rFonts w:hint="eastAsia" w:hAnsi="Calibri"/>
          <w:color w:val="000000"/>
        </w:rPr>
        <w:t>截至报告期末创金合信国证2000指数A基金份额净值为0.7576元，本报告期内，该类基金份额净值增长率为-24.24%，同期业绩比较基准收益率为-22.60%；截至报告期末创金合信国证2000指数C基金份额净值为0.7563元，本报告期内，该类基金份额净值增长率为-24.37%，同期业绩比较基准收益率为-22.60%。</w:t>
      </w:r>
    </w:p>
    <w:p>
      <w:pPr>
        <w:widowControl/>
        <w:jc w:val="left"/>
        <w:rPr>
          <w:rFonts w:hint="eastAsia" w:ascii="宋体" w:hAnsi="宋体" w:cs="宋体"/>
          <w:kern w:val="0"/>
          <w:sz w:val="24"/>
          <w:szCs w:val="24"/>
        </w:rPr>
      </w:pPr>
    </w:p>
    <w:p>
      <w:pPr>
        <w:pStyle w:val="14"/>
        <w:rPr>
          <w:rFonts w:hint="eastAsia"/>
        </w:rPr>
      </w:pPr>
      <w:bookmarkStart w:id="18" w:name="_Toc4173713"/>
      <w:r>
        <w:rPr>
          <w:rFonts w:hint="eastAsia" w:hAnsi="Calibri"/>
          <w:b/>
          <w:color w:val="000000"/>
        </w:rPr>
        <w:t>4.5 管理人对宏观经济、证券市场及行业走势的简要展望</w:t>
      </w:r>
      <w:bookmarkEnd w:id="18"/>
    </w:p>
    <w:p>
      <w:pPr>
        <w:pStyle w:val="20"/>
        <w:spacing w:before="0"/>
        <w:ind w:left="0" w:firstLine="480"/>
        <w:rPr>
          <w:rFonts w:hint="eastAsia"/>
        </w:rPr>
      </w:pPr>
      <w:r>
        <w:rPr>
          <w:rFonts w:hint="eastAsia" w:hAnsi="Calibri"/>
          <w:color w:val="000000"/>
        </w:rPr>
        <w:t>2018年在内外部压力下，中国GDP增速降为6.6%，虽为近年最低，但符合市场普遍预期；近期中美贸易谈判显露出积极态势，加上政府出台的稳增长的各类措施，经济前景的积极面正在增加；证券市场中科创板加速推进，有望带动部分基础性制度的革新，利好资本市场长远发展；当前A股整体估值处于历史低位水平，所谓否极泰来，逆境中增加A股配置的时机悄然来临。</w:t>
      </w:r>
    </w:p>
    <w:p>
      <w:pPr>
        <w:widowControl/>
        <w:jc w:val="left"/>
        <w:rPr>
          <w:rFonts w:hint="eastAsia" w:ascii="宋体" w:hAnsi="宋体" w:cs="宋体"/>
          <w:kern w:val="0"/>
          <w:sz w:val="24"/>
          <w:szCs w:val="24"/>
        </w:rPr>
      </w:pPr>
    </w:p>
    <w:p>
      <w:pPr>
        <w:pStyle w:val="14"/>
        <w:rPr>
          <w:rFonts w:hint="eastAsia"/>
        </w:rPr>
      </w:pPr>
      <w:bookmarkStart w:id="19" w:name="_Toc4173714"/>
      <w:r>
        <w:rPr>
          <w:rFonts w:hint="eastAsia" w:hAnsi="Calibri"/>
          <w:b/>
          <w:color w:val="000000"/>
        </w:rPr>
        <w:t>4.6 管理人内部有关本基金的监察稽核工作情况</w:t>
      </w:r>
      <w:bookmarkEnd w:id="19"/>
    </w:p>
    <w:p>
      <w:pPr>
        <w:pStyle w:val="20"/>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0"/>
        <w:spacing w:before="0"/>
        <w:ind w:left="0" w:firstLine="480"/>
        <w:rPr>
          <w:rFonts w:hint="eastAsia"/>
        </w:rPr>
      </w:pPr>
      <w:r>
        <w:rPr>
          <w:rFonts w:hint="eastAsia"/>
        </w:rPr>
        <w:t>本报告期内，本基金管理人的主要内部监察稽核工作如下：</w:t>
      </w:r>
    </w:p>
    <w:p>
      <w:pPr>
        <w:pStyle w:val="20"/>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0"/>
        <w:spacing w:before="0"/>
        <w:ind w:left="0" w:firstLine="480"/>
        <w:rPr>
          <w:rFonts w:hint="eastAsia"/>
        </w:rPr>
      </w:pPr>
      <w:r>
        <w:rPr>
          <w:rFonts w:hint="eastAsia"/>
        </w:rPr>
        <w:t>（2）开展公司专项稽核工作，了解合规风险现状、发现薄弱环节，并持续督导改进；</w:t>
      </w:r>
    </w:p>
    <w:p>
      <w:pPr>
        <w:pStyle w:val="20"/>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0"/>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0"/>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0"/>
        <w:spacing w:before="0"/>
        <w:ind w:left="0" w:firstLine="480"/>
        <w:rPr>
          <w:rFonts w:hint="eastAsia"/>
        </w:rPr>
      </w:pPr>
      <w:r>
        <w:rPr>
          <w:rFonts w:hint="eastAsia"/>
        </w:rPr>
        <w:t>（6）加强关联交易管理。修订《关联交易管理制度》，履行关联交易决策审批程序；</w:t>
      </w:r>
    </w:p>
    <w:p>
      <w:pPr>
        <w:pStyle w:val="20"/>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0"/>
        <w:spacing w:before="0"/>
        <w:ind w:left="0" w:firstLine="480"/>
        <w:rPr>
          <w:rFonts w:hint="eastAsia"/>
        </w:rPr>
      </w:pPr>
      <w:r>
        <w:rPr>
          <w:rFonts w:hint="eastAsia"/>
        </w:rPr>
        <w:t>（8）建立健全公平交易与异常交易管理机制。严格按照法律法规以及公司《公平交易制度》、《异常交易监控与管理制度》的要求，对所管理的不同投资组合之间发生的同向交易和反向交易进行监控，严格禁止同一投资组合在同一交易日内进行反向交易及其他可能导致不公平交易和利益输送的交易行为；</w:t>
      </w:r>
    </w:p>
    <w:p>
      <w:pPr>
        <w:pStyle w:val="20"/>
        <w:spacing w:before="0"/>
        <w:ind w:left="0" w:firstLine="480"/>
        <w:rPr>
          <w:rFonts w:hint="eastAsia"/>
        </w:rPr>
      </w:pPr>
      <w:r>
        <w:rPr>
          <w:rFonts w:hint="eastAsia"/>
        </w:rPr>
        <w:t>（9）建立员工投资行为管理机制，规范员工的证券投资行为。</w:t>
      </w:r>
    </w:p>
    <w:p>
      <w:pPr>
        <w:pStyle w:val="20"/>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4173715"/>
      <w:r>
        <w:rPr>
          <w:rFonts w:hint="eastAsia" w:hAnsi="Calibri"/>
          <w:b/>
          <w:color w:val="000000"/>
        </w:rPr>
        <w:t>4.7 管理人对报告期内基金估值程序等事项的说明</w:t>
      </w:r>
      <w:bookmarkEnd w:id="20"/>
    </w:p>
    <w:p>
      <w:pPr>
        <w:pStyle w:val="20"/>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0"/>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4173716"/>
      <w:r>
        <w:rPr>
          <w:rFonts w:hint="eastAsia"/>
          <w:b/>
          <w:bCs/>
        </w:rPr>
        <w:t>4.8 管理人对报告期内基金利润分配情况的说明</w:t>
      </w:r>
      <w:bookmarkEnd w:id="21"/>
    </w:p>
    <w:p>
      <w:pPr>
        <w:pStyle w:val="20"/>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4173717"/>
      <w:r>
        <w:rPr>
          <w:rFonts w:hint="eastAsia"/>
          <w:b/>
          <w:bCs/>
        </w:rPr>
        <w:t>4.9 报告期内管理人对本基金持有人数或基金资产净值预警情形的说明</w:t>
      </w:r>
      <w:bookmarkEnd w:id="22"/>
    </w:p>
    <w:p>
      <w:pPr>
        <w:pStyle w:val="20"/>
        <w:spacing w:before="0"/>
        <w:ind w:left="0" w:firstLine="480"/>
        <w:rPr>
          <w:rFonts w:hint="eastAsia"/>
        </w:rPr>
      </w:pPr>
      <w:r>
        <w:rPr>
          <w:rFonts w:hint="eastAsia"/>
        </w:rPr>
        <w:t>本基金为发起式基金，不适用本项说明。</w:t>
      </w:r>
    </w:p>
    <w:p>
      <w:pPr>
        <w:widowControl/>
        <w:jc w:val="left"/>
        <w:rPr>
          <w:rFonts w:hint="eastAsia" w:ascii="宋体" w:hAnsi="宋体" w:cs="宋体"/>
          <w:kern w:val="0"/>
          <w:sz w:val="24"/>
          <w:szCs w:val="24"/>
        </w:rPr>
      </w:pPr>
    </w:p>
    <w:p>
      <w:pPr>
        <w:pStyle w:val="13"/>
        <w:rPr>
          <w:rFonts w:hint="eastAsia"/>
        </w:rPr>
      </w:pPr>
      <w:bookmarkStart w:id="23" w:name="_Toc4173718"/>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4173719"/>
      <w:r>
        <w:rPr>
          <w:rFonts w:hint="eastAsia"/>
          <w:b/>
          <w:bCs/>
        </w:rPr>
        <w:t>5.1 报告期内本基金托管人遵规守信情况声明</w:t>
      </w:r>
      <w:bookmarkEnd w:id="24"/>
    </w:p>
    <w:p>
      <w:pPr>
        <w:pStyle w:val="20"/>
        <w:spacing w:before="0"/>
        <w:ind w:left="0" w:firstLine="480"/>
        <w:rPr>
          <w:rFonts w:hint="eastAsia"/>
        </w:rPr>
      </w:pPr>
      <w:r>
        <w:rPr>
          <w:rFonts w:hint="eastAsia"/>
        </w:rPr>
        <w:t>招商银行具备完善的公司治理结构、内部稽核监控制度和风险控制制度，我行在履行托管职责中，严格遵守有关法律法规、托管协议的规定，尽职尽责地履行托管义务并安全保管托管资产。</w:t>
      </w:r>
    </w:p>
    <w:p>
      <w:pPr>
        <w:widowControl/>
        <w:jc w:val="left"/>
        <w:rPr>
          <w:rFonts w:hint="eastAsia" w:ascii="宋体" w:hAnsi="宋体" w:cs="宋体"/>
          <w:kern w:val="0"/>
          <w:sz w:val="24"/>
          <w:szCs w:val="24"/>
        </w:rPr>
      </w:pPr>
    </w:p>
    <w:p>
      <w:pPr>
        <w:pStyle w:val="14"/>
        <w:rPr>
          <w:rFonts w:hint="eastAsia"/>
        </w:rPr>
      </w:pPr>
      <w:bookmarkStart w:id="25" w:name="_Toc4173720"/>
      <w:r>
        <w:rPr>
          <w:rFonts w:hint="eastAsia"/>
          <w:b/>
          <w:bCs/>
        </w:rPr>
        <w:t>5.2 托管人对报告期内本基金投资运作遵规守信、净值计算、利润分配等情况的说明</w:t>
      </w:r>
      <w:bookmarkEnd w:id="25"/>
    </w:p>
    <w:p>
      <w:pPr>
        <w:pStyle w:val="20"/>
        <w:spacing w:before="0"/>
        <w:ind w:left="0" w:firstLine="480"/>
        <w:rPr>
          <w:rFonts w:hint="eastAsia"/>
        </w:rPr>
      </w:pPr>
      <w:r>
        <w:rPr>
          <w:rFonts w:hint="eastAsia"/>
        </w:rPr>
        <w:t>招商银行根据法律法规、托管协议约定的投资监督条款，对托管产品的投资行为进行监督，并根据监管要求履行报告义务。</w:t>
      </w:r>
    </w:p>
    <w:p>
      <w:pPr>
        <w:pStyle w:val="20"/>
        <w:spacing w:before="0"/>
        <w:ind w:left="0" w:firstLine="480"/>
        <w:rPr>
          <w:rFonts w:hint="eastAsia"/>
        </w:rPr>
      </w:pPr>
      <w:r>
        <w:rPr>
          <w:rFonts w:hint="eastAsia"/>
        </w:rPr>
        <w:t>招商银行按照托管协议约定的统一记账方法和会计处理原则，独立地设置、登录和保管本产品的全套账册，进行会计核算和资产估值并与管理人建立对账机制。</w:t>
      </w:r>
    </w:p>
    <w:p>
      <w:pPr>
        <w:pStyle w:val="20"/>
        <w:spacing w:before="0"/>
        <w:ind w:left="0" w:firstLine="480"/>
        <w:rPr>
          <w:rFonts w:hint="eastAsia"/>
        </w:rPr>
      </w:pPr>
      <w:r>
        <w:rPr>
          <w:rFonts w:hint="eastAsia"/>
        </w:rPr>
        <w:t>本年度报告中利润分配情况真实、准确。</w:t>
      </w:r>
    </w:p>
    <w:p>
      <w:pPr>
        <w:widowControl/>
        <w:jc w:val="left"/>
        <w:rPr>
          <w:rFonts w:hint="eastAsia" w:ascii="宋体" w:hAnsi="宋体" w:cs="宋体"/>
          <w:kern w:val="0"/>
          <w:sz w:val="24"/>
          <w:szCs w:val="24"/>
        </w:rPr>
      </w:pPr>
    </w:p>
    <w:p>
      <w:pPr>
        <w:pStyle w:val="14"/>
        <w:rPr>
          <w:rFonts w:hint="eastAsia"/>
        </w:rPr>
      </w:pPr>
      <w:bookmarkStart w:id="26" w:name="_Toc4173721"/>
      <w:r>
        <w:rPr>
          <w:rFonts w:hint="eastAsia"/>
          <w:b/>
          <w:bCs/>
        </w:rPr>
        <w:t>5.3 托管人对本年度报告中财务信息等内容的真实、准确和完整发表意见</w:t>
      </w:r>
      <w:bookmarkEnd w:id="26"/>
    </w:p>
    <w:p>
      <w:pPr>
        <w:pStyle w:val="20"/>
        <w:spacing w:before="0"/>
        <w:ind w:left="0" w:firstLine="480"/>
        <w:rPr>
          <w:rFonts w:hint="eastAsia"/>
        </w:rPr>
      </w:pPr>
      <w:r>
        <w:rPr>
          <w:rFonts w:hint="eastAsia"/>
        </w:rPr>
        <w:t>本年度报告中财务指标、净值表现、财务会计报告、投资组合报告内容真实、准确，不存在虚假记载、误导性陈述或者重大遗漏。</w:t>
      </w:r>
    </w:p>
    <w:p>
      <w:pPr>
        <w:widowControl/>
        <w:jc w:val="left"/>
        <w:rPr>
          <w:rFonts w:hint="eastAsia" w:ascii="宋体" w:hAnsi="宋体" w:cs="宋体"/>
          <w:kern w:val="0"/>
          <w:sz w:val="24"/>
          <w:szCs w:val="24"/>
        </w:rPr>
      </w:pPr>
    </w:p>
    <w:p>
      <w:pPr>
        <w:pStyle w:val="13"/>
        <w:rPr>
          <w:rFonts w:hint="eastAsia"/>
        </w:rPr>
      </w:pPr>
      <w:bookmarkStart w:id="27" w:name="_Toc4173722"/>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4173723"/>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普华永道中天审字(2019)第24783号</w:t>
            </w:r>
          </w:p>
        </w:tc>
      </w:tr>
    </w:tbl>
    <w:p>
      <w:pPr>
        <w:widowControl/>
        <w:jc w:val="left"/>
        <w:rPr>
          <w:rFonts w:hint="eastAsia" w:ascii="宋体" w:hAnsi="宋体" w:cs="宋体"/>
          <w:kern w:val="0"/>
          <w:sz w:val="24"/>
          <w:szCs w:val="24"/>
        </w:rPr>
      </w:pPr>
    </w:p>
    <w:p>
      <w:pPr>
        <w:pStyle w:val="14"/>
        <w:rPr>
          <w:rFonts w:hint="eastAsia"/>
        </w:rPr>
      </w:pPr>
      <w:bookmarkStart w:id="29" w:name="_Toc4173724"/>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创金合信国证2000指数发起式证券投资基金全体基金份额持有人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我们审计了创金合信国证2000指数发起式证券投资基金  (以下简称“ 创金合信国证2000指数基金 ”)的财务报表，包括2018年12月31日的资产负债表，2018年2月7日(基金合同生效日)至2018年12月31日止期间的利润表和所有者权益(基金净值)变动表以及财务报表附注。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国证2000指数基金2018年12月31日的财务状况以及2018年2月7日(基金合同生效日)至2018年12月31日止期间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按照中国注册会计师职业道德守则，我们独立于创金合信国证2000指数基金，并履行了职业道德方面的其他责任。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2000指数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国证2000指数基金的持续经营能力，披露与持续经营相关的事项(如适用)，并运用持续经营假设，除非基金管理人管理层计划清算创金合信国证2000指数基金、终止运营或别无其他现实的选择。 基金管理人治理层负责监督创金合信国证2000指数基金的财务报告过程。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国证2000指数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国证2000指数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3"/>
        <w:rPr>
          <w:rFonts w:hint="eastAsia"/>
        </w:rPr>
      </w:pPr>
      <w:bookmarkStart w:id="30" w:name="_Toc4173725"/>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4173726"/>
      <w:r>
        <w:rPr>
          <w:rFonts w:hint="eastAsia"/>
          <w:b/>
          <w:bCs/>
        </w:rPr>
        <w:t>7.1 资产负债表</w:t>
      </w:r>
      <w:bookmarkEnd w:id="31"/>
    </w:p>
    <w:p>
      <w:pPr>
        <w:pStyle w:val="17"/>
        <w:rPr>
          <w:rFonts w:hint="eastAsia"/>
        </w:rPr>
      </w:pPr>
      <w:r>
        <w:rPr>
          <w:rFonts w:hint="eastAsia"/>
        </w:rPr>
        <w:t>会计主体：创金合信国证2000指数发起式证券投资基金</w:t>
      </w:r>
    </w:p>
    <w:p>
      <w:pPr>
        <w:pStyle w:val="17"/>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660"/>
        <w:gridCol w:w="1912"/>
        <w:gridCol w:w="3548"/>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2018年12月31日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296,036.24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3,035.94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1,128.54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8,701,321.40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8,400,001.40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55,035.83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8,453.77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9,125.00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9,074,136.72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71,750.98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4,747.29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3,942.06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788.41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879.63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3,261.66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123,000.01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208,370.04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11,713,349.42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-2,847,582.74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8,865,766.68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9,074,136.72</w:t>
            </w:r>
          </w:p>
        </w:tc>
      </w:tr>
    </w:tbl>
    <w:p>
      <w:pPr>
        <w:pStyle w:val="20"/>
        <w:rPr>
          <w:rFonts w:hint="eastAsia"/>
        </w:rPr>
      </w:pPr>
      <w:r>
        <w:rPr>
          <w:rFonts w:hint="eastAsia"/>
        </w:rPr>
        <w:t>注：1.报告截止日2018年12月31日，基金份额总额11,713,349.42份，其中下属A类基金份额5,169,877.61份，C类基金份额6,543,471.81份。下属A类基金份额净值0.7576元，C类基金份额净值0.7563元。</w:t>
      </w:r>
      <w:r>
        <w:rPr>
          <w:rFonts w:hint="eastAsia"/>
        </w:rPr>
        <w:br w:type="textWrapping"/>
      </w:r>
      <w:r>
        <w:rPr>
          <w:rFonts w:hint="eastAsia"/>
        </w:rPr>
        <w:t>2.本财务报表的实际报告期间为2018年2月7日(基金合同生效日)至2018年12月31日。截至报告期末本基金合同生效未满1年，本报告期的财务报表及报表附注均无同期对比数据。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14"/>
        <w:rPr>
          <w:rFonts w:hint="eastAsia"/>
        </w:rPr>
      </w:pPr>
      <w:bookmarkStart w:id="32" w:name="_Toc4173727"/>
      <w:r>
        <w:rPr>
          <w:rFonts w:hint="eastAsia"/>
          <w:b/>
          <w:bCs/>
        </w:rPr>
        <w:t>7.2 利润表</w:t>
      </w:r>
      <w:bookmarkEnd w:id="32"/>
    </w:p>
    <w:p>
      <w:pPr>
        <w:pStyle w:val="17"/>
        <w:rPr>
          <w:rFonts w:hint="eastAsia"/>
        </w:rPr>
      </w:pPr>
      <w:r>
        <w:rPr>
          <w:rFonts w:hint="eastAsia"/>
        </w:rPr>
        <w:t>会计主体：创金合信国证2000指数发起式证券投资基金</w:t>
      </w:r>
    </w:p>
    <w:p>
      <w:pPr>
        <w:pStyle w:val="17"/>
        <w:rPr>
          <w:rFonts w:hint="eastAsia"/>
        </w:rPr>
      </w:pPr>
      <w:r>
        <w:rPr>
          <w:rFonts w:hint="eastAsia"/>
        </w:rPr>
        <w:t>本报告期：2018年02月07日（基金合同生效日）至2018年12月31日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4166"/>
        <w:gridCol w:w="1912"/>
        <w:gridCol w:w="3042"/>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本期2018年02月07日（基金合同生效日）至2018年12月31日 </w:t>
            </w:r>
          </w:p>
        </w:tc>
      </w:tr>
      <w:tr>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-2,468,690.07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15,104.88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5,296.57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9,808.31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-1,433,370.56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-1,519,932.12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-234.99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86,796.55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-1,060,203.57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9,779.18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254,449.73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45,662.83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9,132.52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9,630.85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45,162.42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144,861.11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-2,723,139.80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-2,723,139.80</w:t>
            </w:r>
          </w:p>
        </w:tc>
      </w:tr>
    </w:tbl>
    <w:p>
      <w:pPr>
        <w:pStyle w:val="20"/>
        <w:rPr>
          <w:rFonts w:hint="eastAsia"/>
        </w:rPr>
      </w:pPr>
      <w:r>
        <w:rPr>
          <w:rFonts w:hint="eastAsia"/>
        </w:rPr>
        <w:t>注：本财务报表的实际报告期间为2018年2月7日(基金合同生效日)至2018年12月31日。截至报告期末本基金合同生效未满1年，本报告期的财务报表及报表附注均无同期对比数据。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14"/>
        <w:rPr>
          <w:rFonts w:hint="eastAsia"/>
        </w:rPr>
      </w:pPr>
      <w:bookmarkStart w:id="33" w:name="_Toc4173728"/>
      <w:r>
        <w:rPr>
          <w:rFonts w:hint="eastAsia"/>
          <w:b/>
          <w:bCs/>
        </w:rPr>
        <w:t>7.3 所有者权益（基金净值）变动表</w:t>
      </w:r>
      <w:bookmarkEnd w:id="33"/>
    </w:p>
    <w:p>
      <w:pPr>
        <w:pStyle w:val="17"/>
        <w:rPr>
          <w:rFonts w:hint="eastAsia"/>
        </w:rPr>
      </w:pPr>
      <w:r>
        <w:rPr>
          <w:rFonts w:hint="eastAsia"/>
        </w:rPr>
        <w:t>会计主体：创金合信国证2000指数发起式证券投资基金</w:t>
      </w:r>
    </w:p>
    <w:p>
      <w:pPr>
        <w:pStyle w:val="17"/>
        <w:rPr>
          <w:rFonts w:hint="eastAsia"/>
        </w:rPr>
      </w:pPr>
      <w:r>
        <w:rPr>
          <w:rFonts w:hint="eastAsia"/>
        </w:rPr>
        <w:t>本报告期：2018年02月07日（基金合同生效日）至2018年12月31日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10,057,640.00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10,057,640.00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-2,723,139.80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-2,723,139.80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1,655,709.42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-124,442.94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1,531,266.48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4,989,839.27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-422,905.41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4,566,933.86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-3,334,129.85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298,462.47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-3,035,667.38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11,713,349.42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-2,847,582.74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8,865,766.68</w:t>
            </w:r>
          </w:p>
        </w:tc>
      </w:tr>
    </w:tbl>
    <w:p>
      <w:pPr>
        <w:pStyle w:val="20"/>
        <w:rPr>
          <w:rFonts w:hint="eastAsia"/>
        </w:rPr>
      </w:pPr>
      <w:r>
        <w:rPr>
          <w:rFonts w:hint="eastAsia"/>
        </w:rPr>
        <w:t>注：本财务报表的实际报告期间为2018年2月7日(基金合同生效日)至2018年12月31日。截至报告期末本基金合同生效未满1年，本报告期的财务报表及报表附注均无同期对比数据。</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4173729"/>
      <w:r>
        <w:rPr>
          <w:rFonts w:hint="eastAsia"/>
          <w:b/>
          <w:bCs/>
        </w:rPr>
        <w:t>7.4 报表附注</w:t>
      </w:r>
      <w:bookmarkEnd w:id="34"/>
    </w:p>
    <w:p>
      <w:pPr>
        <w:pStyle w:val="15"/>
        <w:rPr>
          <w:rFonts w:hint="eastAsia"/>
        </w:rPr>
      </w:pPr>
      <w:r>
        <w:rPr>
          <w:rFonts w:hint="eastAsia"/>
          <w:b/>
          <w:bCs/>
        </w:rPr>
        <w:t>7.4.1 基金基本情况</w:t>
      </w:r>
    </w:p>
    <w:p>
      <w:pPr>
        <w:pStyle w:val="20"/>
        <w:spacing w:before="0"/>
        <w:ind w:left="0" w:firstLine="480"/>
        <w:rPr>
          <w:rFonts w:hint="eastAsia"/>
        </w:rPr>
      </w:pPr>
      <w:r>
        <w:rPr>
          <w:rFonts w:hint="eastAsia"/>
        </w:rPr>
        <w:t>创金合信国证2000指数发起式证券投资基金(以下简称"本基金")经中国证券监督管理委员会(以下简称"中国证监会")证监许可[2017]2452号《关于准予创金合信国证2000指数发起式证券投资基金注册的批复》核准，由创金合信基金管理有限公司依照《中华人民共和国证券投资基金法》和《创金合信国证2000指数发起式证券投资基金基金合同》负责公开募集。本基金为契约型开放式，存续期限不定，首次设立募集不包括认购资金利息共募集人民币10,057,233.57元，业经普华永道中天会计师事务所(特殊普通合伙)普华永道中天验字(2018)第0028号验资报告予以验证。经向中国证监会备案，《创金合信国证2000指数发起式证券投资基金基金合同》于2018年2月7日正式生效，基金合同生效日的基金份额总额为10,057,640.00份基金份额，其中认购资金利息折合406.43份基金份额。本基金的基金管理人为创金合信基金管理有限公司，基金托管人为招商银行股份有限公司(以下简称"招商银行")。</w:t>
      </w:r>
    </w:p>
    <w:p>
      <w:pPr>
        <w:pStyle w:val="20"/>
        <w:spacing w:before="0"/>
        <w:ind w:left="0" w:firstLine="480"/>
        <w:rPr>
          <w:rFonts w:hint="eastAsia"/>
        </w:rPr>
      </w:pPr>
      <w:r>
        <w:rPr>
          <w:rFonts w:hint="eastAsia"/>
        </w:rPr>
        <w:t>本基金为发起式基金，发起资金认购部分为10,000,400.04份基金份额，发起资金认购方承诺使用发起资金认购的基金份额持有期限不少于3年。</w:t>
      </w:r>
    </w:p>
    <w:p>
      <w:pPr>
        <w:pStyle w:val="20"/>
        <w:spacing w:before="0"/>
        <w:ind w:left="0" w:firstLine="480"/>
        <w:rPr>
          <w:rFonts w:hint="eastAsia"/>
        </w:rPr>
      </w:pPr>
      <w:r>
        <w:rPr>
          <w:rFonts w:hint="eastAsia"/>
        </w:rPr>
        <w:t>根据《创金合信国证2000指数发起式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0"/>
        <w:spacing w:before="0"/>
        <w:ind w:left="0" w:firstLine="480"/>
        <w:rPr>
          <w:rFonts w:hint="eastAsia"/>
        </w:rPr>
      </w:pPr>
      <w:r>
        <w:rPr>
          <w:rFonts w:hint="eastAsia"/>
        </w:rPr>
        <w:t>根据《中华人民共和国证券投资基金法》和《创金合信国证2000指数发起式证券投资基金基金合同》的有关规定，本基金主要投资于标的指数成分股及其备选成分股。为更好地实现投资目标，本基金还可投资于非成分股(包括主板、中小板、创业板及其他经中国证监会允许基金投资的股票)、货币市场工具、金融衍生品(包括权证、股指期货、股票期权)以及法律法规或中国证监会允许基金投资的其他金融工具(但需符合中国证监会的相关规定)。本基金的业绩比较基准为：国证2000指数收益率×95% + 银行人民币活期存款利率（税后）×5%</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国证2000指数发起式证券投资基金基金合同》和在财务报表附注7.4.4所列示的中国证监会、中国基金业协会发布的有关规定及允许的基金行业实务操作编制。</w:t>
      </w:r>
    </w:p>
    <w:p>
      <w:pPr>
        <w:pStyle w:val="20"/>
        <w:spacing w:before="0"/>
        <w:ind w:left="0" w:firstLine="480"/>
        <w:rPr>
          <w:rFonts w:hint="eastAsia"/>
        </w:rPr>
      </w:pPr>
      <w:r>
        <w:rPr>
          <w:rFonts w:hint="eastAsia"/>
        </w:rPr>
        <w:t>本财务报表以持续经营为基础编制。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spacing w:before="0"/>
        <w:ind w:left="0" w:firstLine="480"/>
        <w:rPr>
          <w:rFonts w:hint="eastAsia"/>
        </w:rPr>
      </w:pPr>
      <w:r>
        <w:rPr>
          <w:rFonts w:hint="eastAsia"/>
        </w:rPr>
        <w:t>本基金2018年2月7日(基金合同生效日)至2018年12月31日止期间的财务报表符合企业会计准则的要求，真实、完整地反映了本基金2018年12月31日的财务状况以及2018年2月7日(基金合同生效日)至2018年12月31日止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pStyle w:val="15"/>
        <w:rPr>
          <w:rFonts w:hint="eastAsia"/>
        </w:rPr>
      </w:pPr>
      <w:r>
        <w:rPr>
          <w:rFonts w:hint="eastAsia"/>
          <w:b/>
          <w:bCs/>
        </w:rPr>
        <w:t>7.4.4.1 会计年度</w:t>
      </w:r>
    </w:p>
    <w:p>
      <w:pPr>
        <w:pStyle w:val="20"/>
        <w:spacing w:before="0"/>
        <w:ind w:left="0" w:firstLine="480"/>
        <w:rPr>
          <w:rFonts w:hint="eastAsia"/>
        </w:rPr>
      </w:pPr>
      <w:r>
        <w:rPr>
          <w:rFonts w:hint="eastAsia"/>
        </w:rPr>
        <w:t>本基金会计年度为公历1月1日起至12月31日止。本期财务报表的实际编制期间为2018年2月7日（基金合同生效日）至2018年12月31日。</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spacing w:before="0"/>
        <w:ind w:left="0" w:firstLine="480"/>
        <w:rPr>
          <w:rFonts w:hint="eastAsia"/>
        </w:rPr>
      </w:pPr>
      <w:r>
        <w:rPr>
          <w:rFonts w:hint="eastAsia"/>
        </w:rPr>
        <w:t>(1) 金融资产的分类</w:t>
      </w:r>
    </w:p>
    <w:p>
      <w:pPr>
        <w:pStyle w:val="20"/>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0"/>
        <w:spacing w:before="0"/>
        <w:ind w:left="0" w:firstLine="480"/>
        <w:rPr>
          <w:rFonts w:hint="eastAsia"/>
        </w:rPr>
      </w:pPr>
      <w:r>
        <w:rPr>
          <w:rFonts w:hint="eastAsia"/>
        </w:rPr>
        <w:t>本基金目前以交易目的持有的股票投资、债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0"/>
        <w:spacing w:before="0"/>
        <w:ind w:left="0" w:firstLine="480"/>
        <w:rPr>
          <w:rFonts w:hint="eastAsia"/>
        </w:rPr>
      </w:pPr>
      <w:r>
        <w:rPr>
          <w:rFonts w:hint="eastAsia"/>
        </w:rPr>
        <w:t>本基金持有的其他金融资产分类为应收款项，包括银行存款和其他各类应收款项等。应收款项是指在活跃市场中没有报价、回收金额固定或可确定的非衍生金融资产。</w:t>
      </w:r>
    </w:p>
    <w:p>
      <w:pPr>
        <w:pStyle w:val="20"/>
        <w:spacing w:before="0"/>
        <w:ind w:left="0" w:firstLine="480"/>
        <w:rPr>
          <w:rFonts w:hint="eastAsia"/>
        </w:rPr>
      </w:pPr>
      <w:r>
        <w:rPr>
          <w:rFonts w:hint="eastAsia"/>
        </w:rPr>
        <w:t>(2) 金融负债的分类</w:t>
      </w:r>
    </w:p>
    <w:p>
      <w:pPr>
        <w:pStyle w:val="20"/>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pStyle w:val="20"/>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0"/>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0"/>
        <w:spacing w:before="0"/>
        <w:ind w:left="0" w:firstLine="480"/>
        <w:rPr>
          <w:rFonts w:hint="eastAsia"/>
        </w:rPr>
      </w:pPr>
      <w:r>
        <w:rPr>
          <w:rFonts w:hint="eastAsia"/>
        </w:rPr>
        <w:t>金融资产终止确认时，其账面价值与收到的对价的差额，计入当期损益。</w:t>
      </w:r>
    </w:p>
    <w:p>
      <w:pPr>
        <w:pStyle w:val="20"/>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spacing w:before="0"/>
        <w:ind w:left="0" w:firstLine="480"/>
        <w:rPr>
          <w:rFonts w:hint="eastAsia"/>
        </w:rPr>
      </w:pPr>
      <w:r>
        <w:rPr>
          <w:rFonts w:hint="eastAsia"/>
        </w:rPr>
        <w:t>本基金持有的股票投资、债券投资和衍生工具按如下原则确定公允价值并进行估值：</w:t>
      </w:r>
    </w:p>
    <w:p>
      <w:pPr>
        <w:pStyle w:val="20"/>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0"/>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0"/>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w:t>
      </w:r>
    </w:p>
    <w:p>
      <w:pPr>
        <w:pStyle w:val="20"/>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0"/>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0"/>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spacing w:before="0"/>
        <w:ind w:left="0" w:firstLine="480"/>
        <w:rPr>
          <w:rFonts w:hint="eastAsia"/>
        </w:rPr>
      </w:pPr>
      <w:r>
        <w:rPr>
          <w:rFonts w:hint="eastAsia"/>
        </w:rPr>
        <w:t>本基金的收益分配政策为：(1) 在符合有关基金分红条件的前提下，本基金每年收益分配次数最多为12次，每份基金份额每次收益分配比例不得低于收益分配基准日每份基金份额该次可供分配利润的10%，若《基金合同》生效不满3个月可不进行收益分配；(2) 本基金收益分配方式分两种：现金分红与红利再投资，投资者可选择现金红利或将现金红利自动转为该类别基金份额进行再投资；若投资者不选择，本基金默认的收益分配方式是现金分红；(3) 基金收益分配后基金份额净值不能低于面值，即基金收益分配基准日的基金份额净值减去每单位基金份额收益分配金额后不能低于面值；(4) 同一类别的每一基金份额享有同等分配权。由于本基金A类基金份额与C类基金份额的基金费用不同，不同类别的基金份额对应的可供分配利润或将不同；(5) 在对基金份额持有人利益无实质不利影响的前提下，基金管理人与基金托管人协商一致后，可调整基金收益的分配原则和支付方式，不需召开基金份额持有人大会审议；(6) 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0"/>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0"/>
        <w:spacing w:before="0"/>
        <w:ind w:left="0" w:firstLine="480"/>
        <w:rPr>
          <w:rFonts w:hint="eastAsia"/>
        </w:rPr>
      </w:pPr>
      <w:r>
        <w:rPr>
          <w:rFonts w:hint="eastAsia"/>
        </w:rPr>
        <w:t>(1)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pStyle w:val="20"/>
        <w:spacing w:before="0"/>
        <w:ind w:left="0" w:firstLine="480"/>
        <w:rPr>
          <w:rFonts w:hint="eastAsia"/>
        </w:rPr>
      </w:pPr>
      <w:r>
        <w:rPr>
          <w:rFonts w:hint="eastAsia"/>
        </w:rPr>
        <w:t>(2)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0"/>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w:t>
      </w:r>
    </w:p>
    <w:p>
      <w:pPr>
        <w:pStyle w:val="20"/>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产生的利息及利息性质的收入为销售额。</w:t>
      </w:r>
    </w:p>
    <w:p>
      <w:pPr>
        <w:pStyle w:val="20"/>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20"/>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0"/>
        <w:spacing w:before="0"/>
        <w:ind w:left="0" w:firstLine="480"/>
        <w:rPr>
          <w:rFonts w:hint="eastAsia"/>
        </w:rPr>
      </w:pPr>
      <w:r>
        <w:rPr>
          <w:rFonts w:hint="eastAsia"/>
        </w:rPr>
        <w:t>(4) 基金卖出股票按0.1%的税率缴纳股票交易印花税，买入股票不征收股票交易印花税。</w:t>
      </w:r>
    </w:p>
    <w:p>
      <w:pPr>
        <w:pStyle w:val="20"/>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5970"/>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296,036.24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296,036.24</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9,460,568.46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8,400,001.40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-1,060,567.06</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300,956.51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363.49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300,956.51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363.49</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9,761,524.97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8,701,321.40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-1,060,203.57</w:t>
            </w:r>
          </w:p>
        </w:tc>
      </w:tr>
    </w:tbl>
    <w:p>
      <w:pPr>
        <w:widowControl/>
        <w:jc w:val="left"/>
        <w:rPr>
          <w:rFonts w:hint="eastAsia" w:ascii="宋体" w:hAnsi="宋体" w:cs="宋体"/>
          <w:kern w:val="0"/>
          <w:sz w:val="24"/>
          <w:szCs w:val="24"/>
        </w:rPr>
      </w:pPr>
    </w:p>
    <w:p>
      <w:pPr>
        <w:pStyle w:val="15"/>
        <w:rPr>
          <w:rFonts w:hint="eastAsia"/>
        </w:rPr>
      </w:pPr>
      <w:r>
        <w:rPr>
          <w:rFonts w:hint="eastAsia"/>
          <w:b/>
          <w:bCs/>
        </w:rPr>
        <w:t>7.4.7.3 衍生金融资产/负债</w:t>
      </w:r>
    </w:p>
    <w:p>
      <w:pPr>
        <w:pStyle w:val="20"/>
        <w:rPr>
          <w:rFonts w:hint="eastAsia"/>
        </w:rPr>
      </w:pPr>
      <w:r>
        <w:rPr>
          <w:rFonts w:hint="eastAsia"/>
        </w:rPr>
        <w:t>本基金本报告期末未持有衍生金融资产/负债。</w:t>
      </w:r>
    </w:p>
    <w:p>
      <w:pPr>
        <w:widowControl/>
        <w:jc w:val="left"/>
        <w:rPr>
          <w:rFonts w:hint="eastAsia" w:ascii="宋体" w:hAnsi="宋体" w:cs="宋体"/>
          <w:kern w:val="0"/>
          <w:sz w:val="24"/>
          <w:szCs w:val="24"/>
        </w:rPr>
      </w:pP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本基金本报告期末未持有买入返售金融资产。</w:t>
      </w:r>
    </w:p>
    <w:p>
      <w:pPr>
        <w:widowControl/>
        <w:jc w:val="left"/>
        <w:rPr>
          <w:rFonts w:hint="eastAsia" w:ascii="宋体" w:hAnsi="宋体" w:cs="宋体"/>
          <w:kern w:val="0"/>
          <w:sz w:val="24"/>
          <w:szCs w:val="24"/>
        </w:rPr>
      </w:pP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本基金本报告期末未持有买断式逆回购交易中取得的债券。</w:t>
      </w:r>
    </w:p>
    <w:p>
      <w:pPr>
        <w:widowControl/>
        <w:jc w:val="left"/>
        <w:rPr>
          <w:rFonts w:hint="eastAsia" w:ascii="宋体" w:hAnsi="宋体" w:cs="宋体"/>
          <w:kern w:val="0"/>
          <w:sz w:val="24"/>
          <w:szCs w:val="24"/>
        </w:rPr>
      </w:pP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8,388.49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8,453.77</w:t>
            </w:r>
          </w:p>
        </w:tc>
      </w:tr>
    </w:tbl>
    <w:p>
      <w:pPr>
        <w:widowControl/>
        <w:jc w:val="left"/>
        <w:rPr>
          <w:rFonts w:hint="eastAsia"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本基金本报告期末未持有其他资产。</w:t>
      </w:r>
    </w:p>
    <w:p>
      <w:pPr>
        <w:widowControl/>
        <w:jc w:val="left"/>
        <w:rPr>
          <w:rFonts w:hint="eastAsia" w:ascii="宋体" w:hAnsi="宋体" w:cs="宋体"/>
          <w:kern w:val="0"/>
          <w:sz w:val="24"/>
          <w:szCs w:val="24"/>
        </w:rPr>
      </w:pP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579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3,261.66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3,261.66</w:t>
            </w:r>
          </w:p>
        </w:tc>
      </w:tr>
    </w:tbl>
    <w:p>
      <w:pPr>
        <w:widowControl/>
        <w:jc w:val="left"/>
        <w:rPr>
          <w:rFonts w:hint="eastAsia" w:ascii="宋体" w:hAnsi="宋体" w:cs="宋体"/>
          <w:kern w:val="0"/>
          <w:sz w:val="24"/>
          <w:szCs w:val="24"/>
        </w:rPr>
      </w:pP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123,000.01</w:t>
            </w:r>
          </w:p>
        </w:tc>
      </w:tr>
    </w:tbl>
    <w:p>
      <w:pPr>
        <w:widowControl/>
        <w:jc w:val="left"/>
        <w:rPr>
          <w:rFonts w:hint="eastAsia" w:ascii="宋体" w:hAnsi="宋体" w:cs="宋体"/>
          <w:kern w:val="0"/>
          <w:sz w:val="24"/>
          <w:szCs w:val="24"/>
        </w:rPr>
      </w:pP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创金合信国证2000指数A</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(创金合信国证2000指数A)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本期2018年02月07日</w:t>
            </w:r>
            <w:r>
              <w:rPr>
                <w:rStyle w:val="27"/>
                <w:rFonts w:hint="eastAsia"/>
              </w:rPr>
              <w:t>（基金合同生效日）</w:t>
            </w:r>
            <w:r>
              <w:rPr>
                <w:rFonts w:hint="eastAsia"/>
              </w:rPr>
              <w:t>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5,020,388.67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5,020,388.67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862,665.46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862,665.46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-713,176.52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-713,176.52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5,169,877.61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5,169,877.61</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创金合信国证2000指数C</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(创金合信国证2000指数C)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本期2018年02月07日</w:t>
            </w:r>
            <w:r>
              <w:rPr>
                <w:rStyle w:val="27"/>
                <w:rFonts w:hint="eastAsia"/>
              </w:rPr>
              <w:t>（基金合同生效日）</w:t>
            </w:r>
            <w:r>
              <w:rPr>
                <w:rFonts w:hint="eastAsia"/>
              </w:rPr>
              <w:t>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5,037,251.33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5,037,251.33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4,127,173.81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4,127,173.81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-2,620,953.33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-2,620,953.33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6,543,471.81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6,543,471.81</w:t>
            </w:r>
          </w:p>
        </w:tc>
      </w:tr>
    </w:tbl>
    <w:p>
      <w:pPr>
        <w:pStyle w:val="20"/>
        <w:rPr>
          <w:rFonts w:hint="eastAsia"/>
        </w:rPr>
      </w:pPr>
      <w:r>
        <w:rPr>
          <w:rFonts w:hint="eastAsia"/>
        </w:rPr>
        <w:t>注：1.申购含红利再投、转换入份(金)额；赎回含转换出份(金)额。</w:t>
      </w:r>
      <w:r>
        <w:rPr>
          <w:rFonts w:hint="eastAsia"/>
        </w:rPr>
        <w:br w:type="textWrapping"/>
      </w:r>
      <w:r>
        <w:rPr>
          <w:rFonts w:hint="eastAsia"/>
        </w:rPr>
        <w:t>2.本基金自2018年1月9日至2018年1月31日止期间公开发售，共募集有效净认购资金10,057,233.57元，其中A类基金募集有效净认购资金为5,020,183.46元，C类基金募集有效净认购资金为5,037,050.11元。根据《创金合信国证2000指数发起式证券投资基金招募说明书》的规定，本基金设立募集期内认购资金产生的利息收入406.43元，在本基金成立后，折算为406.43的基金份额，划入基金份额持有人账户。</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创金合信国证2000指数A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(创金合信国证2000指数A)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-745,758.60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-542,304.10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-1,288,062.70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34,645.54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34,877.26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-7,240.67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42,051.19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34,810.52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7,472.39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-7,405.65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66.74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-745,526.88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-507,658.56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-1,253,185.44</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创金合信国证2000指数C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(创金合信国证2000指数C)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-917,177.63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-517,899.47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-1,435,077.10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-35,621.00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-123,699.20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-159,320.20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-208,914.39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-248,801.54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-457,715.93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173,293.39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125,102.34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298,395.73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-952,798.63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-641,598.67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-1,594,397.30</w:t>
            </w:r>
          </w:p>
        </w:tc>
      </w:tr>
    </w:tbl>
    <w:p>
      <w:pPr>
        <w:widowControl/>
        <w:jc w:val="left"/>
        <w:rPr>
          <w:rFonts w:hint="eastAsia" w:ascii="宋体" w:hAnsi="宋体" w:cs="宋体"/>
          <w:kern w:val="0"/>
          <w:sz w:val="24"/>
          <w:szCs w:val="24"/>
        </w:rPr>
      </w:pP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4,855.12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411.40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5,296.57</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16,635,142.09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18,155,074.21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-1,519,932.12</w:t>
            </w:r>
          </w:p>
        </w:tc>
      </w:tr>
    </w:tbl>
    <w:p>
      <w:pPr>
        <w:widowControl/>
        <w:jc w:val="left"/>
        <w:rPr>
          <w:rFonts w:hint="eastAsia" w:ascii="宋体" w:hAnsi="宋体" w:cs="宋体"/>
          <w:kern w:val="0"/>
          <w:sz w:val="24"/>
          <w:szCs w:val="24"/>
        </w:rPr>
      </w:pP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587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-234.99</w:t>
            </w:r>
          </w:p>
        </w:tc>
      </w:tr>
    </w:tbl>
    <w:p>
      <w:pPr>
        <w:widowControl/>
        <w:jc w:val="left"/>
        <w:rPr>
          <w:rFonts w:hint="eastAsia" w:ascii="宋体" w:hAnsi="宋体" w:cs="宋体"/>
          <w:kern w:val="0"/>
          <w:sz w:val="24"/>
          <w:szCs w:val="24"/>
        </w:rPr>
      </w:pP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61"/>
        <w:gridCol w:w="6784"/>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235,556.97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231,014.49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4,777.47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-234.99</w:t>
            </w:r>
          </w:p>
        </w:tc>
      </w:tr>
    </w:tbl>
    <w:p>
      <w:pPr>
        <w:widowControl/>
        <w:jc w:val="left"/>
        <w:rPr>
          <w:rFonts w:hint="eastAsia" w:ascii="宋体" w:hAnsi="宋体" w:cs="宋体"/>
          <w:kern w:val="0"/>
          <w:sz w:val="24"/>
          <w:szCs w:val="24"/>
        </w:rPr>
      </w:pPr>
    </w:p>
    <w:p>
      <w:pPr>
        <w:pStyle w:val="15"/>
        <w:rPr>
          <w:rFonts w:hint="eastAsia"/>
        </w:rPr>
      </w:pPr>
      <w:r>
        <w:rPr>
          <w:rFonts w:hint="eastAsia"/>
          <w:b/>
          <w:bCs/>
        </w:rPr>
        <w:t>7.4.7.14 衍生工具收益</w:t>
      </w:r>
    </w:p>
    <w:p>
      <w:pPr>
        <w:pStyle w:val="20"/>
        <w:rPr>
          <w:rFonts w:hint="eastAsia"/>
        </w:rPr>
      </w:pPr>
      <w:r>
        <w:rPr>
          <w:rFonts w:hint="eastAsia"/>
        </w:rPr>
        <w:t>本基金本报告期无衍生工具收益。</w:t>
      </w:r>
    </w:p>
    <w:p>
      <w:pPr>
        <w:widowControl/>
        <w:jc w:val="left"/>
        <w:rPr>
          <w:rFonts w:hint="eastAsia" w:ascii="宋体" w:hAnsi="宋体" w:cs="宋体"/>
          <w:kern w:val="0"/>
          <w:sz w:val="24"/>
          <w:szCs w:val="24"/>
        </w:rPr>
      </w:pP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86,796.55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86,796.55</w:t>
            </w:r>
          </w:p>
        </w:tc>
      </w:tr>
    </w:tbl>
    <w:p>
      <w:pPr>
        <w:widowControl/>
        <w:jc w:val="left"/>
        <w:rPr>
          <w:rFonts w:hint="eastAsia" w:ascii="宋体" w:hAnsi="宋体" w:cs="宋体"/>
          <w:kern w:val="0"/>
          <w:sz w:val="24"/>
          <w:szCs w:val="24"/>
        </w:rPr>
      </w:pP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-1,060,203.57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-1,060,567.06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-1,060,203.57</w:t>
            </w:r>
          </w:p>
        </w:tc>
      </w:tr>
    </w:tbl>
    <w:p>
      <w:pPr>
        <w:widowControl/>
        <w:jc w:val="left"/>
        <w:rPr>
          <w:rFonts w:hint="eastAsia" w:ascii="宋体" w:hAnsi="宋体" w:cs="宋体"/>
          <w:kern w:val="0"/>
          <w:sz w:val="24"/>
          <w:szCs w:val="24"/>
        </w:rPr>
      </w:pP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9,779.18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9,779.18</w:t>
            </w:r>
          </w:p>
        </w:tc>
      </w:tr>
    </w:tbl>
    <w:p>
      <w:pPr>
        <w:widowControl/>
        <w:jc w:val="left"/>
        <w:rPr>
          <w:rFonts w:hint="eastAsia" w:ascii="宋体" w:hAnsi="宋体" w:cs="宋体"/>
          <w:kern w:val="0"/>
          <w:sz w:val="24"/>
          <w:szCs w:val="24"/>
        </w:rPr>
      </w:pP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45,162.42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45,162.42</w:t>
            </w:r>
          </w:p>
        </w:tc>
      </w:tr>
    </w:tbl>
    <w:p>
      <w:pPr>
        <w:widowControl/>
        <w:jc w:val="left"/>
        <w:rPr>
          <w:rFonts w:hint="eastAsia" w:ascii="宋体" w:hAnsi="宋体" w:cs="宋体"/>
          <w:kern w:val="0"/>
          <w:sz w:val="24"/>
          <w:szCs w:val="24"/>
        </w:rPr>
      </w:pP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指数使用费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28,711.11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144,861.11</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15"/>
        <w:rPr>
          <w:b/>
          <w:bCs/>
        </w:rPr>
      </w:pPr>
      <w:r>
        <w:rPr>
          <w:rFonts w:hint="eastAsia"/>
          <w:b/>
          <w:bCs/>
        </w:rPr>
        <w:t>7.4.9 关联方关系</w:t>
      </w:r>
    </w:p>
    <w:p>
      <w:pPr>
        <w:pStyle w:val="15"/>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5"/>
        <w:ind w:firstLine="480" w:firstLineChars="200"/>
      </w:pPr>
      <w:r>
        <w:rPr>
          <w:rFonts w:hint="eastAsia"/>
        </w:rPr>
        <w:t>本报告期不存在重大关联方发生变化的情况。</w:t>
      </w:r>
    </w:p>
    <w:p>
      <w:pPr>
        <w:pStyle w:val="15"/>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pStyle w:val="20"/>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本期（基金合同生效日）</w:t>
            </w:r>
            <w:r>
              <w:rPr>
                <w:rFonts w:hint="eastAsia"/>
              </w:rPr>
              <w:br w:type="textWrapping"/>
            </w:r>
            <w:r>
              <w:rPr>
                <w:rFonts w:hint="eastAsia"/>
              </w:rPr>
              <w:t>2018年02月07日至2018年12月31日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26,251,356.82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59.32%</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本基金于本报告期未通过关联方交易单元进行权证交易。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611,096.20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80.12%</w:t>
            </w:r>
          </w:p>
        </w:tc>
      </w:tr>
    </w:tbl>
    <w:p>
      <w:pPr>
        <w:widowControl/>
        <w:jc w:val="left"/>
        <w:rPr>
          <w:rFonts w:hint="eastAsia" w:ascii="宋体" w:hAnsi="宋体" w:cs="宋体"/>
          <w:kern w:val="0"/>
          <w:sz w:val="24"/>
          <w:szCs w:val="24"/>
        </w:rPr>
      </w:pPr>
    </w:p>
    <w:p>
      <w:pPr>
        <w:pStyle w:val="15"/>
        <w:rPr>
          <w:rFonts w:hint="eastAsia"/>
        </w:rPr>
      </w:pPr>
      <w:r>
        <w:rPr>
          <w:rFonts w:hint="eastAsia"/>
          <w:b/>
          <w:bCs/>
        </w:rPr>
        <w:t>7.4.10.1.4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本期（基金合同生效日）</w:t>
            </w:r>
            <w:r>
              <w:rPr>
                <w:rFonts w:hint="eastAsia"/>
              </w:rPr>
              <w:br w:type="textWrapping"/>
            </w:r>
            <w:r>
              <w:rPr>
                <w:rFonts w:hint="eastAsia"/>
              </w:rPr>
              <w:t>2018年02月07日至2018年12月31日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18,864.66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bl>
    <w:p>
      <w:pPr>
        <w:pStyle w:val="20"/>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45,662.83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1,782.70</w:t>
            </w:r>
          </w:p>
        </w:tc>
      </w:tr>
    </w:tbl>
    <w:p>
      <w:pPr>
        <w:pStyle w:val="20"/>
        <w:rPr>
          <w:rFonts w:hint="eastAsia"/>
        </w:rPr>
      </w:pPr>
      <w:r>
        <w:rPr>
          <w:rFonts w:hint="eastAsia"/>
        </w:rPr>
        <w:t>注：本基金的管理费按前一日基金资产净值的0.50%年费率计提。管理费的计算方法如下：</w:t>
      </w:r>
      <w:r>
        <w:rPr>
          <w:rFonts w:hint="eastAsia"/>
        </w:rPr>
        <w:br w:type="textWrapping"/>
      </w:r>
      <w:r>
        <w:rPr>
          <w:rFonts w:hint="eastAsia"/>
        </w:rPr>
        <w:t>H＝E×0.50%÷当年天数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5个工作日内从基金财产中一次性支付给基金管理人。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545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9,132.52</w:t>
            </w:r>
          </w:p>
        </w:tc>
      </w:tr>
    </w:tbl>
    <w:p>
      <w:pPr>
        <w:pStyle w:val="20"/>
        <w:rPr>
          <w:rFonts w:hint="eastAsia"/>
        </w:rPr>
      </w:pPr>
      <w:r>
        <w:rPr>
          <w:rFonts w:hint="eastAsia"/>
        </w:rPr>
        <w:t>注：本基金的托管费按前一日基金资产净值的0.10%的年费率计提。托管费的计算方法如下：</w:t>
      </w:r>
      <w:r>
        <w:rPr>
          <w:rFonts w:hint="eastAsia"/>
        </w:rPr>
        <w:br w:type="textWrapping"/>
      </w:r>
      <w:r>
        <w:rPr>
          <w:rFonts w:hint="eastAsia"/>
        </w:rPr>
        <w:t>H＝E×0.10%÷当年天数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357"/>
        <w:gridCol w:w="3160"/>
        <w:gridCol w:w="3160"/>
        <w:gridCol w:w="1368"/>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创金合信国证2000指数A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创金合信国证2000指数C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8,269.67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8,269.67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8,269.67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8,269.67</w:t>
            </w:r>
          </w:p>
        </w:tc>
      </w:tr>
    </w:tbl>
    <w:p>
      <w:pPr>
        <w:pStyle w:val="20"/>
        <w:rPr>
          <w:rFonts w:hint="eastAsia"/>
        </w:rPr>
      </w:pPr>
      <w:r>
        <w:rPr>
          <w:rFonts w:hint="eastAsia"/>
        </w:rPr>
        <w:t>本基金A类基金份额不收取销售服务费，仅就C类基金份额收取销售服务费。本基金C类基金份额的销售服务费按前一日该类基金份额基金资产净值的0.20%的年费率计提。销售服务费的计算方法如下：</w:t>
      </w:r>
      <w:r>
        <w:rPr>
          <w:rFonts w:hint="eastAsia"/>
        </w:rPr>
        <w:br w:type="textWrapping"/>
      </w:r>
      <w:r>
        <w:rPr>
          <w:rFonts w:hint="eastAsia"/>
        </w:rPr>
        <w:t>H＝E×0.20%÷当年天数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算，逐日累计至每月月末，按月支付。经基金管理人与基金托管人双方核对无误后，基金托管人按照与基金管理人协商一致的方式于次月前5个工作日内从基金财产中一次性支付，由登记机构代收，登记机构收到后按相关合同规定支付给基金销售机构等。若遇法定节假日、公休日等，支付日期顺延。</w:t>
      </w:r>
      <w:r>
        <w:rPr>
          <w:rFonts w:hint="eastAsia"/>
        </w:rPr>
        <w:br w:type="textWrapping"/>
      </w:r>
      <w:r>
        <w:rPr>
          <w:rFonts w:hint="eastAsia"/>
        </w:rPr>
        <w:t>销售服务费可用于本基金市场推广、销售以及基金份额持有人服务等各项费用。</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本基金本报告期内未发生与关联方进行银行间同业市场的债券(含回购)交易。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17"/>
        <w:rPr>
          <w:rFonts w:hint="eastAsia"/>
        </w:rPr>
      </w:pPr>
      <w:r>
        <w:rPr>
          <w:rFonts w:hint="eastAsia" w:hAnsi="Calibri"/>
          <w:color w:val="000000"/>
        </w:rPr>
        <w:t>创金合信国证2000指数A</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基金合同生效日（2018年02月07日）持有的基金份额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5,000,200.04</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5,000,200.04</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96.72%</w:t>
            </w:r>
          </w:p>
        </w:tc>
      </w:tr>
    </w:tbl>
    <w:p>
      <w:pPr>
        <w:pStyle w:val="17"/>
        <w:rPr>
          <w:rFonts w:hint="eastAsia"/>
        </w:rPr>
      </w:pPr>
      <w:r>
        <w:rPr>
          <w:rFonts w:hint="eastAsia" w:hAnsi="Calibri"/>
          <w:color w:val="000000"/>
        </w:rPr>
        <w:t>创金合信国证2000指数C</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基金合同生效日（2018年02月07日）持有的基金份额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76.42%</w:t>
            </w:r>
          </w:p>
        </w:tc>
      </w:tr>
    </w:tbl>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本报告期末无除基金管理人之外的其他关联方投资本基金的情况。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6"/>
        <w:gridCol w:w="3589"/>
        <w:gridCol w:w="4190"/>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296,036.24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4,855.12</w:t>
            </w:r>
          </w:p>
        </w:tc>
      </w:tr>
    </w:tbl>
    <w:p>
      <w:pPr>
        <w:pStyle w:val="20"/>
        <w:rPr>
          <w:rFonts w:hint="eastAsia"/>
        </w:rPr>
      </w:pPr>
      <w:r>
        <w:rPr>
          <w:rFonts w:hint="eastAsia"/>
        </w:rPr>
        <w:t>注:本基金的银行存款由基金托管人招商银行保管，按银行同业存款利率计息。</w:t>
      </w:r>
    </w:p>
    <w:p>
      <w:pPr>
        <w:widowControl/>
        <w:jc w:val="left"/>
        <w:rPr>
          <w:rFonts w:hint="eastAsia" w:ascii="宋体" w:hAnsi="宋体" w:cs="宋体"/>
          <w:kern w:val="0"/>
          <w:sz w:val="24"/>
          <w:szCs w:val="24"/>
        </w:rPr>
      </w:pP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本基金本报告期未发生在承销期内参与关联方承销证券的情况。</w:t>
      </w:r>
    </w:p>
    <w:p>
      <w:pPr>
        <w:widowControl/>
        <w:jc w:val="left"/>
        <w:rPr>
          <w:rFonts w:hint="eastAsia" w:ascii="宋体" w:hAnsi="宋体" w:cs="宋体"/>
          <w:kern w:val="0"/>
          <w:sz w:val="24"/>
          <w:szCs w:val="24"/>
        </w:rPr>
      </w:pPr>
    </w:p>
    <w:p>
      <w:pPr>
        <w:pStyle w:val="15"/>
        <w:rPr>
          <w:rFonts w:hint="eastAsia"/>
        </w:rPr>
      </w:pPr>
      <w:r>
        <w:rPr>
          <w:rFonts w:hint="eastAsia"/>
          <w:b/>
          <w:bCs/>
        </w:rPr>
        <w:t>7.4.10.7 其他关联交易事项的说明</w:t>
      </w:r>
    </w:p>
    <w:p>
      <w:pPr>
        <w:pStyle w:val="20"/>
        <w:spacing w:before="0"/>
        <w:ind w:left="0" w:firstLine="480"/>
        <w:rPr>
          <w:rFonts w:hint="eastAsia"/>
        </w:rPr>
      </w:pPr>
      <w:r>
        <w:rPr>
          <w:rFonts w:hint="eastAsia"/>
        </w:rPr>
        <w:t>本基金本报告期无需作说明的其他关联交易事项。</w:t>
      </w:r>
    </w:p>
    <w:p>
      <w:pPr>
        <w:widowControl/>
        <w:jc w:val="left"/>
        <w:rPr>
          <w:rFonts w:hint="eastAsia" w:ascii="宋体" w:hAnsi="宋体" w:cs="宋体"/>
          <w:kern w:val="0"/>
          <w:sz w:val="24"/>
          <w:szCs w:val="24"/>
        </w:rPr>
      </w:pP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5"/>
        <w:rPr>
          <w:rFonts w:hint="eastAsia"/>
        </w:rPr>
      </w:pPr>
      <w:r>
        <w:rPr>
          <w:rFonts w:hint="eastAsia"/>
          <w:b/>
          <w:bCs/>
        </w:rPr>
        <w:t>7.4.12 期末（2018年12月31日）本基金持有的流通受限证券</w:t>
      </w:r>
    </w:p>
    <w:p>
      <w:pPr>
        <w:pStyle w:val="15"/>
        <w:rPr>
          <w:rFonts w:hint="eastAsia"/>
        </w:rPr>
      </w:pPr>
      <w:r>
        <w:rPr>
          <w:rFonts w:hint="eastAsia"/>
          <w:b/>
          <w:bCs/>
        </w:rPr>
        <w:t>7.4.12.1 因认购新发/增发证券而于期末持有的流通受限证券</w:t>
      </w:r>
    </w:p>
    <w:p>
      <w:pPr>
        <w:pStyle w:val="20"/>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15"/>
        <w:rPr>
          <w:rFonts w:hint="eastAsia"/>
        </w:rPr>
      </w:pPr>
      <w:r>
        <w:rPr>
          <w:rFonts w:hint="eastAsia"/>
          <w:b/>
          <w:bCs/>
        </w:rPr>
        <w:t>7.4.12.2 期末持有的暂时停牌等流通受限股票</w:t>
      </w:r>
    </w:p>
    <w:p>
      <w:pPr>
        <w:pStyle w:val="20"/>
        <w:rPr>
          <w:rFonts w:hint="eastAsia"/>
        </w:rPr>
      </w:pPr>
      <w:r>
        <w:rPr>
          <w:rFonts w:hint="eastAsia"/>
        </w:rPr>
        <w:t>本基金本报告期末未持有暂时停牌等流通受限股票。</w:t>
      </w:r>
    </w:p>
    <w:p>
      <w:pPr>
        <w:widowControl/>
        <w:jc w:val="left"/>
        <w:rPr>
          <w:rFonts w:hint="eastAsia" w:ascii="宋体" w:hAnsi="宋体" w:cs="宋体"/>
          <w:kern w:val="0"/>
          <w:sz w:val="24"/>
          <w:szCs w:val="24"/>
        </w:rPr>
      </w:pP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pStyle w:val="20"/>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7.4.12.3.2 交易所市场债券正回购</w:t>
      </w:r>
    </w:p>
    <w:p>
      <w:pPr>
        <w:pStyle w:val="20"/>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0"/>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5"/>
        <w:rPr>
          <w:rFonts w:hint="eastAsia"/>
        </w:rPr>
      </w:pPr>
      <w:r>
        <w:rPr>
          <w:rFonts w:hint="eastAsia"/>
          <w:b/>
          <w:bCs/>
        </w:rPr>
        <w:t>7.4.13.2 信用风险</w:t>
      </w:r>
    </w:p>
    <w:p>
      <w:pPr>
        <w:pStyle w:val="20"/>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0"/>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0"/>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0"/>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15"/>
        <w:rPr>
          <w:rFonts w:hint="eastAsia"/>
        </w:rPr>
      </w:pPr>
      <w:r>
        <w:rPr>
          <w:rFonts w:hint="eastAsia"/>
          <w:b/>
          <w:bCs/>
        </w:rPr>
        <w:t>7.4.13.2.1 按长期信用评级列示的债券投资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0"/>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0"/>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5"/>
        <w:rPr>
          <w:rFonts w:hint="eastAsia"/>
        </w:rPr>
      </w:pPr>
      <w:r>
        <w:rPr>
          <w:rFonts w:hint="eastAsia"/>
          <w:b/>
          <w:bCs/>
        </w:rPr>
        <w:t>7.4.13.3.1 报告期内本基金组合资产的流动性风险分析</w:t>
      </w:r>
    </w:p>
    <w:p>
      <w:pPr>
        <w:pStyle w:val="20"/>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0"/>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0"/>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0.00%。</w:t>
      </w:r>
    </w:p>
    <w:p>
      <w:pPr>
        <w:pStyle w:val="20"/>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9,069,906.96元，超过经确认的当日净赎回金额。</w:t>
      </w:r>
    </w:p>
    <w:p>
      <w:pPr>
        <w:pStyle w:val="20"/>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0"/>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5"/>
        <w:rPr>
          <w:rFonts w:hint="eastAsia"/>
        </w:rPr>
      </w:pPr>
      <w:r>
        <w:rPr>
          <w:rFonts w:hint="eastAsia"/>
          <w:b/>
          <w:bCs/>
        </w:rPr>
        <w:t>7.4.13.4 市场风险</w:t>
      </w:r>
    </w:p>
    <w:p>
      <w:pPr>
        <w:pStyle w:val="20"/>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0"/>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0"/>
        <w:spacing w:before="0"/>
        <w:ind w:left="0" w:firstLine="480"/>
        <w:rPr>
          <w:rFonts w:hint="eastAsia"/>
        </w:rPr>
      </w:pPr>
      <w:r>
        <w:rPr>
          <w:rFonts w:hint="eastAsia"/>
        </w:rPr>
        <w:t>本基金持有及承担的大部分金融资产和金融负债不计息，因此本基金的收入及经营活动的现金流量在很大程度上独立于市场利率变化。本基金持有的利率敏感性资产主要为银行存款、结算备付金、存出保证金、债券投资、资产支持证券投资及买入返售金融资产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19"/>
        <w:gridCol w:w="1763"/>
        <w:gridCol w:w="1657"/>
        <w:gridCol w:w="1657"/>
        <w:gridCol w:w="2052"/>
        <w:gridCol w:w="2052"/>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296,036.24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296,036.24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3,035.94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3,035.94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1,128.54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1,128.54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301,320.00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8,400,001.40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8,701,321.40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55,035.83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55,035.83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8,453.77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8,453.77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9,125.00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601,520.72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8,472,616.00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9,074,136.72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71,750.98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71,750.98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4,747.29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4,747.29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3,942.06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3,942.06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788.41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788.41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879.63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879.63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3,261.66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3,261.66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123,000.01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123,000.01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208,370.04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208,370.04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601,520.72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8,264,245.96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8,865,766.68</w:t>
            </w:r>
          </w:p>
        </w:tc>
      </w:tr>
    </w:tbl>
    <w:p>
      <w:pPr>
        <w:pStyle w:val="20"/>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5"/>
        <w:rPr>
          <w:rFonts w:hint="eastAsia"/>
        </w:rPr>
      </w:pPr>
      <w:r>
        <w:rPr>
          <w:rFonts w:hint="eastAsia"/>
          <w:b/>
          <w:bCs/>
        </w:rPr>
        <w:t>7.4.13.4.1.2 利率风险的敏感性分析</w:t>
      </w:r>
    </w:p>
    <w:p>
      <w:pPr>
        <w:pStyle w:val="20"/>
        <w:rPr>
          <w:rFonts w:hint="eastAsia"/>
        </w:rPr>
      </w:pPr>
      <w:r>
        <w:rPr>
          <w:rFonts w:hint="eastAsia"/>
        </w:rPr>
        <w:t>于2018年12月31日，本基金持有的交易性债券投资公允价值占基金资产净值的比例为3.40%，因此市场利率的变动对于本基金资产净值无重大影响。</w:t>
      </w:r>
    </w:p>
    <w:p>
      <w:pPr>
        <w:widowControl/>
        <w:jc w:val="left"/>
        <w:rPr>
          <w:rFonts w:hint="eastAsia" w:ascii="宋体" w:hAnsi="宋体" w:cs="宋体"/>
          <w:kern w:val="0"/>
          <w:sz w:val="24"/>
          <w:szCs w:val="24"/>
        </w:rPr>
      </w:pPr>
    </w:p>
    <w:p>
      <w:pPr>
        <w:pStyle w:val="15"/>
        <w:rPr>
          <w:rFonts w:hint="eastAsia"/>
        </w:rPr>
      </w:pPr>
      <w:r>
        <w:rPr>
          <w:rFonts w:hint="eastAsia"/>
          <w:b/>
          <w:bCs/>
        </w:rPr>
        <w:t>7.4.13.4.2 外汇风险</w:t>
      </w:r>
    </w:p>
    <w:p>
      <w:pPr>
        <w:pStyle w:val="20"/>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0"/>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3016"/>
        <w:gridCol w:w="4220"/>
        <w:gridCol w:w="1809"/>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8,400,001.40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94.75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8,400,001.40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94.75</w:t>
            </w:r>
          </w:p>
        </w:tc>
      </w:tr>
    </w:tbl>
    <w:p>
      <w:pPr>
        <w:widowControl/>
        <w:jc w:val="left"/>
        <w:rPr>
          <w:rFonts w:hint="eastAsia" w:ascii="宋体" w:hAnsi="宋体" w:cs="宋体"/>
          <w:kern w:val="0"/>
          <w:sz w:val="24"/>
          <w:szCs w:val="24"/>
        </w:rPr>
      </w:pPr>
    </w:p>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135"/>
        <w:gridCol w:w="2759"/>
        <w:gridCol w:w="5304"/>
      </w:tblGrid>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除业绩比较基准以外的其他市场变量保持不变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1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434,536.28</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-434,536.28</w:t>
            </w:r>
          </w:p>
        </w:tc>
      </w:tr>
    </w:tbl>
    <w:p>
      <w:pPr>
        <w:widowControl/>
        <w:jc w:val="left"/>
        <w:rPr>
          <w:rFonts w:hint="eastAsia" w:ascii="宋体" w:hAnsi="宋体" w:cs="宋体"/>
          <w:kern w:val="0"/>
          <w:sz w:val="24"/>
          <w:szCs w:val="24"/>
        </w:rPr>
      </w:pPr>
    </w:p>
    <w:p>
      <w:pPr>
        <w:pStyle w:val="15"/>
        <w:rPr>
          <w:rFonts w:hint="eastAsia"/>
        </w:rPr>
      </w:pPr>
      <w:r>
        <w:rPr>
          <w:rFonts w:hint="eastAsia"/>
          <w:b/>
          <w:bCs/>
        </w:rPr>
        <w:t>7.4.14 有助于理解和分析会计报表需要说明的其他事项</w:t>
      </w:r>
    </w:p>
    <w:p>
      <w:pPr>
        <w:pStyle w:val="20"/>
        <w:spacing w:before="0"/>
        <w:ind w:left="0" w:firstLine="480"/>
        <w:rPr>
          <w:rFonts w:hint="eastAsia"/>
        </w:rPr>
      </w:pPr>
      <w:r>
        <w:rPr>
          <w:rFonts w:hint="eastAsia"/>
        </w:rPr>
        <w:t>(1) 公允价值</w:t>
      </w:r>
    </w:p>
    <w:p>
      <w:pPr>
        <w:pStyle w:val="20"/>
        <w:spacing w:before="0"/>
        <w:ind w:left="0" w:firstLine="480"/>
        <w:rPr>
          <w:rFonts w:hint="eastAsia"/>
        </w:rPr>
      </w:pPr>
      <w:r>
        <w:rPr>
          <w:rFonts w:hint="eastAsia"/>
        </w:rPr>
        <w:t>(a) 金融工具公允价值计量的方法</w:t>
      </w:r>
    </w:p>
    <w:p>
      <w:pPr>
        <w:pStyle w:val="20"/>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0"/>
        <w:spacing w:before="0"/>
        <w:ind w:left="0" w:firstLine="480"/>
        <w:rPr>
          <w:rFonts w:hint="eastAsia"/>
        </w:rPr>
      </w:pPr>
      <w:r>
        <w:rPr>
          <w:rFonts w:hint="eastAsia"/>
        </w:rPr>
        <w:t>第一层次：相同资产或负债在活跃市场上未经调整的报价。</w:t>
      </w:r>
    </w:p>
    <w:p>
      <w:pPr>
        <w:pStyle w:val="20"/>
        <w:spacing w:before="0"/>
        <w:ind w:left="0" w:firstLine="480"/>
        <w:rPr>
          <w:rFonts w:hint="eastAsia"/>
        </w:rPr>
      </w:pPr>
      <w:r>
        <w:rPr>
          <w:rFonts w:hint="eastAsia"/>
        </w:rPr>
        <w:t>第二层次：除第一层次输入值外相关资产或负债直接或间接可观察的输入值。</w:t>
      </w:r>
    </w:p>
    <w:p>
      <w:pPr>
        <w:pStyle w:val="20"/>
        <w:spacing w:before="0"/>
        <w:ind w:left="0" w:firstLine="480"/>
        <w:rPr>
          <w:rFonts w:hint="eastAsia"/>
        </w:rPr>
      </w:pPr>
      <w:r>
        <w:rPr>
          <w:rFonts w:hint="eastAsia"/>
        </w:rPr>
        <w:t>第三层次：相关资产或负债的不可观察输入值。</w:t>
      </w:r>
    </w:p>
    <w:p>
      <w:pPr>
        <w:pStyle w:val="20"/>
        <w:spacing w:before="0"/>
        <w:ind w:left="0" w:firstLine="480"/>
        <w:rPr>
          <w:rFonts w:hint="eastAsia"/>
        </w:rPr>
      </w:pPr>
      <w:r>
        <w:rPr>
          <w:rFonts w:hint="eastAsia"/>
        </w:rPr>
        <w:t>(b) 持续的以公允价值计量的金融工具</w:t>
      </w:r>
    </w:p>
    <w:p>
      <w:pPr>
        <w:pStyle w:val="20"/>
        <w:spacing w:before="0"/>
        <w:ind w:left="0" w:firstLine="480"/>
        <w:rPr>
          <w:rFonts w:hint="eastAsia"/>
        </w:rPr>
      </w:pPr>
      <w:r>
        <w:rPr>
          <w:rFonts w:hint="eastAsia"/>
        </w:rPr>
        <w:t>(i) 各层次金融工具公允价值</w:t>
      </w:r>
    </w:p>
    <w:p>
      <w:pPr>
        <w:pStyle w:val="20"/>
        <w:spacing w:before="0"/>
        <w:ind w:left="0" w:firstLine="480"/>
        <w:rPr>
          <w:rFonts w:hint="eastAsia"/>
        </w:rPr>
      </w:pPr>
      <w:r>
        <w:rPr>
          <w:rFonts w:hint="eastAsia"/>
        </w:rPr>
        <w:t>于2018年12月31日，本基金持有的以公允价值计量且其变动计入当期损益的金融资产中属于第一层次的余额为8,400,001.40元，属于第二层次的余额为301,320.00元，无属于第三层次的余额。</w:t>
      </w:r>
    </w:p>
    <w:p>
      <w:pPr>
        <w:pStyle w:val="20"/>
        <w:spacing w:before="0"/>
        <w:ind w:left="0" w:firstLine="480"/>
        <w:rPr>
          <w:rFonts w:hint="eastAsia"/>
        </w:rPr>
      </w:pPr>
      <w:r>
        <w:rPr>
          <w:rFonts w:hint="eastAsia"/>
        </w:rPr>
        <w:t>(ii) 公允价值所属层次间的重大变动</w:t>
      </w:r>
    </w:p>
    <w:p>
      <w:pPr>
        <w:pStyle w:val="20"/>
        <w:spacing w:before="0"/>
        <w:ind w:left="0" w:firstLine="480"/>
        <w:rPr>
          <w:rFonts w:hint="eastAsia"/>
        </w:rPr>
      </w:pPr>
      <w:r>
        <w:rPr>
          <w:rFonts w:hint="eastAsia"/>
        </w:rPr>
        <w:t>本基金以导致各层次之间转换的事项发生日为确认各层次之间转换的时点。</w:t>
      </w:r>
    </w:p>
    <w:p>
      <w:pPr>
        <w:pStyle w:val="20"/>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0"/>
        <w:spacing w:before="0"/>
        <w:ind w:left="0" w:firstLine="480"/>
        <w:rPr>
          <w:rFonts w:hint="eastAsia"/>
        </w:rPr>
      </w:pPr>
      <w:r>
        <w:rPr>
          <w:rFonts w:hint="eastAsia"/>
        </w:rPr>
        <w:t>(iii) 第三层次公允价值余额和本期变动金额</w:t>
      </w:r>
    </w:p>
    <w:p>
      <w:pPr>
        <w:pStyle w:val="20"/>
        <w:spacing w:before="0"/>
        <w:ind w:left="0" w:firstLine="480"/>
        <w:rPr>
          <w:rFonts w:hint="eastAsia"/>
        </w:rPr>
      </w:pPr>
      <w:r>
        <w:rPr>
          <w:rFonts w:hint="eastAsia"/>
        </w:rPr>
        <w:t>无。</w:t>
      </w:r>
    </w:p>
    <w:p>
      <w:pPr>
        <w:pStyle w:val="20"/>
        <w:spacing w:before="0"/>
        <w:ind w:left="0" w:firstLine="480"/>
        <w:rPr>
          <w:rFonts w:hint="eastAsia"/>
        </w:rPr>
      </w:pPr>
      <w:r>
        <w:rPr>
          <w:rFonts w:hint="eastAsia"/>
        </w:rPr>
        <w:t>(c) 非持续的以公允价值计量的金融工具</w:t>
      </w:r>
    </w:p>
    <w:p>
      <w:pPr>
        <w:pStyle w:val="20"/>
        <w:spacing w:before="0"/>
        <w:ind w:left="0" w:firstLine="480"/>
        <w:rPr>
          <w:rFonts w:hint="eastAsia"/>
        </w:rPr>
      </w:pPr>
      <w:r>
        <w:rPr>
          <w:rFonts w:hint="eastAsia"/>
        </w:rPr>
        <w:t>于2018年12月31日，本基金未持有非持续的以公允价值计量的金融资产。</w:t>
      </w:r>
    </w:p>
    <w:p>
      <w:pPr>
        <w:pStyle w:val="20"/>
        <w:spacing w:before="0"/>
        <w:ind w:left="0" w:firstLine="480"/>
        <w:rPr>
          <w:rFonts w:hint="eastAsia"/>
        </w:rPr>
      </w:pPr>
      <w:r>
        <w:rPr>
          <w:rFonts w:hint="eastAsia"/>
        </w:rPr>
        <w:t>(d) 不以公允价值计量的金融工具</w:t>
      </w:r>
    </w:p>
    <w:p>
      <w:pPr>
        <w:pStyle w:val="20"/>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0"/>
        <w:spacing w:before="0"/>
        <w:ind w:left="0" w:firstLine="480"/>
        <w:rPr>
          <w:rFonts w:hint="eastAsia"/>
        </w:rPr>
      </w:pPr>
      <w:r>
        <w:rPr>
          <w:rFonts w:hint="eastAsia"/>
        </w:rPr>
        <w:t>(2) 其他</w:t>
      </w:r>
    </w:p>
    <w:p>
      <w:pPr>
        <w:pStyle w:val="20"/>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3"/>
        <w:rPr>
          <w:rFonts w:hint="eastAsia"/>
        </w:rPr>
      </w:pPr>
      <w:bookmarkStart w:id="35" w:name="_Toc4173730"/>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4"/>
        <w:rPr>
          <w:rFonts w:hint="eastAsia"/>
        </w:rPr>
      </w:pPr>
      <w:bookmarkStart w:id="36" w:name="_Toc4173731"/>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8,400,001.40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92.57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8,400,001.40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92.57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3.32</w:t>
            </w:r>
          </w:p>
        </w:tc>
      </w:tr>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299,072.18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73,743.14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0.81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9,074,136.72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37" w:name="_Toc4173732"/>
      <w:r>
        <w:rPr>
          <w:rFonts w:hint="eastAsia"/>
          <w:b/>
          <w:bCs/>
        </w:rPr>
        <w:t>8.2 报告期末按行业分类的股票投资组合</w:t>
      </w:r>
      <w:bookmarkEnd w:id="37"/>
    </w:p>
    <w:p>
      <w:pPr>
        <w:pStyle w:val="15"/>
        <w:rPr>
          <w:rFonts w:hint="eastAsia"/>
        </w:rPr>
      </w:pPr>
      <w:r>
        <w:rPr>
          <w:rFonts w:hint="eastAsia"/>
          <w:b/>
          <w:bCs/>
        </w:rPr>
        <w:t>8.2.1 报告期末（指数投资）按行业分类的境内股票投资组合</w:t>
      </w:r>
    </w:p>
    <w:tbl>
      <w:tblPr>
        <w:tblStyle w:val="7"/>
        <w:tblW w:w="0" w:type="auto"/>
        <w:tblInd w:w="108" w:type="dxa"/>
        <w:tblLayout w:type="autofit"/>
        <w:tblCellMar>
          <w:top w:w="0" w:type="dxa"/>
          <w:left w:w="108" w:type="dxa"/>
          <w:bottom w:w="0" w:type="dxa"/>
          <w:right w:w="108" w:type="dxa"/>
        </w:tblCellMar>
      </w:tblPr>
      <w:tblGrid>
        <w:gridCol w:w="832"/>
        <w:gridCol w:w="2812"/>
        <w:gridCol w:w="2812"/>
        <w:gridCol w:w="2742"/>
      </w:tblGrid>
      <w:tr>
        <w:tblPrEx>
          <w:tblCellMar>
            <w:top w:w="0" w:type="dxa"/>
            <w:left w:w="108" w:type="dxa"/>
            <w:bottom w:w="0" w:type="dxa"/>
            <w:right w:w="108" w:type="dxa"/>
          </w:tblCellMar>
        </w:tblPrEx>
        <w:trPr>
          <w:wBefore w:w="0" w:type="auto"/>
        </w:trPr>
        <w:tc>
          <w:tcPr>
            <w:tcW w:w="134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4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行业类别</w:t>
            </w:r>
          </w:p>
        </w:tc>
        <w:tc>
          <w:tcPr>
            <w:tcW w:w="2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公允价值(元)</w:t>
            </w:r>
          </w:p>
        </w:tc>
        <w:tc>
          <w:tcPr>
            <w:tcW w:w="29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77,733.00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93,623.00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5,000,880.08</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D</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264,648.00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213,578.00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F</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430,522.00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G</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190,858.00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H</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I</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632,926.80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J</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76,687.20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K</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294,225.00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L</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41,870.40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M</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155,736.92</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N</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83,033.00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O</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P</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19,560.00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Q</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20,622.00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R</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110,580.00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S</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42,088.00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合计</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7,749,171.40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87.41</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8.2.2 报告期末（积极投资）按行业分类的境内股票投资组合</w:t>
      </w:r>
    </w:p>
    <w:tbl>
      <w:tblPr>
        <w:tblStyle w:val="7"/>
        <w:tblW w:w="0" w:type="auto"/>
        <w:tblInd w:w="108" w:type="dxa"/>
        <w:tblLayout w:type="autofit"/>
        <w:tblCellMar>
          <w:top w:w="0" w:type="dxa"/>
          <w:left w:w="108" w:type="dxa"/>
          <w:bottom w:w="0" w:type="dxa"/>
          <w:right w:w="108" w:type="dxa"/>
        </w:tblCellMar>
      </w:tblPr>
      <w:tblGrid>
        <w:gridCol w:w="832"/>
        <w:gridCol w:w="2812"/>
        <w:gridCol w:w="2812"/>
        <w:gridCol w:w="2742"/>
      </w:tblGrid>
      <w:tr>
        <w:tblPrEx>
          <w:tblCellMar>
            <w:top w:w="0" w:type="dxa"/>
            <w:left w:w="108" w:type="dxa"/>
            <w:bottom w:w="0" w:type="dxa"/>
            <w:right w:w="108" w:type="dxa"/>
          </w:tblCellMar>
        </w:tblPrEx>
        <w:trPr>
          <w:wBefore w:w="0" w:type="auto"/>
        </w:trPr>
        <w:tc>
          <w:tcPr>
            <w:tcW w:w="134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4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行业类别</w:t>
            </w:r>
          </w:p>
        </w:tc>
        <w:tc>
          <w:tcPr>
            <w:tcW w:w="2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公允价值(元)</w:t>
            </w:r>
          </w:p>
        </w:tc>
        <w:tc>
          <w:tcPr>
            <w:tcW w:w="29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24,288.00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345,552.00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D</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41,500.00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37,991.00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F</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G</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H</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I</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43,458.00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J</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18,832.00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K</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59,882.00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L</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40,591.00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M</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N</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O</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P</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Q</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R</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17,424.00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S</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21,312.00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合计</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650,830.00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7.34</w:t>
            </w:r>
          </w:p>
        </w:tc>
      </w:tr>
    </w:tbl>
    <w:p>
      <w:pPr>
        <w:widowControl/>
        <w:jc w:val="left"/>
        <w:rPr>
          <w:rFonts w:hint="eastAsia" w:ascii="宋体" w:hAnsi="宋体" w:cs="宋体"/>
          <w:kern w:val="0"/>
          <w:sz w:val="24"/>
          <w:szCs w:val="24"/>
        </w:rPr>
      </w:pPr>
    </w:p>
    <w:p>
      <w:pPr>
        <w:pStyle w:val="14"/>
        <w:rPr>
          <w:rFonts w:hint="eastAsia"/>
        </w:rPr>
      </w:pPr>
      <w:bookmarkStart w:id="38" w:name="_Toc4173733"/>
      <w:r>
        <w:rPr>
          <w:rFonts w:hint="eastAsia"/>
          <w:b/>
          <w:bCs/>
        </w:rPr>
        <w:t>8.3 期末按公允价值占基金资产净值比例大小排序的所有股票投资明细</w:t>
      </w:r>
      <w:bookmarkEnd w:id="38"/>
    </w:p>
    <w:p>
      <w:pPr>
        <w:pStyle w:val="15"/>
        <w:rPr>
          <w:rFonts w:hint="eastAsia"/>
        </w:rPr>
      </w:pPr>
      <w:r>
        <w:rPr>
          <w:rFonts w:hint="eastAsia"/>
          <w:b/>
          <w:bCs/>
        </w:rPr>
        <w:t>8.3.1 期末指数投资按公允价值占基金资产净值比例大小排序的所有股票投资明细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717"/>
        <w:gridCol w:w="1717"/>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罗 牛 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35,742.00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30,937.92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山东药玻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老凤祥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华峰氨纶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万业企业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康缘药业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博彦科技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海联金汇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一汽富维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25,548.80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数码科技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国星光电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25,327.20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东材科技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众生药业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航锦科技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 关 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苏交科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天宸股份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羚锐制药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联创光电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尖峰集团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普洛药业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24,478.08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皖维高新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浪潮软件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莱宝高科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榕基软件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和而泰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益民集团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天舟文化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沃尔核材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酒鬼酒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信雅达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仙琚制药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远光软件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恒顺醋业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友阿股份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中颖电子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佳士科技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山大华特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洲明科技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23,659.20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报 喜 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 利 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大连热电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普莱柯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高能环境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万安科技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中恒电气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凯撒文化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海翔药业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冠豪高新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佛塑科技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太原重工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绿盟科技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乾照光电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江苏阳光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祁连山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中原内配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嘉事堂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英威腾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证通电子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皇氏集团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中核科技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亚联发展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腾达建设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亚太股份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凯利泰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拓邦股份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苏州固锝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华软科技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嘉凯城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洽洽食品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健民集团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上海九百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依顿电子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二六三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上海钢联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泰和新材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鄂武商Ａ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安徽合力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司尔特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天顺风能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新五丰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顺灏股份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超声电子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九强生物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科华恒盛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22,556.80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浙江鼎力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亚星锚链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芭田股份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福晶科技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天音控股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广弘控股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强生控股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三维工程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中超控股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山推股份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冠农股份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天源迪科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浙江富润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艾华集团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新疆天业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模塑科技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香雪制药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菲达环保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汉宇集团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动力源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大恒科技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卧龙电气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共进股份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铜峰电子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久其软件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乐金健康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金种子酒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湖南投资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广东鸿图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国旅联合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浙江震元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沃华医药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万林物流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21,806.40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日机密封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理工环科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富通鑫茂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楚江新材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锦江投资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财信发展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三毛派神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龙元建设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中视传媒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文科园林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三盛教育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 力 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全柴动力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金浦钛业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华微电子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四川美丰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三川智慧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韶能股份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涪陵电力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天汽模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海利生物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重庆路桥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莱茵生物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永兴特钢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陕天然气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江南高纤</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嘉欣丝绸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三星医疗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乐凯胶片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美克家居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双良节能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百川能源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中钨高新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探路者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星辉娱乐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交大昂立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泰胜风能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川大智胜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宝钢包装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美尚生态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东方锆业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歌力思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株冶集团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昌红科技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皖能电力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钱江摩托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粤宏远Ａ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天壕环境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云南城投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时代新材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鹏辉能源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海伦哲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国美通讯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新时达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聚飞光电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胜利股份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珠江实业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智慧能源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三木集团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天房发展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方大集团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电子城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大众交通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龙头股份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香江控股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西部材料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鸿利智汇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置信电气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万邦德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宜华健康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康力电梯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凯盛科技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华东电脑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贵研铂业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中通客车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迈克生物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海兰信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 纳 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荣华实业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国脉科技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大连友谊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双星新材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御银股份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四川九洲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曙光股份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海陆重工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日海智能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吉艾科技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20,311.20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金健米业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德展健康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20,195.80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冰轮环境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东安动力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华星创业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方盛制药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厦门象屿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太龙药业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应流股份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经纬辉开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英洛华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泰山石油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陕鼓动力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京山轻机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祥龙电业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航天长峰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中衡设计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浦东建设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博世科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珠海港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莱美药业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金能科技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良信电器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天海防务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华贸物流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潮宏基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远大智能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我爱我家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悦心健康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富临精工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哈投股份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昂立教育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龙马环卫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景峰医药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九安医疗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恒天海龙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赢合科技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齐心集团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西藏天路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东风汽车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高德红外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敦煌种业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凯文教育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阳煤化工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诚志股份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熊猫金控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宝莫股份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冠昊生物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天沃科技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中国海防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阳普医疗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海航投资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罗莱生活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量子生物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广州酒家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美锦能源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苏州高新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天奇股份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宝利国际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国光电器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迪森股份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海欣股份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云海金属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强力新材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南方汇通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盈峰环境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海默科技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 宝 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大连圣亚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卓翼科技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国城矿业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明泰铝业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 望 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杰克股份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迅游科技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嘉麟杰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新天然气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华控赛格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融捷股份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通裕重工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群兴玩具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蓝焰控股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赛象科技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盛达矿业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川能动力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皖通科技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同济科技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晨光生物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顺利办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辰安科技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云意电气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吉林化纤</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广聚能源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喜临门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万年青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安控科技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三诺生物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锦富技术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鲁信创投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四创电子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先河环保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美晨生态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东湖高新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长城动漫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鲁抗医药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智光电气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吴通控股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金鸿控股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英唐智控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北纬科技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金卡智能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再升科技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吉药控股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青岛金王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bl>
    <w:p>
      <w:pPr>
        <w:widowControl/>
        <w:jc w:val="left"/>
        <w:rPr>
          <w:rFonts w:hint="eastAsia" w:ascii="宋体" w:hAnsi="宋体" w:cs="宋体"/>
          <w:kern w:val="0"/>
          <w:sz w:val="24"/>
          <w:szCs w:val="24"/>
        </w:rPr>
      </w:pPr>
    </w:p>
    <w:p>
      <w:pPr>
        <w:pStyle w:val="15"/>
        <w:rPr>
          <w:rFonts w:hint="eastAsia"/>
        </w:rPr>
      </w:pPr>
      <w:r>
        <w:rPr>
          <w:rFonts w:hint="eastAsia"/>
          <w:b/>
          <w:bCs/>
        </w:rPr>
        <w:t>8.3.2 期末积极投资按公允价值占基金资产净值比例大小排序的所有股票投资明细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05"/>
        <w:gridCol w:w="1579"/>
        <w:gridCol w:w="1579"/>
        <w:gridCol w:w="1760"/>
        <w:gridCol w:w="1760"/>
        <w:gridCol w:w="1715"/>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亚盛集团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上海梅林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吉视传媒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赛轮轮胎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国中水务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科力远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广西广电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江苏吴中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紫江企业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市北高新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美好置业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华联控股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三峡水利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中核钛白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浙江永强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软控股份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普邦股份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万马股份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宁波韵升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众信旅游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九鼎投资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江河集团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景兴纸业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中航重机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梦舟股份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中文在线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兔 宝 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康欣新材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德赛电池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联创电子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得润电子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bl>
    <w:p>
      <w:pPr>
        <w:widowControl/>
        <w:jc w:val="left"/>
        <w:rPr>
          <w:rFonts w:hint="eastAsia" w:ascii="宋体" w:hAnsi="宋体" w:cs="宋体"/>
          <w:kern w:val="0"/>
          <w:sz w:val="24"/>
          <w:szCs w:val="24"/>
        </w:rPr>
      </w:pPr>
    </w:p>
    <w:p>
      <w:pPr>
        <w:pStyle w:val="14"/>
        <w:rPr>
          <w:rFonts w:hint="eastAsia"/>
        </w:rPr>
      </w:pPr>
      <w:bookmarkStart w:id="39" w:name="_Toc4173734"/>
      <w:r>
        <w:rPr>
          <w:rFonts w:hint="eastAsia"/>
          <w:b/>
          <w:bCs/>
        </w:rPr>
        <w:t>8.4 报告期内股票投资组合的重大变动</w:t>
      </w:r>
      <w:bookmarkEnd w:id="39"/>
    </w:p>
    <w:p>
      <w:pPr>
        <w:pStyle w:val="15"/>
        <w:rPr>
          <w:rFonts w:hint="eastAsia"/>
        </w:rPr>
      </w:pPr>
      <w:r>
        <w:rPr>
          <w:rFonts w:hint="eastAsia"/>
          <w:b/>
          <w:bCs/>
        </w:rPr>
        <w:t>8.4.1 累计买入金额超出期末基金资产净值2%或前20名的股票明细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兆易创新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141,063.00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岭南股份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100,625.00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康力电梯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86,187.00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维信诺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85,351.00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国统股份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84,902.00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东方盛虹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金健米业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82,223.00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80,890.00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中华企业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哈投股份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77,431.00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融捷股份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74,466.00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益丰药房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72,862.00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电子城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72,227.00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三六零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四创电子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祥龙电业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68,822.00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普莱柯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66,613.00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广电网络</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66,402.00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鸿特科技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鄂武商Ａ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0.73</w:t>
            </w:r>
          </w:p>
        </w:tc>
      </w:tr>
    </w:tbl>
    <w:p>
      <w:pPr>
        <w:pStyle w:val="20"/>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8.4.2 累计卖出金额超出期末基金资产净值2%或前20名的股票明细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兆易创新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112,510.20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岭南股份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91,315.20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老百姓</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东方盛虹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77,757.00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维信诺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77,705.00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益丰药房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76,770.00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中华企业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76,574.00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康力电梯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73,411.00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国统股份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72,975.00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凯莱英</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65,956.00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鸿特科技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星宇股份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64,513.00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重庆啤酒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62,318.00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广誉远</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兴发集团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章源钨业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61,139.00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我武生物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59,528.00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花园生物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兆日科技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56,933.00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0.64</w:t>
            </w:r>
          </w:p>
        </w:tc>
      </w:tr>
    </w:tbl>
    <w:p>
      <w:pPr>
        <w:pStyle w:val="20"/>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27,615,642.67</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16,635,142.09</w:t>
            </w:r>
          </w:p>
        </w:tc>
      </w:tr>
    </w:tbl>
    <w:p>
      <w:pPr>
        <w:pStyle w:val="20"/>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14"/>
        <w:rPr>
          <w:rFonts w:hint="eastAsia"/>
        </w:rPr>
      </w:pPr>
      <w:bookmarkStart w:id="40" w:name="_Toc4173735"/>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3.40</w:t>
            </w:r>
          </w:p>
        </w:tc>
      </w:tr>
    </w:tbl>
    <w:p>
      <w:pPr>
        <w:widowControl/>
        <w:jc w:val="left"/>
        <w:rPr>
          <w:rFonts w:hint="eastAsia" w:ascii="宋体" w:hAnsi="宋体" w:cs="宋体"/>
          <w:kern w:val="0"/>
          <w:sz w:val="24"/>
          <w:szCs w:val="24"/>
        </w:rPr>
      </w:pPr>
    </w:p>
    <w:p>
      <w:pPr>
        <w:pStyle w:val="14"/>
        <w:rPr>
          <w:rFonts w:hint="eastAsia"/>
        </w:rPr>
      </w:pPr>
      <w:bookmarkStart w:id="41" w:name="_Toc4173736"/>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92"/>
        <w:gridCol w:w="1543"/>
        <w:gridCol w:w="1543"/>
        <w:gridCol w:w="1734"/>
        <w:gridCol w:w="1995"/>
        <w:gridCol w:w="15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018005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国开1701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w:t>
            </w:r>
          </w:p>
        </w:tc>
      </w:tr>
    </w:tbl>
    <w:p>
      <w:pPr>
        <w:widowControl/>
        <w:jc w:val="left"/>
        <w:rPr>
          <w:rFonts w:hint="eastAsia" w:ascii="宋体" w:hAnsi="宋体" w:cs="宋体"/>
          <w:kern w:val="0"/>
          <w:sz w:val="24"/>
          <w:szCs w:val="24"/>
        </w:rPr>
      </w:pPr>
    </w:p>
    <w:p>
      <w:pPr>
        <w:pStyle w:val="14"/>
        <w:rPr>
          <w:rFonts w:hint="eastAsia"/>
        </w:rPr>
      </w:pPr>
      <w:bookmarkStart w:id="42" w:name="_Toc4173737"/>
      <w:r>
        <w:rPr>
          <w:rFonts w:hint="eastAsia"/>
          <w:b/>
          <w:bCs/>
        </w:rPr>
        <w:t>8.7 期末按公允价值占基金资产净值比例大小排序的所有资产支持证券投资明细</w:t>
      </w:r>
      <w:bookmarkEnd w:id="42"/>
    </w:p>
    <w:p>
      <w:pPr>
        <w:pStyle w:val="20"/>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4"/>
        <w:rPr>
          <w:rFonts w:hint="eastAsia"/>
        </w:rPr>
      </w:pPr>
      <w:bookmarkStart w:id="43" w:name="_Toc4173738"/>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widowControl/>
        <w:jc w:val="left"/>
        <w:rPr>
          <w:rFonts w:hint="eastAsia" w:ascii="宋体" w:hAnsi="宋体" w:cs="宋体"/>
          <w:kern w:val="0"/>
          <w:sz w:val="24"/>
          <w:szCs w:val="24"/>
        </w:rPr>
      </w:pPr>
    </w:p>
    <w:p>
      <w:pPr>
        <w:pStyle w:val="14"/>
        <w:rPr>
          <w:rFonts w:hint="eastAsia"/>
        </w:rPr>
      </w:pPr>
      <w:bookmarkStart w:id="44" w:name="_Toc4173739"/>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widowControl/>
        <w:jc w:val="left"/>
        <w:rPr>
          <w:rFonts w:hint="eastAsia" w:ascii="宋体" w:hAnsi="宋体" w:cs="宋体"/>
          <w:kern w:val="0"/>
          <w:sz w:val="24"/>
          <w:szCs w:val="24"/>
        </w:rPr>
      </w:pPr>
    </w:p>
    <w:p>
      <w:pPr>
        <w:pStyle w:val="14"/>
        <w:rPr>
          <w:rFonts w:hint="eastAsia"/>
        </w:rPr>
      </w:pPr>
      <w:bookmarkStart w:id="45" w:name="_Toc4173740"/>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pStyle w:val="14"/>
        <w:rPr>
          <w:rFonts w:hint="eastAsia"/>
        </w:rPr>
      </w:pPr>
      <w:bookmarkStart w:id="46" w:name="_Toc4173741"/>
      <w:r>
        <w:rPr>
          <w:rFonts w:hint="eastAsia"/>
          <w:b/>
          <w:bCs/>
        </w:rPr>
        <w:t>8.11 报告期末本基金投资的国债期货交易情况说明</w:t>
      </w:r>
      <w:bookmarkEnd w:id="46"/>
    </w:p>
    <w:p>
      <w:pPr>
        <w:pStyle w:val="20"/>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4"/>
        <w:rPr>
          <w:rFonts w:hint="eastAsia"/>
        </w:rPr>
      </w:pPr>
      <w:bookmarkStart w:id="47" w:name="_Toc4173742"/>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1,128.54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55,035.83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8,453.77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9,125.00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73,743.14</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20"/>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5"/>
        <w:rPr>
          <w:rFonts w:hint="eastAsia"/>
        </w:rPr>
      </w:pPr>
      <w:r>
        <w:rPr>
          <w:rFonts w:hint="eastAsia"/>
          <w:b/>
          <w:bCs/>
        </w:rPr>
        <w:t>8.12.5 期末前十名股票中存在流通受限情况的说明</w:t>
      </w:r>
    </w:p>
    <w:p>
      <w:pPr>
        <w:pStyle w:val="15"/>
        <w:rPr>
          <w:rFonts w:hint="eastAsia"/>
        </w:rPr>
      </w:pPr>
      <w:r>
        <w:rPr>
          <w:rFonts w:hint="eastAsia"/>
          <w:b/>
          <w:bCs/>
        </w:rPr>
        <w:t>8.12.5.1 期末指数投资前十名股票中存在流通受限情况的说明</w:t>
      </w:r>
    </w:p>
    <w:p>
      <w:pPr>
        <w:pStyle w:val="20"/>
        <w:rPr>
          <w:rFonts w:hint="eastAsia"/>
        </w:rPr>
      </w:pPr>
      <w:r>
        <w:rPr>
          <w:rFonts w:hint="eastAsia"/>
        </w:rPr>
        <w:t>本基金本报告期末指数投资前十名股票不存在流通受限的情况。</w:t>
      </w:r>
    </w:p>
    <w:p>
      <w:pPr>
        <w:widowControl/>
        <w:jc w:val="left"/>
        <w:rPr>
          <w:rFonts w:hint="eastAsia" w:ascii="宋体" w:hAnsi="宋体" w:cs="宋体"/>
          <w:kern w:val="0"/>
          <w:sz w:val="24"/>
          <w:szCs w:val="24"/>
        </w:rPr>
      </w:pPr>
    </w:p>
    <w:p>
      <w:pPr>
        <w:pStyle w:val="15"/>
        <w:rPr>
          <w:rFonts w:hint="eastAsia"/>
        </w:rPr>
      </w:pPr>
      <w:r>
        <w:rPr>
          <w:rFonts w:hint="eastAsia"/>
          <w:b/>
          <w:bCs/>
        </w:rPr>
        <w:t>8.12.5.2 期末积极投资前五名股票中存在流通受限情况的说明</w:t>
      </w:r>
    </w:p>
    <w:p>
      <w:pPr>
        <w:pStyle w:val="20"/>
        <w:rPr>
          <w:rFonts w:hint="eastAsia"/>
        </w:rPr>
      </w:pPr>
      <w:r>
        <w:rPr>
          <w:rFonts w:hint="eastAsia"/>
        </w:rPr>
        <w:t>本基金本报告期末积极投资前五名股票不存在流通受限的情况。</w:t>
      </w:r>
    </w:p>
    <w:p>
      <w:pPr>
        <w:widowControl/>
        <w:jc w:val="left"/>
        <w:rPr>
          <w:rFonts w:hint="eastAsia" w:ascii="宋体" w:hAnsi="宋体" w:cs="宋体"/>
          <w:kern w:val="0"/>
          <w:sz w:val="24"/>
          <w:szCs w:val="24"/>
        </w:rPr>
      </w:pPr>
    </w:p>
    <w:p>
      <w:pPr>
        <w:pStyle w:val="13"/>
        <w:rPr>
          <w:rFonts w:hint="eastAsia"/>
        </w:rPr>
      </w:pPr>
      <w:bookmarkStart w:id="48" w:name="_Toc4173743"/>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4"/>
        <w:rPr>
          <w:rFonts w:hint="eastAsia"/>
        </w:rPr>
      </w:pPr>
      <w:bookmarkStart w:id="49" w:name="_Toc4173744"/>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创金合信国证2000指数A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56,811.84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5,000,200.04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169,677.57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创金合信国证2000指数C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49,571.76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1,543,271.81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56,860.92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1,712,949.38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14.62%</w:t>
            </w:r>
          </w:p>
        </w:tc>
      </w:tr>
    </w:tbl>
    <w:p>
      <w:pPr>
        <w:widowControl/>
        <w:jc w:val="left"/>
        <w:rPr>
          <w:rFonts w:hint="eastAsia" w:ascii="宋体" w:hAnsi="宋体" w:cs="宋体"/>
          <w:kern w:val="0"/>
          <w:sz w:val="24"/>
          <w:szCs w:val="24"/>
        </w:rPr>
      </w:pPr>
    </w:p>
    <w:p>
      <w:pPr>
        <w:pStyle w:val="14"/>
        <w:rPr>
          <w:rFonts w:hint="eastAsia"/>
        </w:rPr>
      </w:pPr>
      <w:bookmarkStart w:id="50" w:name="_Toc4173745"/>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3048"/>
        <w:gridCol w:w="2103"/>
        <w:gridCol w:w="1924"/>
        <w:gridCol w:w="1970"/>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创金合信国证2000指数A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创金合信国证2000指数C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0.02%</w:t>
            </w:r>
          </w:p>
        </w:tc>
      </w:tr>
    </w:tbl>
    <w:p>
      <w:pPr>
        <w:widowControl/>
        <w:jc w:val="left"/>
        <w:rPr>
          <w:rFonts w:hint="eastAsia" w:ascii="宋体" w:hAnsi="宋体" w:cs="宋体"/>
          <w:kern w:val="0"/>
          <w:sz w:val="24"/>
          <w:szCs w:val="24"/>
        </w:rPr>
      </w:pPr>
    </w:p>
    <w:p>
      <w:pPr>
        <w:pStyle w:val="14"/>
        <w:rPr>
          <w:rFonts w:hint="eastAsia"/>
        </w:rPr>
      </w:pPr>
      <w:bookmarkStart w:id="51" w:name="_Toc4173746"/>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创金合信国证2000指数A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创金合信国证2000指数C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创金合信国证2000指数A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创金合信国证2000指数C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widowControl/>
        <w:jc w:val="left"/>
        <w:rPr>
          <w:rFonts w:hint="eastAsia" w:ascii="宋体" w:hAnsi="宋体" w:cs="宋体"/>
          <w:kern w:val="0"/>
          <w:sz w:val="24"/>
          <w:szCs w:val="24"/>
        </w:rPr>
      </w:pPr>
    </w:p>
    <w:p>
      <w:pPr>
        <w:pStyle w:val="14"/>
        <w:rPr>
          <w:rFonts w:hint="eastAsia"/>
        </w:rPr>
      </w:pPr>
      <w:bookmarkStart w:id="52" w:name="_Toc4173747"/>
      <w:r>
        <w:rPr>
          <w:rFonts w:hint="eastAsia"/>
          <w:b/>
          <w:bCs/>
        </w:rPr>
        <w:t>9.4发起式基金发起资金持有份额情况</w:t>
      </w:r>
      <w:bookmarkEnd w:id="52"/>
    </w:p>
    <w:tbl>
      <w:tblPr>
        <w:tblStyle w:val="7"/>
        <w:tblW w:w="9045" w:type="dxa"/>
        <w:tblInd w:w="108" w:type="dxa"/>
        <w:tblLayout w:type="autofit"/>
        <w:tblCellMar>
          <w:top w:w="0" w:type="dxa"/>
          <w:left w:w="108" w:type="dxa"/>
          <w:bottom w:w="0" w:type="dxa"/>
          <w:right w:w="108" w:type="dxa"/>
        </w:tblCellMar>
      </w:tblPr>
      <w:tblGrid>
        <w:gridCol w:w="1357"/>
        <w:gridCol w:w="1791"/>
        <w:gridCol w:w="1140"/>
        <w:gridCol w:w="1791"/>
        <w:gridCol w:w="1140"/>
        <w:gridCol w:w="1826"/>
      </w:tblGrid>
      <w:tr>
        <w:tblPrEx>
          <w:tblCellMar>
            <w:top w:w="0" w:type="dxa"/>
            <w:left w:w="108" w:type="dxa"/>
            <w:bottom w:w="0" w:type="dxa"/>
            <w:right w:w="108" w:type="dxa"/>
          </w:tblCellMar>
        </w:tblPrEx>
        <w:trPr>
          <w:wBefore w:w="0" w:type="auto"/>
        </w:trPr>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持有份额占基金总份额比例</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发起份额承诺持有期限</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基金管理人固有资金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基金管理人高级管理人员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基金经理等人员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基金管理人股东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bl>
    <w:p>
      <w:pPr>
        <w:widowControl/>
        <w:jc w:val="left"/>
        <w:rPr>
          <w:rFonts w:hint="eastAsia" w:ascii="宋体" w:hAnsi="宋体" w:cs="宋体"/>
          <w:kern w:val="0"/>
          <w:sz w:val="24"/>
          <w:szCs w:val="24"/>
        </w:rPr>
      </w:pPr>
    </w:p>
    <w:p>
      <w:pPr>
        <w:pStyle w:val="13"/>
        <w:rPr>
          <w:rFonts w:hint="eastAsia"/>
        </w:rPr>
      </w:pPr>
      <w:bookmarkStart w:id="53" w:name="_Toc4173748"/>
      <w:r>
        <w:rPr>
          <w:rFonts w:hint="eastAsia" w:hAnsi="Calibri"/>
          <w:b/>
          <w:color w:val="000000"/>
        </w:rPr>
        <w:t>§10  开放式基金份额变动</w:t>
      </w:r>
      <w:bookmarkEnd w:id="53"/>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创金合信国证2000指数A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创金合信国证2000指数C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基金合同生效日(2018年02月07日)基金份额总额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5,020,388.67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5,037,251.33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862,665.46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4,127,173.81</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减：基金合同生效日起至报告期期末基金总赎回份额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713,176.52</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2,620,953.33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5,169,877.61</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6,543,471.81</w:t>
            </w:r>
          </w:p>
        </w:tc>
      </w:tr>
    </w:tbl>
    <w:p>
      <w:pPr>
        <w:widowControl/>
        <w:jc w:val="left"/>
        <w:rPr>
          <w:rFonts w:hint="eastAsia" w:ascii="宋体" w:hAnsi="宋体" w:cs="宋体"/>
          <w:kern w:val="0"/>
          <w:sz w:val="24"/>
          <w:szCs w:val="24"/>
        </w:rPr>
      </w:pPr>
    </w:p>
    <w:p>
      <w:pPr>
        <w:pStyle w:val="13"/>
        <w:rPr>
          <w:rFonts w:hint="eastAsia"/>
        </w:rPr>
      </w:pPr>
      <w:bookmarkStart w:id="54" w:name="_Toc4173749"/>
      <w:r>
        <w:rPr>
          <w:rFonts w:hint="eastAsia" w:hAnsi="Calibri"/>
          <w:b/>
          <w:color w:val="000000"/>
        </w:rPr>
        <w:t>§11  重大事件揭示</w:t>
      </w:r>
      <w:bookmarkEnd w:id="54"/>
    </w:p>
    <w:p>
      <w:pPr>
        <w:widowControl/>
        <w:jc w:val="left"/>
        <w:rPr>
          <w:rFonts w:hint="eastAsia" w:ascii="宋体" w:hAnsi="宋体" w:cs="宋体"/>
          <w:kern w:val="0"/>
          <w:sz w:val="24"/>
          <w:szCs w:val="24"/>
        </w:rPr>
      </w:pPr>
    </w:p>
    <w:p>
      <w:pPr>
        <w:pStyle w:val="14"/>
        <w:rPr>
          <w:rFonts w:hint="eastAsia"/>
        </w:rPr>
      </w:pPr>
      <w:bookmarkStart w:id="55" w:name="_Toc4173750"/>
      <w:r>
        <w:rPr>
          <w:rFonts w:hint="eastAsia"/>
          <w:b/>
          <w:bCs/>
        </w:rPr>
        <w:t>11.1 基金份额持有人大会决议</w:t>
      </w:r>
      <w:bookmarkEnd w:id="55"/>
    </w:p>
    <w:p>
      <w:pPr>
        <w:pStyle w:val="20"/>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4"/>
        <w:rPr>
          <w:rFonts w:hint="eastAsia"/>
        </w:rPr>
      </w:pPr>
      <w:bookmarkStart w:id="56" w:name="_Toc4173751"/>
      <w:r>
        <w:rPr>
          <w:rFonts w:hint="eastAsia"/>
          <w:b/>
          <w:bCs/>
        </w:rPr>
        <w:t>11.2 基金管理人、基金托管人的专门基金托管部门的重大人事变动</w:t>
      </w:r>
      <w:bookmarkEnd w:id="56"/>
    </w:p>
    <w:p>
      <w:pPr>
        <w:pStyle w:val="20"/>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4"/>
        <w:rPr>
          <w:rFonts w:hint="eastAsia"/>
        </w:rPr>
      </w:pPr>
      <w:bookmarkStart w:id="57" w:name="_Toc4173752"/>
      <w:r>
        <w:rPr>
          <w:rFonts w:hint="eastAsia"/>
          <w:b/>
          <w:bCs/>
        </w:rPr>
        <w:t>11.3 涉及基金管理人、基金财产、基金托管业务的诉讼</w:t>
      </w:r>
      <w:bookmarkEnd w:id="57"/>
    </w:p>
    <w:p>
      <w:pPr>
        <w:pStyle w:val="20"/>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4"/>
        <w:rPr>
          <w:rFonts w:hint="eastAsia"/>
        </w:rPr>
      </w:pPr>
      <w:bookmarkStart w:id="58" w:name="_Toc4173753"/>
      <w:r>
        <w:rPr>
          <w:rFonts w:hint="eastAsia"/>
          <w:b/>
          <w:bCs/>
        </w:rPr>
        <w:t>11.4 基金投资策略的改变</w:t>
      </w:r>
      <w:bookmarkEnd w:id="58"/>
    </w:p>
    <w:p>
      <w:pPr>
        <w:pStyle w:val="20"/>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4"/>
        <w:rPr>
          <w:rFonts w:hint="eastAsia"/>
        </w:rPr>
      </w:pPr>
      <w:bookmarkStart w:id="59" w:name="_Toc4173754"/>
      <w:r>
        <w:rPr>
          <w:rFonts w:hint="eastAsia"/>
          <w:b/>
          <w:bCs/>
        </w:rPr>
        <w:t>11.5 为基金进行审计的会计师事务所情况</w:t>
      </w:r>
      <w:bookmarkEnd w:id="59"/>
    </w:p>
    <w:p>
      <w:pPr>
        <w:pStyle w:val="20"/>
        <w:spacing w:before="0"/>
        <w:ind w:left="0" w:firstLine="480"/>
        <w:rPr>
          <w:rFonts w:hint="eastAsia"/>
        </w:rPr>
      </w:pPr>
      <w:r>
        <w:rPr>
          <w:rFonts w:hint="eastAsia"/>
        </w:rPr>
        <w:t xml:space="preserve">本报告期内本基金未更换会计师事务所,本年度支付给普华永道中天会计师事务所(特殊普通合伙)审计费用35,000.00元,该审计机构连续提供审计服务的年限为1年。 </w:t>
      </w:r>
    </w:p>
    <w:p>
      <w:pPr>
        <w:widowControl/>
        <w:jc w:val="left"/>
        <w:rPr>
          <w:rFonts w:hint="eastAsia" w:ascii="宋体" w:hAnsi="宋体" w:cs="宋体"/>
          <w:kern w:val="0"/>
          <w:sz w:val="24"/>
          <w:szCs w:val="24"/>
        </w:rPr>
      </w:pPr>
    </w:p>
    <w:p>
      <w:pPr>
        <w:pStyle w:val="14"/>
        <w:rPr>
          <w:rFonts w:hint="eastAsia"/>
        </w:rPr>
      </w:pPr>
      <w:bookmarkStart w:id="60" w:name="_Toc4173755"/>
      <w:r>
        <w:rPr>
          <w:rFonts w:hint="eastAsia"/>
          <w:b/>
          <w:bCs/>
        </w:rPr>
        <w:t>11.6 管理人、托管人及其高级管理人员受稽查或处罚等情况</w:t>
      </w:r>
      <w:bookmarkEnd w:id="60"/>
    </w:p>
    <w:p>
      <w:pPr>
        <w:pStyle w:val="20"/>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4"/>
        <w:rPr>
          <w:rFonts w:hint="eastAsia"/>
        </w:rPr>
      </w:pPr>
      <w:bookmarkStart w:id="61" w:name="_Toc4173756"/>
      <w:r>
        <w:rPr>
          <w:rFonts w:hint="eastAsia"/>
          <w:b/>
          <w:bCs/>
        </w:rPr>
        <w:t>11.7 基金租用证券公司交易单元的有关情况</w:t>
      </w:r>
      <w:bookmarkEnd w:id="61"/>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26,251,356.82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18,864.66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5,913,965.47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1,890.78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11,776,701.47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3,745.39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308,761.00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99.09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本基金在报告期内成立，交易单元均于本期内新增。</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611,096.20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151,654.30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4"/>
        <w:rPr>
          <w:rFonts w:hint="eastAsia"/>
        </w:rPr>
      </w:pPr>
      <w:bookmarkStart w:id="62" w:name="_Toc4173757"/>
      <w:r>
        <w:rPr>
          <w:rFonts w:hint="eastAsia"/>
          <w:b/>
          <w:bCs/>
        </w:rPr>
        <w:t>11.8 其他重大事件</w:t>
      </w:r>
      <w:bookmarkEnd w:id="62"/>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创金合信国证2000指数发起式证券投资基金基金份额发售公告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创金合信国证2000指数发起式证券投资基金基金合同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创金合信国证2000指数发起式证券投资基金基金合同内容摘要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创金合信国证2000指数发起式证券投资基金托管协议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创金合信国证2000指数发起式证券投资基金招募说明书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创金合信基金管理有限公司关于旗下部分开放式基金增加华泰证券为代销机构暨参加华泰证券费率优惠活动的公告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创金合信基金管理有限公司关于旗下部分开放式基金增加苏宁金融为代销机构的公告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创金合信国证2000指数发起式证券投资基金基金合同生效公告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创金合信国证2000指数发起式证券投资基金开放日常申购、赎回、转换和定期定额投资业务的公告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创金合信基金管理有限公司关于旗下开放式基金参与第一创业证券费率优惠活动的公告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创金合信国证2000指数发起式证券投资基金2018年第2季度报告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创金合信国证2000指数发起式证券投资基金2018年半年度报告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创金合信国证2000指数发起式证券投资基金（2018年第1号）招募说明书（更新）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创金合信国证2000指数发起式证券投资基金招募说明书（更新）摘要（2018年第1号）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创金合信国证2000指数发起式证券投资基金2018年第3季度报告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创金合信基金管理有限公司关于旗下部分开放式基金增加中银国际证券为代销机构的公告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2018-11-29</w:t>
            </w:r>
          </w:p>
        </w:tc>
      </w:tr>
    </w:tbl>
    <w:p>
      <w:pPr>
        <w:widowControl/>
        <w:jc w:val="left"/>
        <w:rPr>
          <w:rFonts w:hint="eastAsia" w:ascii="宋体" w:hAnsi="宋体" w:cs="宋体"/>
          <w:kern w:val="0"/>
          <w:sz w:val="24"/>
          <w:szCs w:val="24"/>
        </w:rPr>
      </w:pPr>
    </w:p>
    <w:p>
      <w:pPr>
        <w:pStyle w:val="13"/>
        <w:rPr>
          <w:rFonts w:hint="eastAsia"/>
        </w:rPr>
      </w:pPr>
      <w:bookmarkStart w:id="63" w:name="_Toc4173758"/>
      <w:r>
        <w:rPr>
          <w:rFonts w:hint="eastAsia" w:hAnsi="Calibri"/>
          <w:b/>
          <w:color w:val="000000"/>
        </w:rPr>
        <w:t>§12  影响投资者决策的其他重要信息</w:t>
      </w:r>
      <w:bookmarkEnd w:id="63"/>
    </w:p>
    <w:p>
      <w:pPr>
        <w:widowControl/>
        <w:jc w:val="left"/>
        <w:rPr>
          <w:rFonts w:hint="eastAsia" w:ascii="宋体" w:hAnsi="宋体" w:cs="宋体"/>
          <w:kern w:val="0"/>
          <w:sz w:val="24"/>
          <w:szCs w:val="24"/>
        </w:rPr>
      </w:pPr>
    </w:p>
    <w:p>
      <w:pPr>
        <w:pStyle w:val="14"/>
        <w:rPr>
          <w:rFonts w:hint="eastAsia"/>
        </w:rPr>
      </w:pPr>
      <w:bookmarkStart w:id="64" w:name="_Toc4173759"/>
      <w:r>
        <w:rPr>
          <w:rFonts w:hint="eastAsia"/>
          <w:b/>
          <w:bCs/>
        </w:rPr>
        <w:t>12.1 报告期内单一投资者持有基金份额比例达到或超过20%的情况</w:t>
      </w:r>
      <w:bookmarkEnd w:id="64"/>
    </w:p>
    <w:tbl>
      <w:tblPr>
        <w:tblStyle w:val="7"/>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530"/>
        <w:gridCol w:w="1428"/>
      </w:tblGrid>
      <w:tr>
        <w:tblPrEx>
          <w:tblCellMar>
            <w:top w:w="0" w:type="dxa"/>
            <w:left w:w="108" w:type="dxa"/>
            <w:bottom w:w="0" w:type="dxa"/>
            <w:right w:w="108" w:type="dxa"/>
          </w:tblCellMar>
        </w:tblPrEx>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20180207 - 20181231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85.38%</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20"/>
              <w:wordWrap w:val="0"/>
              <w:spacing w:before="0"/>
              <w:ind w:left="0" w:firstLine="480"/>
              <w:rPr>
                <w:rFonts w:hint="eastAsia"/>
              </w:rPr>
            </w:pPr>
            <w:r>
              <w:rPr>
                <w:rFonts w:hint="eastAsia"/>
              </w:rPr>
              <w:t>1、大额申购风险</w:t>
            </w:r>
          </w:p>
          <w:p>
            <w:pPr>
              <w:pStyle w:val="20"/>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20"/>
              <w:wordWrap w:val="0"/>
              <w:spacing w:before="0"/>
              <w:ind w:left="0" w:firstLine="480"/>
              <w:rPr>
                <w:rFonts w:hint="eastAsia"/>
              </w:rPr>
            </w:pPr>
            <w:r>
              <w:rPr>
                <w:rFonts w:hint="eastAsia"/>
              </w:rPr>
              <w:t>2、大额赎回风险</w:t>
            </w:r>
          </w:p>
          <w:p>
            <w:pPr>
              <w:pStyle w:val="20"/>
              <w:wordWrap w:val="0"/>
              <w:spacing w:before="0"/>
              <w:ind w:left="0" w:firstLine="480"/>
              <w:rPr>
                <w:rFonts w:hint="eastAsia"/>
              </w:rPr>
            </w:pPr>
            <w:r>
              <w:rPr>
                <w:rFonts w:hint="eastAsia"/>
              </w:rPr>
              <w:t>（1）若本基金在短时间内难以变现足够的资产予以应对，可能导致流动性风险；</w:t>
            </w:r>
          </w:p>
          <w:p>
            <w:pPr>
              <w:pStyle w:val="20"/>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20"/>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20"/>
              <w:wordWrap w:val="0"/>
              <w:spacing w:before="0"/>
              <w:ind w:left="0" w:firstLine="480"/>
              <w:rPr>
                <w:rFonts w:hint="eastAsia"/>
              </w:rPr>
            </w:pPr>
            <w:r>
              <w:rPr>
                <w:rFonts w:hint="eastAsia"/>
              </w:rPr>
              <w:t>（4）因基金净值精度计算问题，可能因赎回费归入基金资产，导致基金净值有较大波动；</w:t>
            </w:r>
          </w:p>
          <w:p>
            <w:pPr>
              <w:pStyle w:val="20"/>
              <w:wordWrap w:val="0"/>
              <w:spacing w:before="0"/>
              <w:ind w:left="0" w:firstLine="480"/>
              <w:rPr>
                <w:rFonts w:hint="eastAsia"/>
              </w:rPr>
            </w:pPr>
            <w:r>
              <w:rPr>
                <w:rFonts w:hint="eastAsia"/>
              </w:rPr>
              <w:t>（5）大额赎回导致基金资产规模过小，不能满足存续条件，可能导致基金合同终止、清算等风险。</w:t>
            </w:r>
          </w:p>
          <w:p>
            <w:pPr>
              <w:pStyle w:val="20"/>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14"/>
        <w:rPr>
          <w:rFonts w:hint="eastAsia"/>
        </w:rPr>
      </w:pPr>
      <w:bookmarkStart w:id="65" w:name="_Toc4173760"/>
      <w:r>
        <w:rPr>
          <w:rFonts w:hint="eastAsia"/>
          <w:b/>
          <w:bCs/>
        </w:rPr>
        <w:t>12.2 影响投资者决策的其他重要信息</w:t>
      </w:r>
      <w:bookmarkEnd w:id="65"/>
    </w:p>
    <w:p>
      <w:pPr>
        <w:pStyle w:val="17"/>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3"/>
        <w:rPr>
          <w:rFonts w:hint="eastAsia"/>
        </w:rPr>
      </w:pPr>
      <w:bookmarkStart w:id="66" w:name="_Toc4173761"/>
      <w:r>
        <w:rPr>
          <w:rFonts w:hint="eastAsia" w:hAnsi="Calibri"/>
          <w:b/>
          <w:color w:val="000000"/>
        </w:rPr>
        <w:t>§13  备查文件目录</w:t>
      </w:r>
      <w:bookmarkEnd w:id="66"/>
    </w:p>
    <w:p>
      <w:pPr>
        <w:widowControl/>
        <w:jc w:val="left"/>
        <w:rPr>
          <w:rFonts w:hint="eastAsia" w:ascii="宋体" w:hAnsi="宋体" w:cs="宋体"/>
          <w:kern w:val="0"/>
          <w:sz w:val="24"/>
          <w:szCs w:val="24"/>
        </w:rPr>
      </w:pPr>
    </w:p>
    <w:p>
      <w:pPr>
        <w:pStyle w:val="14"/>
        <w:rPr>
          <w:rFonts w:hint="eastAsia"/>
        </w:rPr>
      </w:pPr>
      <w:bookmarkStart w:id="67" w:name="_Toc4173762"/>
      <w:r>
        <w:rPr>
          <w:rFonts w:hint="eastAsia"/>
          <w:b/>
          <w:bCs/>
        </w:rPr>
        <w:t>13.1 备查文件目录</w:t>
      </w:r>
      <w:bookmarkEnd w:id="67"/>
    </w:p>
    <w:p>
      <w:pPr>
        <w:pStyle w:val="20"/>
        <w:spacing w:before="0"/>
        <w:ind w:left="0" w:firstLine="480"/>
        <w:rPr>
          <w:rFonts w:hint="eastAsia"/>
        </w:rPr>
      </w:pPr>
      <w:r>
        <w:rPr>
          <w:rFonts w:hint="eastAsia"/>
        </w:rPr>
        <w:t>1、《创金合信国证2000指数发起式证券投资基金基金合同》；</w:t>
      </w:r>
    </w:p>
    <w:p>
      <w:pPr>
        <w:pStyle w:val="20"/>
        <w:spacing w:before="0"/>
        <w:ind w:left="0" w:firstLine="480"/>
        <w:rPr>
          <w:rFonts w:hint="eastAsia"/>
        </w:rPr>
      </w:pPr>
      <w:r>
        <w:rPr>
          <w:rFonts w:hint="eastAsia"/>
        </w:rPr>
        <w:t>2、《创金合信国证2000指数发起式证券投资基金托管协议》；</w:t>
      </w:r>
    </w:p>
    <w:p>
      <w:pPr>
        <w:pStyle w:val="20"/>
        <w:spacing w:before="0"/>
        <w:ind w:left="0" w:firstLine="480"/>
        <w:rPr>
          <w:rFonts w:hint="eastAsia"/>
        </w:rPr>
      </w:pPr>
      <w:r>
        <w:rPr>
          <w:rFonts w:hint="eastAsia"/>
        </w:rPr>
        <w:t>3、创金合信国证2000指数发起式证券投资基金2018年年度报告。</w:t>
      </w:r>
    </w:p>
    <w:p>
      <w:pPr>
        <w:widowControl/>
        <w:jc w:val="left"/>
        <w:rPr>
          <w:rFonts w:hint="eastAsia" w:ascii="宋体" w:hAnsi="宋体" w:cs="宋体"/>
          <w:kern w:val="0"/>
          <w:sz w:val="24"/>
          <w:szCs w:val="24"/>
        </w:rPr>
      </w:pPr>
    </w:p>
    <w:p>
      <w:pPr>
        <w:pStyle w:val="14"/>
        <w:rPr>
          <w:rFonts w:hint="eastAsia"/>
        </w:rPr>
      </w:pPr>
      <w:bookmarkStart w:id="68" w:name="_Toc4173763"/>
      <w:r>
        <w:rPr>
          <w:rFonts w:hint="eastAsia"/>
          <w:b/>
          <w:bCs/>
        </w:rPr>
        <w:t>13.2 存放地点</w:t>
      </w:r>
      <w:bookmarkEnd w:id="68"/>
    </w:p>
    <w:p>
      <w:pPr>
        <w:pStyle w:val="20"/>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4"/>
        <w:rPr>
          <w:rFonts w:hint="eastAsia"/>
        </w:rPr>
      </w:pPr>
      <w:bookmarkStart w:id="69" w:name="_Toc4173764"/>
      <w:r>
        <w:rPr>
          <w:rFonts w:hint="eastAsia"/>
          <w:b/>
          <w:bCs/>
        </w:rPr>
        <w:t>13.3 查阅方式</w:t>
      </w:r>
      <w:bookmarkEnd w:id="69"/>
    </w:p>
    <w:p>
      <w:pPr>
        <w:pStyle w:val="20"/>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二〇一九年三月二十九日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8</w:t>
    </w:r>
    <w:r>
      <w:rPr>
        <w:rStyle w:val="10"/>
      </w:rPr>
      <w:fldChar w:fldCharType="end"/>
    </w:r>
  </w:p>
  <w:p>
    <w:pPr>
      <w:pStyle w:val="2"/>
      <w:jc w:val="center"/>
    </w:pPr>
    <w:r>
      <w:rPr>
        <w:rFonts w:hint="eastAsia"/>
      </w:rPr>
      <w:t xml:space="preserve">                   第       页，共77页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创金合信国证2000指数发起式证券投资基金2018年年度报告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E6356"/>
    <w:rsid w:val="001F1979"/>
    <w:rsid w:val="002E6356"/>
    <w:rsid w:val="004249B8"/>
    <w:rsid w:val="00820C0D"/>
    <w:rsid w:val="008F0CFF"/>
    <w:rsid w:val="618C54F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 w:type="character" w:customStyle="1" w:styleId="27">
    <w:name w:val="$sfzbgqn"/>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77</Pages>
  <Words>9186</Words>
  <Characters>52361</Characters>
  <Lines>436</Lines>
  <Paragraphs>122</Paragraphs>
  <TotalTime>0</TotalTime>
  <ScaleCrop>false</ScaleCrop>
  <LinksUpToDate>false</LinksUpToDate>
  <CharactersWithSpaces>61425</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2019-03-22T11:00:00Z</dcterms:created>
  <dc:creator>石怡翔</dc:creator>
  <cp:lastModifiedBy>Administrator</cp:lastModifiedBy>
  <dcterms:modified xsi:type="dcterms:W3CDTF">2019-12-26T14:10:40Z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