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b/>
          <w:color w:val="000000"/>
        </w:rPr>
      </w:pPr>
      <w:bookmarkStart w:id="70" w:name="_GoBack"/>
      <w:bookmarkEnd w:id="70"/>
    </w:p>
    <w:p>
      <w:pPr>
        <w:widowControl/>
        <w:jc w:val="left"/>
        <w:rPr>
          <w:b/>
          <w:color w:val="000000"/>
        </w:rPr>
      </w:pPr>
    </w:p>
    <w:p>
      <w:pPr>
        <w:widowControl/>
        <w:jc w:val="left"/>
        <w:rPr>
          <w:b/>
          <w:color w:val="000000"/>
        </w:rPr>
      </w:pPr>
    </w:p>
    <w:p>
      <w:pPr>
        <w:widowControl/>
        <w:spacing w:before="240" w:after="120"/>
        <w:jc w:val="center"/>
        <w:rPr>
          <w:rFonts w:ascii="黑体" w:hAnsi="黑体" w:eastAsia="黑体"/>
          <w:b/>
          <w:color w:val="000000"/>
          <w:sz w:val="36"/>
        </w:rPr>
      </w:pPr>
      <w:r>
        <w:rPr>
          <w:rFonts w:ascii="黑体" w:hAnsi="黑体" w:eastAsia="黑体"/>
          <w:b/>
          <w:color w:val="000000"/>
          <w:sz w:val="36"/>
        </w:rPr>
        <w:t>创金合信MSCI中国A股国际指数发起式证券投资基金</w:t>
      </w:r>
    </w:p>
    <w:p>
      <w:pPr>
        <w:widowControl/>
        <w:spacing w:before="240" w:after="120"/>
        <w:jc w:val="center"/>
        <w:rPr>
          <w:rFonts w:ascii="宋体" w:hAnsi="宋体"/>
          <w:b/>
          <w:color w:val="000000"/>
          <w:sz w:val="36"/>
        </w:rPr>
      </w:pPr>
    </w:p>
    <w:p>
      <w:pPr>
        <w:widowControl/>
        <w:spacing w:before="240" w:after="120"/>
        <w:jc w:val="center"/>
        <w:rPr>
          <w:rFonts w:ascii="黑体" w:hAnsi="黑体" w:eastAsia="黑体"/>
          <w:b/>
          <w:color w:val="000000"/>
          <w:sz w:val="36"/>
        </w:rPr>
      </w:pPr>
      <w:r>
        <w:rPr>
          <w:rFonts w:ascii="黑体" w:hAnsi="黑体" w:eastAsia="黑体"/>
          <w:b/>
          <w:color w:val="000000"/>
          <w:sz w:val="36"/>
        </w:rPr>
        <w:t>2018年年度报告</w:t>
      </w:r>
    </w:p>
    <w:p>
      <w:pPr>
        <w:widowControl/>
        <w:spacing w:before="240" w:after="120"/>
        <w:jc w:val="center"/>
        <w:rPr>
          <w:rFonts w:ascii="宋体" w:hAnsi="宋体"/>
          <w:b/>
          <w:color w:val="000000"/>
          <w:sz w:val="24"/>
        </w:rPr>
      </w:pPr>
      <w:r>
        <w:rPr>
          <w:rFonts w:ascii="宋体" w:hAnsi="宋体"/>
          <w:b/>
          <w:color w:val="000000"/>
          <w:sz w:val="24"/>
        </w:rPr>
        <w:t>2018年12月31日</w:t>
      </w: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rFonts w:hint="eastAsia"/>
          <w:b/>
          <w:color w:val="000000"/>
          <w:sz w:val="24"/>
        </w:rPr>
      </w:pPr>
      <w:r>
        <w:rPr>
          <w:rFonts w:hint="eastAsia"/>
          <w:b/>
          <w:color w:val="000000"/>
          <w:sz w:val="24"/>
        </w:rPr>
        <w:t>基金管理人:创金合信基金管理有限公司</w:t>
      </w:r>
    </w:p>
    <w:p>
      <w:pPr>
        <w:widowControl/>
        <w:spacing w:before="240" w:after="120"/>
        <w:jc w:val="center"/>
        <w:rPr>
          <w:rFonts w:hint="eastAsia"/>
          <w:b/>
          <w:color w:val="000000"/>
          <w:sz w:val="24"/>
        </w:rPr>
      </w:pPr>
      <w:r>
        <w:rPr>
          <w:rFonts w:hint="eastAsia"/>
          <w:b/>
          <w:color w:val="000000"/>
          <w:sz w:val="24"/>
        </w:rPr>
        <w:t>基金托管人:招商银行股份有限公司</w:t>
      </w:r>
    </w:p>
    <w:p>
      <w:pPr>
        <w:widowControl/>
        <w:spacing w:before="240" w:after="120"/>
        <w:jc w:val="center"/>
        <w:rPr>
          <w:rFonts w:ascii="宋体" w:cs="宋体"/>
          <w:b/>
          <w:color w:val="000000"/>
          <w:kern w:val="0"/>
          <w:sz w:val="24"/>
          <w:szCs w:val="24"/>
        </w:rPr>
      </w:pPr>
      <w:r>
        <w:rPr>
          <w:rFonts w:hint="eastAsia"/>
          <w:b/>
          <w:color w:val="000000"/>
          <w:sz w:val="24"/>
        </w:rPr>
        <w:t>送出日期:2019年03月29日</w:t>
      </w:r>
      <w:r>
        <w:rPr>
          <w:b/>
          <w:color w:val="000000"/>
        </w:rPr>
        <w:br w:type="page"/>
      </w:r>
    </w:p>
    <w:p>
      <w:pPr>
        <w:pStyle w:val="13"/>
        <w:spacing w:before="240" w:after="120"/>
      </w:pPr>
      <w:bookmarkStart w:id="0" w:name="_Toc4173625"/>
      <w:r>
        <w:rPr>
          <w:rFonts w:hint="eastAsia" w:hAnsi="Calibri"/>
          <w:b/>
          <w:color w:val="000000"/>
        </w:rPr>
        <w:t>§1  重要提示及目录</w:t>
      </w:r>
      <w:bookmarkEnd w:id="0"/>
      <w:r>
        <w:rPr>
          <w:rFonts w:hint="eastAsia"/>
        </w:rPr>
        <w:t xml:space="preserve"> </w:t>
      </w:r>
    </w:p>
    <w:p>
      <w:pPr>
        <w:pStyle w:val="14"/>
        <w:rPr>
          <w:rFonts w:hint="eastAsia"/>
        </w:rPr>
      </w:pPr>
      <w:bookmarkStart w:id="1" w:name="_Toc4173626"/>
      <w:r>
        <w:rPr>
          <w:rFonts w:hint="eastAsia"/>
          <w:b/>
          <w:bCs/>
        </w:rPr>
        <w:t>1.1 重要提示</w:t>
      </w:r>
      <w:bookmarkEnd w:id="1"/>
    </w:p>
    <w:tbl>
      <w:tblPr>
        <w:tblStyle w:val="7"/>
        <w:tblW w:w="0" w:type="auto"/>
        <w:tblInd w:w="108" w:type="dxa"/>
        <w:tblLayout w:type="autofit"/>
        <w:tblCellMar>
          <w:top w:w="0" w:type="dxa"/>
          <w:left w:w="108" w:type="dxa"/>
          <w:bottom w:w="0" w:type="dxa"/>
          <w:right w:w="108" w:type="dxa"/>
        </w:tblCellMar>
      </w:tblPr>
      <w:tblGrid>
        <w:gridCol w:w="9030"/>
      </w:tblGrid>
      <w:tr>
        <w:tblPrEx>
          <w:tblCellMar>
            <w:top w:w="0" w:type="dxa"/>
            <w:left w:w="108" w:type="dxa"/>
            <w:bottom w:w="0" w:type="dxa"/>
            <w:right w:w="108" w:type="dxa"/>
          </w:tblCellMar>
        </w:tblPrEx>
        <w:trPr>
          <w:wBefore w:w="0" w:type="auto"/>
        </w:trPr>
        <w:tc>
          <w:tcPr>
            <w:tcW w:w="9030" w:type="dxa"/>
            <w:tcBorders>
              <w:top w:val="dashed" w:color="000000" w:sz="6" w:space="0"/>
              <w:left w:val="dashed" w:color="000000" w:sz="6" w:space="0"/>
              <w:bottom w:val="dashed" w:color="000000" w:sz="6" w:space="0"/>
              <w:right w:val="dashed" w:color="000000" w:sz="6" w:space="0"/>
            </w:tcBorders>
            <w:noWrap w:val="0"/>
            <w:vAlign w:val="center"/>
          </w:tcPr>
          <w:p>
            <w:pPr>
              <w:pStyle w:val="17"/>
              <w:wordWrap w:val="0"/>
              <w:spacing w:before="0"/>
              <w:ind w:left="0" w:firstLine="480"/>
              <w:rPr>
                <w:rFonts w:hint="eastAsia"/>
              </w:rPr>
            </w:pPr>
            <w:r>
              <w:rPr>
                <w:rFonts w:hint="eastAsia"/>
              </w:rPr>
              <w:t>基金管理人的董事会、董事保证本报告所载资料不存在虚假记载、误导性陈述或重大遗漏，并对其内容的真实性、准确性和完整性承担个别及连带的法律责任。本年度报告已经三分之二以上独立董事签字同意，并由董事长签发。</w:t>
            </w:r>
          </w:p>
          <w:p>
            <w:pPr>
              <w:pStyle w:val="20"/>
              <w:wordWrap w:val="0"/>
              <w:spacing w:before="0"/>
              <w:ind w:left="0" w:firstLine="480"/>
              <w:rPr>
                <w:rFonts w:hint="eastAsia"/>
              </w:rPr>
            </w:pPr>
            <w:r>
              <w:rPr>
                <w:rFonts w:hint="eastAsia"/>
              </w:rPr>
              <w:t>基金托管人招商银行股份有限公司根据本基金合同规定，于2019年3月27日复核了本报告中的财务指标、净值表现、利润分配情况、财务会计报告、投资组合报告等内容，保证复核内容不存在虚假记载、误导性陈述或者重大遗漏。　　</w:t>
            </w:r>
          </w:p>
          <w:p>
            <w:pPr>
              <w:pStyle w:val="20"/>
              <w:wordWrap w:val="0"/>
              <w:spacing w:before="0"/>
              <w:ind w:left="0" w:firstLine="480"/>
              <w:rPr>
                <w:rFonts w:hint="eastAsia"/>
              </w:rPr>
            </w:pPr>
            <w:r>
              <w:rPr>
                <w:rFonts w:hint="eastAsia"/>
              </w:rPr>
              <w:t>基金管理人承诺以诚实信用、勤勉尽责的原则管理和运用基金资产，但不保证基金一定盈利。</w:t>
            </w:r>
          </w:p>
          <w:p>
            <w:pPr>
              <w:pStyle w:val="20"/>
              <w:wordWrap w:val="0"/>
              <w:spacing w:before="0"/>
              <w:ind w:left="0" w:firstLine="480"/>
              <w:rPr>
                <w:rFonts w:hint="eastAsia"/>
              </w:rPr>
            </w:pPr>
            <w:r>
              <w:rPr>
                <w:rFonts w:hint="eastAsia"/>
              </w:rPr>
              <w:t>基金的过往业绩并不代表其未来表现。投资有风险，投资者在作出投资决策前应仔细阅读本基金的招募说明书及其更新。</w:t>
            </w:r>
          </w:p>
          <w:p>
            <w:pPr>
              <w:pStyle w:val="20"/>
              <w:wordWrap w:val="0"/>
              <w:spacing w:before="0"/>
              <w:ind w:left="0" w:firstLine="480"/>
              <w:rPr>
                <w:rFonts w:hint="eastAsia"/>
              </w:rPr>
            </w:pPr>
            <w:r>
              <w:rPr>
                <w:rFonts w:hint="eastAsia"/>
              </w:rPr>
              <w:t>本报告期自2018年02月07日起至2018年12月31日止。</w:t>
            </w:r>
          </w:p>
        </w:tc>
      </w:tr>
    </w:tbl>
    <w:p>
      <w:pPr>
        <w:pStyle w:val="14"/>
        <w:rPr>
          <w:rFonts w:hint="eastAsia"/>
        </w:rPr>
      </w:pPr>
      <w:r>
        <w:rPr>
          <w:rFonts w:ascii="Times New Roman" w:hAnsi="Times New Roman"/>
        </w:rPr>
        <w:br w:type="page"/>
      </w:r>
      <w:bookmarkStart w:id="2" w:name="_Toc4173627"/>
      <w:r>
        <w:rPr>
          <w:rFonts w:hint="eastAsia"/>
          <w:b/>
          <w:bCs/>
        </w:rPr>
        <w:t>1.2 目录</w:t>
      </w:r>
      <w:bookmarkEnd w:id="2"/>
    </w:p>
    <w:p>
      <w:pPr>
        <w:pStyle w:val="4"/>
        <w:tabs>
          <w:tab w:val="right" w:leader="dot" w:pos="9080"/>
        </w:tabs>
        <w:rPr>
          <w:lang/>
        </w:rPr>
      </w:pPr>
      <w:r>
        <w:rPr>
          <w:rFonts w:ascii="Times New Roman" w:hAnsi="Times New Roman"/>
        </w:rPr>
        <w:fldChar w:fldCharType="begin"/>
      </w:r>
      <w:r>
        <w:rPr>
          <w:rFonts w:ascii="Times New Roman" w:hAnsi="Times New Roman"/>
        </w:rPr>
        <w:instrText xml:space="preserve"> TOC \o "1-4" \f 1 \h \z \t "-1" </w:instrText>
      </w:r>
      <w:r>
        <w:rPr>
          <w:rFonts w:ascii="Times New Roman" w:hAnsi="Times New Roman"/>
        </w:rPr>
        <w:fldChar w:fldCharType="separate"/>
      </w:r>
      <w:r>
        <w:rPr>
          <w:rStyle w:val="11"/>
          <w:lang/>
        </w:rPr>
        <w:fldChar w:fldCharType="begin"/>
      </w:r>
      <w:r>
        <w:rPr>
          <w:rStyle w:val="11"/>
          <w:lang/>
        </w:rPr>
        <w:instrText xml:space="preserve"> </w:instrText>
      </w:r>
      <w:r>
        <w:rPr>
          <w:lang/>
        </w:rPr>
        <w:instrText xml:space="preserve">HYPERLINK \l "_Toc4173625"</w:instrText>
      </w:r>
      <w:r>
        <w:rPr>
          <w:rStyle w:val="11"/>
          <w:lang/>
        </w:rPr>
        <w:instrText xml:space="preserve"> </w:instrText>
      </w:r>
      <w:r>
        <w:rPr>
          <w:rStyle w:val="11"/>
          <w:lang/>
        </w:rPr>
        <w:fldChar w:fldCharType="separate"/>
      </w:r>
      <w:r>
        <w:rPr>
          <w:rStyle w:val="11"/>
          <w:b/>
          <w:lang/>
        </w:rPr>
        <w:t xml:space="preserve">§1  </w:t>
      </w:r>
      <w:r>
        <w:rPr>
          <w:rStyle w:val="11"/>
          <w:rFonts w:hint="eastAsia"/>
          <w:b/>
          <w:lang/>
        </w:rPr>
        <w:t>重要提示及目录</w:t>
      </w:r>
      <w:r>
        <w:rPr>
          <w:lang/>
        </w:rPr>
        <w:tab/>
      </w:r>
      <w:r>
        <w:rPr>
          <w:lang/>
        </w:rPr>
        <w:fldChar w:fldCharType="begin"/>
      </w:r>
      <w:r>
        <w:rPr>
          <w:lang/>
        </w:rPr>
        <w:instrText xml:space="preserve"> PAGEREF _Toc4173625 \h </w:instrText>
      </w:r>
      <w:r>
        <w:rPr>
          <w:lang/>
        </w:rPr>
        <w:fldChar w:fldCharType="separate"/>
      </w:r>
      <w:r>
        <w:rPr>
          <w:lang/>
        </w:rPr>
        <w:t>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"_Toc4173626"</w:instrText>
      </w:r>
      <w:r>
        <w:rPr>
          <w:rStyle w:val="11"/>
          <w:lang/>
        </w:rPr>
        <w:instrText xml:space="preserve"> </w:instrText>
      </w:r>
      <w:r>
        <w:rPr>
          <w:rStyle w:val="11"/>
          <w:lang/>
        </w:rPr>
        <w:fldChar w:fldCharType="separate"/>
      </w:r>
      <w:r>
        <w:rPr>
          <w:rStyle w:val="11"/>
          <w:b/>
          <w:bCs/>
          <w:lang/>
        </w:rPr>
        <w:t xml:space="preserve">1.1 </w:t>
      </w:r>
      <w:r>
        <w:rPr>
          <w:rStyle w:val="11"/>
          <w:rFonts w:hint="eastAsia"/>
          <w:b/>
          <w:bCs/>
          <w:lang/>
        </w:rPr>
        <w:t>重要提示</w:t>
      </w:r>
      <w:r>
        <w:rPr>
          <w:lang/>
        </w:rPr>
        <w:tab/>
      </w:r>
      <w:r>
        <w:rPr>
          <w:lang/>
        </w:rPr>
        <w:fldChar w:fldCharType="begin"/>
      </w:r>
      <w:r>
        <w:rPr>
          <w:lang/>
        </w:rPr>
        <w:instrText xml:space="preserve"> PAGEREF _Toc4173626 \h </w:instrText>
      </w:r>
      <w:r>
        <w:rPr>
          <w:lang/>
        </w:rPr>
        <w:fldChar w:fldCharType="separate"/>
      </w:r>
      <w:r>
        <w:rPr>
          <w:lang/>
        </w:rPr>
        <w:t>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"_Toc4173627"</w:instrText>
      </w:r>
      <w:r>
        <w:rPr>
          <w:rStyle w:val="11"/>
          <w:lang/>
        </w:rPr>
        <w:instrText xml:space="preserve"> </w:instrText>
      </w:r>
      <w:r>
        <w:rPr>
          <w:rStyle w:val="11"/>
          <w:lang/>
        </w:rPr>
        <w:fldChar w:fldCharType="separate"/>
      </w:r>
      <w:r>
        <w:rPr>
          <w:rStyle w:val="11"/>
          <w:b/>
          <w:bCs/>
          <w:lang/>
        </w:rPr>
        <w:t xml:space="preserve">1.2 </w:t>
      </w:r>
      <w:r>
        <w:rPr>
          <w:rStyle w:val="11"/>
          <w:rFonts w:hint="eastAsia"/>
          <w:b/>
          <w:bCs/>
          <w:lang/>
        </w:rPr>
        <w:t>目录</w:t>
      </w:r>
      <w:r>
        <w:rPr>
          <w:lang/>
        </w:rPr>
        <w:tab/>
      </w:r>
      <w:r>
        <w:rPr>
          <w:lang/>
        </w:rPr>
        <w:fldChar w:fldCharType="begin"/>
      </w:r>
      <w:r>
        <w:rPr>
          <w:lang/>
        </w:rPr>
        <w:instrText xml:space="preserve"> PAGEREF _Toc4173627 \h </w:instrText>
      </w:r>
      <w:r>
        <w:rPr>
          <w:lang/>
        </w:rPr>
        <w:fldChar w:fldCharType="separate"/>
      </w:r>
      <w:r>
        <w:rPr>
          <w:lang/>
        </w:rPr>
        <w:t>3</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"_Toc4173628"</w:instrText>
      </w:r>
      <w:r>
        <w:rPr>
          <w:rStyle w:val="11"/>
          <w:lang/>
        </w:rPr>
        <w:instrText xml:space="preserve"> </w:instrText>
      </w:r>
      <w:r>
        <w:rPr>
          <w:rStyle w:val="11"/>
          <w:lang/>
        </w:rPr>
        <w:fldChar w:fldCharType="separate"/>
      </w:r>
      <w:r>
        <w:rPr>
          <w:rStyle w:val="11"/>
          <w:b/>
          <w:lang/>
        </w:rPr>
        <w:t xml:space="preserve">§2  </w:t>
      </w:r>
      <w:r>
        <w:rPr>
          <w:rStyle w:val="11"/>
          <w:rFonts w:hint="eastAsia"/>
          <w:b/>
          <w:lang/>
        </w:rPr>
        <w:t>基金简介</w:t>
      </w:r>
      <w:r>
        <w:rPr>
          <w:lang/>
        </w:rPr>
        <w:tab/>
      </w:r>
      <w:r>
        <w:rPr>
          <w:lang/>
        </w:rPr>
        <w:fldChar w:fldCharType="begin"/>
      </w:r>
      <w:r>
        <w:rPr>
          <w:lang/>
        </w:rPr>
        <w:instrText xml:space="preserve"> PAGEREF _Toc4173628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"_Toc4173629"</w:instrText>
      </w:r>
      <w:r>
        <w:rPr>
          <w:rStyle w:val="11"/>
          <w:lang/>
        </w:rPr>
        <w:instrText xml:space="preserve"> </w:instrText>
      </w:r>
      <w:r>
        <w:rPr>
          <w:rStyle w:val="11"/>
          <w:lang/>
        </w:rPr>
        <w:fldChar w:fldCharType="separate"/>
      </w:r>
      <w:r>
        <w:rPr>
          <w:rStyle w:val="11"/>
          <w:b/>
          <w:bCs/>
          <w:lang/>
        </w:rPr>
        <w:t xml:space="preserve">2.1 </w:t>
      </w:r>
      <w:r>
        <w:rPr>
          <w:rStyle w:val="11"/>
          <w:rFonts w:hint="eastAsia"/>
          <w:b/>
          <w:bCs/>
          <w:lang/>
        </w:rPr>
        <w:t>基金基本情况</w:t>
      </w:r>
      <w:r>
        <w:rPr>
          <w:lang/>
        </w:rPr>
        <w:tab/>
      </w:r>
      <w:r>
        <w:rPr>
          <w:lang/>
        </w:rPr>
        <w:fldChar w:fldCharType="begin"/>
      </w:r>
      <w:r>
        <w:rPr>
          <w:lang/>
        </w:rPr>
        <w:instrText xml:space="preserve"> PAGEREF _Toc4173629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"_Toc4173630"</w:instrText>
      </w:r>
      <w:r>
        <w:rPr>
          <w:rStyle w:val="11"/>
          <w:lang/>
        </w:rPr>
        <w:instrText xml:space="preserve"> </w:instrText>
      </w:r>
      <w:r>
        <w:rPr>
          <w:rStyle w:val="11"/>
          <w:lang/>
        </w:rPr>
        <w:fldChar w:fldCharType="separate"/>
      </w:r>
      <w:r>
        <w:rPr>
          <w:rStyle w:val="11"/>
          <w:b/>
          <w:bCs/>
          <w:lang/>
        </w:rPr>
        <w:t xml:space="preserve">2.2 </w:t>
      </w:r>
      <w:r>
        <w:rPr>
          <w:rStyle w:val="11"/>
          <w:rFonts w:hint="eastAsia"/>
          <w:b/>
          <w:bCs/>
          <w:lang/>
        </w:rPr>
        <w:t>基金产品说明</w:t>
      </w:r>
      <w:r>
        <w:rPr>
          <w:lang/>
        </w:rPr>
        <w:tab/>
      </w:r>
      <w:r>
        <w:rPr>
          <w:lang/>
        </w:rPr>
        <w:fldChar w:fldCharType="begin"/>
      </w:r>
      <w:r>
        <w:rPr>
          <w:lang/>
        </w:rPr>
        <w:instrText xml:space="preserve"> PAGEREF _Toc4173630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"_Toc4173631"</w:instrText>
      </w:r>
      <w:r>
        <w:rPr>
          <w:rStyle w:val="11"/>
          <w:lang/>
        </w:rPr>
        <w:instrText xml:space="preserve"> </w:instrText>
      </w:r>
      <w:r>
        <w:rPr>
          <w:rStyle w:val="11"/>
          <w:lang/>
        </w:rPr>
        <w:fldChar w:fldCharType="separate"/>
      </w:r>
      <w:r>
        <w:rPr>
          <w:rStyle w:val="11"/>
          <w:b/>
          <w:bCs/>
          <w:lang/>
        </w:rPr>
        <w:t xml:space="preserve">2.3 </w:t>
      </w:r>
      <w:r>
        <w:rPr>
          <w:rStyle w:val="11"/>
          <w:rFonts w:hint="eastAsia"/>
          <w:b/>
          <w:bCs/>
          <w:lang/>
        </w:rPr>
        <w:t>基金管理人和基金托管人</w:t>
      </w:r>
      <w:r>
        <w:rPr>
          <w:lang/>
        </w:rPr>
        <w:tab/>
      </w:r>
      <w:r>
        <w:rPr>
          <w:lang/>
        </w:rPr>
        <w:fldChar w:fldCharType="begin"/>
      </w:r>
      <w:r>
        <w:rPr>
          <w:lang/>
        </w:rPr>
        <w:instrText xml:space="preserve"> PAGEREF _Toc4173631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"_Toc4173632"</w:instrText>
      </w:r>
      <w:r>
        <w:rPr>
          <w:rStyle w:val="11"/>
          <w:lang/>
        </w:rPr>
        <w:instrText xml:space="preserve"> </w:instrText>
      </w:r>
      <w:r>
        <w:rPr>
          <w:rStyle w:val="11"/>
          <w:lang/>
        </w:rPr>
        <w:fldChar w:fldCharType="separate"/>
      </w:r>
      <w:r>
        <w:rPr>
          <w:rStyle w:val="11"/>
          <w:b/>
          <w:bCs/>
          <w:lang/>
        </w:rPr>
        <w:t xml:space="preserve">2.4 </w:t>
      </w:r>
      <w:r>
        <w:rPr>
          <w:rStyle w:val="11"/>
          <w:rFonts w:hint="eastAsia"/>
          <w:b/>
          <w:bCs/>
          <w:lang/>
        </w:rPr>
        <w:t>信息披露方式</w:t>
      </w:r>
      <w:r>
        <w:rPr>
          <w:lang/>
        </w:rPr>
        <w:tab/>
      </w:r>
      <w:r>
        <w:rPr>
          <w:lang/>
        </w:rPr>
        <w:fldChar w:fldCharType="begin"/>
      </w:r>
      <w:r>
        <w:rPr>
          <w:lang/>
        </w:rPr>
        <w:instrText xml:space="preserve"> PAGEREF _Toc4173632 \h </w:instrText>
      </w:r>
      <w:r>
        <w:rPr>
          <w:lang/>
        </w:rPr>
        <w:fldChar w:fldCharType="separate"/>
      </w:r>
      <w:r>
        <w:rPr>
          <w:lang/>
        </w:rPr>
        <w:t>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"_Toc4173633"</w:instrText>
      </w:r>
      <w:r>
        <w:rPr>
          <w:rStyle w:val="11"/>
          <w:lang/>
        </w:rPr>
        <w:instrText xml:space="preserve"> </w:instrText>
      </w:r>
      <w:r>
        <w:rPr>
          <w:rStyle w:val="11"/>
          <w:lang/>
        </w:rPr>
        <w:fldChar w:fldCharType="separate"/>
      </w:r>
      <w:r>
        <w:rPr>
          <w:rStyle w:val="11"/>
          <w:b/>
          <w:bCs/>
          <w:lang/>
        </w:rPr>
        <w:t xml:space="preserve">2.5 </w:t>
      </w:r>
      <w:r>
        <w:rPr>
          <w:rStyle w:val="11"/>
          <w:rFonts w:hint="eastAsia"/>
          <w:b/>
          <w:bCs/>
          <w:lang/>
        </w:rPr>
        <w:t>其他相关资料</w:t>
      </w:r>
      <w:r>
        <w:rPr>
          <w:lang/>
        </w:rPr>
        <w:tab/>
      </w:r>
      <w:r>
        <w:rPr>
          <w:lang/>
        </w:rPr>
        <w:fldChar w:fldCharType="begin"/>
      </w:r>
      <w:r>
        <w:rPr>
          <w:lang/>
        </w:rPr>
        <w:instrText xml:space="preserve"> PAGEREF _Toc4173633 \h </w:instrText>
      </w:r>
      <w:r>
        <w:rPr>
          <w:lang/>
        </w:rPr>
        <w:fldChar w:fldCharType="separate"/>
      </w:r>
      <w:r>
        <w:rPr>
          <w:lang/>
        </w:rPr>
        <w:t>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"_Toc4173634"</w:instrText>
      </w:r>
      <w:r>
        <w:rPr>
          <w:rStyle w:val="11"/>
          <w:lang/>
        </w:rPr>
        <w:instrText xml:space="preserve"> </w:instrText>
      </w:r>
      <w:r>
        <w:rPr>
          <w:rStyle w:val="11"/>
          <w:lang/>
        </w:rPr>
        <w:fldChar w:fldCharType="separate"/>
      </w:r>
      <w:r>
        <w:rPr>
          <w:rStyle w:val="11"/>
          <w:b/>
          <w:lang/>
        </w:rPr>
        <w:t xml:space="preserve">§3  </w:t>
      </w:r>
      <w:r>
        <w:rPr>
          <w:rStyle w:val="11"/>
          <w:rFonts w:hint="eastAsia"/>
          <w:b/>
          <w:lang/>
        </w:rPr>
        <w:t>主要财务指标、基金净值表现及利润分配情况</w:t>
      </w:r>
      <w:r>
        <w:rPr>
          <w:lang/>
        </w:rPr>
        <w:tab/>
      </w:r>
      <w:r>
        <w:rPr>
          <w:lang/>
        </w:rPr>
        <w:fldChar w:fldCharType="begin"/>
      </w:r>
      <w:r>
        <w:rPr>
          <w:lang/>
        </w:rPr>
        <w:instrText xml:space="preserve"> PAGEREF _Toc4173634 \h </w:instrText>
      </w:r>
      <w:r>
        <w:rPr>
          <w:lang/>
        </w:rPr>
        <w:fldChar w:fldCharType="separate"/>
      </w:r>
      <w:r>
        <w:rPr>
          <w:lang/>
        </w:rPr>
        <w:t>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"_Toc4173635"</w:instrText>
      </w:r>
      <w:r>
        <w:rPr>
          <w:rStyle w:val="11"/>
          <w:lang/>
        </w:rPr>
        <w:instrText xml:space="preserve"> </w:instrText>
      </w:r>
      <w:r>
        <w:rPr>
          <w:rStyle w:val="11"/>
          <w:lang/>
        </w:rPr>
        <w:fldChar w:fldCharType="separate"/>
      </w:r>
      <w:r>
        <w:rPr>
          <w:rStyle w:val="11"/>
          <w:b/>
          <w:bCs/>
          <w:lang/>
        </w:rPr>
        <w:t xml:space="preserve">3.1 </w:t>
      </w:r>
      <w:r>
        <w:rPr>
          <w:rStyle w:val="11"/>
          <w:rFonts w:hint="eastAsia"/>
          <w:b/>
          <w:bCs/>
          <w:lang/>
        </w:rPr>
        <w:t>主要会计数据和财务指标</w:t>
      </w:r>
      <w:r>
        <w:rPr>
          <w:lang/>
        </w:rPr>
        <w:tab/>
      </w:r>
      <w:r>
        <w:rPr>
          <w:lang/>
        </w:rPr>
        <w:fldChar w:fldCharType="begin"/>
      </w:r>
      <w:r>
        <w:rPr>
          <w:lang/>
        </w:rPr>
        <w:instrText xml:space="preserve"> PAGEREF _Toc4173635 \h </w:instrText>
      </w:r>
      <w:r>
        <w:rPr>
          <w:lang/>
        </w:rPr>
        <w:fldChar w:fldCharType="separate"/>
      </w:r>
      <w:r>
        <w:rPr>
          <w:lang/>
        </w:rPr>
        <w:t>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"_Toc4173636"</w:instrText>
      </w:r>
      <w:r>
        <w:rPr>
          <w:rStyle w:val="11"/>
          <w:lang/>
        </w:rPr>
        <w:instrText xml:space="preserve"> </w:instrText>
      </w:r>
      <w:r>
        <w:rPr>
          <w:rStyle w:val="11"/>
          <w:lang/>
        </w:rPr>
        <w:fldChar w:fldCharType="separate"/>
      </w:r>
      <w:r>
        <w:rPr>
          <w:rStyle w:val="11"/>
          <w:b/>
          <w:bCs/>
          <w:lang/>
        </w:rPr>
        <w:t xml:space="preserve">3.2 </w:t>
      </w:r>
      <w:r>
        <w:rPr>
          <w:rStyle w:val="11"/>
          <w:rFonts w:hint="eastAsia"/>
          <w:b/>
          <w:bCs/>
          <w:lang/>
        </w:rPr>
        <w:t>基金净值表现</w:t>
      </w:r>
      <w:r>
        <w:rPr>
          <w:lang/>
        </w:rPr>
        <w:tab/>
      </w:r>
      <w:r>
        <w:rPr>
          <w:lang/>
        </w:rPr>
        <w:fldChar w:fldCharType="begin"/>
      </w:r>
      <w:r>
        <w:rPr>
          <w:lang/>
        </w:rPr>
        <w:instrText xml:space="preserve"> PAGEREF _Toc4173636 \h </w:instrText>
      </w:r>
      <w:r>
        <w:rPr>
          <w:lang/>
        </w:rPr>
        <w:fldChar w:fldCharType="separate"/>
      </w:r>
      <w:r>
        <w:rPr>
          <w:lang/>
        </w:rPr>
        <w:t>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"_Toc4173637"</w:instrText>
      </w:r>
      <w:r>
        <w:rPr>
          <w:rStyle w:val="11"/>
          <w:lang/>
        </w:rPr>
        <w:instrText xml:space="preserve"> </w:instrText>
      </w:r>
      <w:r>
        <w:rPr>
          <w:rStyle w:val="11"/>
          <w:lang/>
        </w:rPr>
        <w:fldChar w:fldCharType="separate"/>
      </w:r>
      <w:r>
        <w:rPr>
          <w:rStyle w:val="11"/>
          <w:b/>
          <w:lang/>
        </w:rPr>
        <w:t xml:space="preserve">3.3 </w:t>
      </w:r>
      <w:r>
        <w:rPr>
          <w:rStyle w:val="11"/>
          <w:rFonts w:hint="eastAsia"/>
          <w:b/>
          <w:lang/>
        </w:rPr>
        <w:t>过去三年基金的利润分配情况</w:t>
      </w:r>
      <w:r>
        <w:rPr>
          <w:lang/>
        </w:rPr>
        <w:tab/>
      </w:r>
      <w:r>
        <w:rPr>
          <w:lang/>
        </w:rPr>
        <w:fldChar w:fldCharType="begin"/>
      </w:r>
      <w:r>
        <w:rPr>
          <w:lang/>
        </w:rPr>
        <w:instrText xml:space="preserve"> PAGEREF _Toc4173637 \h </w:instrText>
      </w:r>
      <w:r>
        <w:rPr>
          <w:lang/>
        </w:rPr>
        <w:fldChar w:fldCharType="separate"/>
      </w:r>
      <w:r>
        <w:rPr>
          <w:lang/>
        </w:rPr>
        <w:t>10</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"_Toc4173638"</w:instrText>
      </w:r>
      <w:r>
        <w:rPr>
          <w:rStyle w:val="11"/>
          <w:lang/>
        </w:rPr>
        <w:instrText xml:space="preserve"> </w:instrText>
      </w:r>
      <w:r>
        <w:rPr>
          <w:rStyle w:val="11"/>
          <w:lang/>
        </w:rPr>
        <w:fldChar w:fldCharType="separate"/>
      </w:r>
      <w:r>
        <w:rPr>
          <w:rStyle w:val="11"/>
          <w:b/>
          <w:lang/>
        </w:rPr>
        <w:t xml:space="preserve">§4  </w:t>
      </w:r>
      <w:r>
        <w:rPr>
          <w:rStyle w:val="11"/>
          <w:rFonts w:hint="eastAsia"/>
          <w:b/>
          <w:lang/>
        </w:rPr>
        <w:t>管理人报告</w:t>
      </w:r>
      <w:r>
        <w:rPr>
          <w:lang/>
        </w:rPr>
        <w:tab/>
      </w:r>
      <w:r>
        <w:rPr>
          <w:lang/>
        </w:rPr>
        <w:fldChar w:fldCharType="begin"/>
      </w:r>
      <w:r>
        <w:rPr>
          <w:lang/>
        </w:rPr>
        <w:instrText xml:space="preserve"> PAGEREF _Toc4173638 \h </w:instrText>
      </w:r>
      <w:r>
        <w:rPr>
          <w:lang/>
        </w:rPr>
        <w:fldChar w:fldCharType="separate"/>
      </w:r>
      <w:r>
        <w:rPr>
          <w:lang/>
        </w:rPr>
        <w:t>11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"_Toc4173639"</w:instrText>
      </w:r>
      <w:r>
        <w:rPr>
          <w:rStyle w:val="11"/>
          <w:lang/>
        </w:rPr>
        <w:instrText xml:space="preserve"> </w:instrText>
      </w:r>
      <w:r>
        <w:rPr>
          <w:rStyle w:val="11"/>
          <w:lang/>
        </w:rPr>
        <w:fldChar w:fldCharType="separate"/>
      </w:r>
      <w:r>
        <w:rPr>
          <w:rStyle w:val="11"/>
          <w:b/>
          <w:bCs/>
          <w:lang/>
        </w:rPr>
        <w:t xml:space="preserve">4.1 </w:t>
      </w:r>
      <w:r>
        <w:rPr>
          <w:rStyle w:val="11"/>
          <w:rFonts w:hint="eastAsia"/>
          <w:b/>
          <w:bCs/>
          <w:lang/>
        </w:rPr>
        <w:t>基金管理人及基金经理情况</w:t>
      </w:r>
      <w:r>
        <w:rPr>
          <w:lang/>
        </w:rPr>
        <w:tab/>
      </w:r>
      <w:r>
        <w:rPr>
          <w:lang/>
        </w:rPr>
        <w:fldChar w:fldCharType="begin"/>
      </w:r>
      <w:r>
        <w:rPr>
          <w:lang/>
        </w:rPr>
        <w:instrText xml:space="preserve"> PAGEREF _Toc4173639 \h </w:instrText>
      </w:r>
      <w:r>
        <w:rPr>
          <w:lang/>
        </w:rPr>
        <w:fldChar w:fldCharType="separate"/>
      </w:r>
      <w:r>
        <w:rPr>
          <w:lang/>
        </w:rPr>
        <w:t>11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"_Toc4173640"</w:instrText>
      </w:r>
      <w:r>
        <w:rPr>
          <w:rStyle w:val="11"/>
          <w:lang/>
        </w:rPr>
        <w:instrText xml:space="preserve"> </w:instrText>
      </w:r>
      <w:r>
        <w:rPr>
          <w:rStyle w:val="11"/>
          <w:lang/>
        </w:rPr>
        <w:fldChar w:fldCharType="separate"/>
      </w:r>
      <w:r>
        <w:rPr>
          <w:rStyle w:val="11"/>
          <w:b/>
          <w:lang/>
        </w:rPr>
        <w:t xml:space="preserve">4.2 </w:t>
      </w:r>
      <w:r>
        <w:rPr>
          <w:rStyle w:val="11"/>
          <w:rFonts w:hint="eastAsia"/>
          <w:b/>
          <w:lang/>
        </w:rPr>
        <w:t>管理人对报告期内本基金运作遵规守信情况的说明</w:t>
      </w:r>
      <w:r>
        <w:rPr>
          <w:lang/>
        </w:rPr>
        <w:tab/>
      </w:r>
      <w:r>
        <w:rPr>
          <w:lang/>
        </w:rPr>
        <w:fldChar w:fldCharType="begin"/>
      </w:r>
      <w:r>
        <w:rPr>
          <w:lang/>
        </w:rPr>
        <w:instrText xml:space="preserve"> PAGEREF _Toc4173640 \h </w:instrText>
      </w:r>
      <w:r>
        <w:rPr>
          <w:lang/>
        </w:rPr>
        <w:fldChar w:fldCharType="separate"/>
      </w:r>
      <w:r>
        <w:rPr>
          <w:lang/>
        </w:rPr>
        <w:t>12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"_Toc4173641"</w:instrText>
      </w:r>
      <w:r>
        <w:rPr>
          <w:rStyle w:val="11"/>
          <w:lang/>
        </w:rPr>
        <w:instrText xml:space="preserve"> </w:instrText>
      </w:r>
      <w:r>
        <w:rPr>
          <w:rStyle w:val="11"/>
          <w:lang/>
        </w:rPr>
        <w:fldChar w:fldCharType="separate"/>
      </w:r>
      <w:r>
        <w:rPr>
          <w:rStyle w:val="11"/>
          <w:b/>
          <w:lang/>
        </w:rPr>
        <w:t xml:space="preserve">4.3 </w:t>
      </w:r>
      <w:r>
        <w:rPr>
          <w:rStyle w:val="11"/>
          <w:rFonts w:hint="eastAsia"/>
          <w:b/>
          <w:lang/>
        </w:rPr>
        <w:t>管理人对报告期内公平交易情况的专项说明</w:t>
      </w:r>
      <w:r>
        <w:rPr>
          <w:lang/>
        </w:rPr>
        <w:tab/>
      </w:r>
      <w:r>
        <w:rPr>
          <w:lang/>
        </w:rPr>
        <w:fldChar w:fldCharType="begin"/>
      </w:r>
      <w:r>
        <w:rPr>
          <w:lang/>
        </w:rPr>
        <w:instrText xml:space="preserve"> PAGEREF _Toc4173641 \h </w:instrText>
      </w:r>
      <w:r>
        <w:rPr>
          <w:lang/>
        </w:rPr>
        <w:fldChar w:fldCharType="separate"/>
      </w:r>
      <w:r>
        <w:rPr>
          <w:lang/>
        </w:rPr>
        <w:t>12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"_Toc4173642"</w:instrText>
      </w:r>
      <w:r>
        <w:rPr>
          <w:rStyle w:val="11"/>
          <w:lang/>
        </w:rPr>
        <w:instrText xml:space="preserve"> </w:instrText>
      </w:r>
      <w:r>
        <w:rPr>
          <w:rStyle w:val="11"/>
          <w:lang/>
        </w:rPr>
        <w:fldChar w:fldCharType="separate"/>
      </w:r>
      <w:r>
        <w:rPr>
          <w:rStyle w:val="11"/>
          <w:b/>
          <w:lang/>
        </w:rPr>
        <w:t xml:space="preserve">4.4 </w:t>
      </w:r>
      <w:r>
        <w:rPr>
          <w:rStyle w:val="11"/>
          <w:rFonts w:hint="eastAsia"/>
          <w:b/>
          <w:lang/>
        </w:rPr>
        <w:t>管理人对报告期内基金的投资策略和业绩表现的说明</w:t>
      </w:r>
      <w:r>
        <w:rPr>
          <w:lang/>
        </w:rPr>
        <w:tab/>
      </w:r>
      <w:r>
        <w:rPr>
          <w:lang/>
        </w:rPr>
        <w:fldChar w:fldCharType="begin"/>
      </w:r>
      <w:r>
        <w:rPr>
          <w:lang/>
        </w:rPr>
        <w:instrText xml:space="preserve"> PAGEREF _Toc4173642 \h </w:instrText>
      </w:r>
      <w:r>
        <w:rPr>
          <w:lang/>
        </w:rPr>
        <w:fldChar w:fldCharType="separate"/>
      </w:r>
      <w:r>
        <w:rPr>
          <w:lang/>
        </w:rPr>
        <w:t>13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"_Toc4173643"</w:instrText>
      </w:r>
      <w:r>
        <w:rPr>
          <w:rStyle w:val="11"/>
          <w:lang/>
        </w:rPr>
        <w:instrText xml:space="preserve"> </w:instrText>
      </w:r>
      <w:r>
        <w:rPr>
          <w:rStyle w:val="11"/>
          <w:lang/>
        </w:rPr>
        <w:fldChar w:fldCharType="separate"/>
      </w:r>
      <w:r>
        <w:rPr>
          <w:rStyle w:val="11"/>
          <w:b/>
          <w:lang/>
        </w:rPr>
        <w:t xml:space="preserve">4.5 </w:t>
      </w:r>
      <w:r>
        <w:rPr>
          <w:rStyle w:val="11"/>
          <w:rFonts w:hint="eastAsia"/>
          <w:b/>
          <w:lang/>
        </w:rPr>
        <w:t>管理人对宏观经济、证券市场及行业走势的简要展望</w:t>
      </w:r>
      <w:r>
        <w:rPr>
          <w:lang/>
        </w:rPr>
        <w:tab/>
      </w:r>
      <w:r>
        <w:rPr>
          <w:lang/>
        </w:rPr>
        <w:fldChar w:fldCharType="begin"/>
      </w:r>
      <w:r>
        <w:rPr>
          <w:lang/>
        </w:rPr>
        <w:instrText xml:space="preserve"> PAGEREF _Toc4173643 \h </w:instrText>
      </w:r>
      <w:r>
        <w:rPr>
          <w:lang/>
        </w:rPr>
        <w:fldChar w:fldCharType="separate"/>
      </w:r>
      <w:r>
        <w:rPr>
          <w:lang/>
        </w:rPr>
        <w:t>14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"_Toc4173644"</w:instrText>
      </w:r>
      <w:r>
        <w:rPr>
          <w:rStyle w:val="11"/>
          <w:lang/>
        </w:rPr>
        <w:instrText xml:space="preserve"> </w:instrText>
      </w:r>
      <w:r>
        <w:rPr>
          <w:rStyle w:val="11"/>
          <w:lang/>
        </w:rPr>
        <w:fldChar w:fldCharType="separate"/>
      </w:r>
      <w:r>
        <w:rPr>
          <w:rStyle w:val="11"/>
          <w:b/>
          <w:lang/>
        </w:rPr>
        <w:t xml:space="preserve">4.6 </w:t>
      </w:r>
      <w:r>
        <w:rPr>
          <w:rStyle w:val="11"/>
          <w:rFonts w:hint="eastAsia"/>
          <w:b/>
          <w:lang/>
        </w:rPr>
        <w:t>管理人内部有关本基金的监察稽核工作情况</w:t>
      </w:r>
      <w:r>
        <w:rPr>
          <w:lang/>
        </w:rPr>
        <w:tab/>
      </w:r>
      <w:r>
        <w:rPr>
          <w:lang/>
        </w:rPr>
        <w:fldChar w:fldCharType="begin"/>
      </w:r>
      <w:r>
        <w:rPr>
          <w:lang/>
        </w:rPr>
        <w:instrText xml:space="preserve"> PAGEREF _Toc4173644 \h </w:instrText>
      </w:r>
      <w:r>
        <w:rPr>
          <w:lang/>
        </w:rPr>
        <w:fldChar w:fldCharType="separate"/>
      </w:r>
      <w:r>
        <w:rPr>
          <w:lang/>
        </w:rPr>
        <w:t>14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"_Toc4173645"</w:instrText>
      </w:r>
      <w:r>
        <w:rPr>
          <w:rStyle w:val="11"/>
          <w:lang/>
        </w:rPr>
        <w:instrText xml:space="preserve"> </w:instrText>
      </w:r>
      <w:r>
        <w:rPr>
          <w:rStyle w:val="11"/>
          <w:lang/>
        </w:rPr>
        <w:fldChar w:fldCharType="separate"/>
      </w:r>
      <w:r>
        <w:rPr>
          <w:rStyle w:val="11"/>
          <w:b/>
          <w:lang/>
        </w:rPr>
        <w:t xml:space="preserve">4.7 </w:t>
      </w:r>
      <w:r>
        <w:rPr>
          <w:rStyle w:val="11"/>
          <w:rFonts w:hint="eastAsia"/>
          <w:b/>
          <w:lang/>
        </w:rPr>
        <w:t>管理人对报告期内基金估值程序等事项的说明</w:t>
      </w:r>
      <w:r>
        <w:rPr>
          <w:lang/>
        </w:rPr>
        <w:tab/>
      </w:r>
      <w:r>
        <w:rPr>
          <w:lang/>
        </w:rPr>
        <w:fldChar w:fldCharType="begin"/>
      </w:r>
      <w:r>
        <w:rPr>
          <w:lang/>
        </w:rPr>
        <w:instrText xml:space="preserve"> PAGEREF _Toc4173645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"_Toc4173646"</w:instrText>
      </w:r>
      <w:r>
        <w:rPr>
          <w:rStyle w:val="11"/>
          <w:lang/>
        </w:rPr>
        <w:instrText xml:space="preserve"> </w:instrText>
      </w:r>
      <w:r>
        <w:rPr>
          <w:rStyle w:val="11"/>
          <w:lang/>
        </w:rPr>
        <w:fldChar w:fldCharType="separate"/>
      </w:r>
      <w:r>
        <w:rPr>
          <w:rStyle w:val="11"/>
          <w:b/>
          <w:bCs/>
          <w:lang/>
        </w:rPr>
        <w:t xml:space="preserve">4.8 </w:t>
      </w:r>
      <w:r>
        <w:rPr>
          <w:rStyle w:val="11"/>
          <w:rFonts w:hint="eastAsia"/>
          <w:b/>
          <w:bCs/>
          <w:lang/>
        </w:rPr>
        <w:t>管理人对报告期内基金利润分配情况的说明</w:t>
      </w:r>
      <w:r>
        <w:rPr>
          <w:lang/>
        </w:rPr>
        <w:tab/>
      </w:r>
      <w:r>
        <w:rPr>
          <w:lang/>
        </w:rPr>
        <w:fldChar w:fldCharType="begin"/>
      </w:r>
      <w:r>
        <w:rPr>
          <w:lang/>
        </w:rPr>
        <w:instrText xml:space="preserve"> PAGEREF _Toc4173646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"_Toc4173647"</w:instrText>
      </w:r>
      <w:r>
        <w:rPr>
          <w:rStyle w:val="11"/>
          <w:lang/>
        </w:rPr>
        <w:instrText xml:space="preserve"> </w:instrText>
      </w:r>
      <w:r>
        <w:rPr>
          <w:rStyle w:val="11"/>
          <w:lang/>
        </w:rPr>
        <w:fldChar w:fldCharType="separate"/>
      </w:r>
      <w:r>
        <w:rPr>
          <w:rStyle w:val="11"/>
          <w:b/>
          <w:bCs/>
          <w:lang/>
        </w:rPr>
        <w:t xml:space="preserve">4.9 </w:t>
      </w:r>
      <w:r>
        <w:rPr>
          <w:rStyle w:val="11"/>
          <w:rFonts w:hint="eastAsia"/>
          <w:b/>
          <w:bCs/>
          <w:lang/>
        </w:rPr>
        <w:t>报告期内管理人对本基金持有人数或基金资产净值预警情形的说明</w:t>
      </w:r>
      <w:r>
        <w:rPr>
          <w:lang/>
        </w:rPr>
        <w:tab/>
      </w:r>
      <w:r>
        <w:rPr>
          <w:lang/>
        </w:rPr>
        <w:fldChar w:fldCharType="begin"/>
      </w:r>
      <w:r>
        <w:rPr>
          <w:lang/>
        </w:rPr>
        <w:instrText xml:space="preserve"> PAGEREF _Toc4173647 \h </w:instrText>
      </w:r>
      <w:r>
        <w:rPr>
          <w:lang/>
        </w:rPr>
        <w:fldChar w:fldCharType="separate"/>
      </w:r>
      <w:r>
        <w:rPr>
          <w:lang/>
        </w:rPr>
        <w:t>15</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"_Toc4173648"</w:instrText>
      </w:r>
      <w:r>
        <w:rPr>
          <w:rStyle w:val="11"/>
          <w:lang/>
        </w:rPr>
        <w:instrText xml:space="preserve"> </w:instrText>
      </w:r>
      <w:r>
        <w:rPr>
          <w:rStyle w:val="11"/>
          <w:lang/>
        </w:rPr>
        <w:fldChar w:fldCharType="separate"/>
      </w:r>
      <w:r>
        <w:rPr>
          <w:rStyle w:val="11"/>
          <w:b/>
          <w:lang/>
        </w:rPr>
        <w:t xml:space="preserve">§5  </w:t>
      </w:r>
      <w:r>
        <w:rPr>
          <w:rStyle w:val="11"/>
          <w:rFonts w:hint="eastAsia"/>
          <w:b/>
          <w:lang/>
        </w:rPr>
        <w:t>托管人报告</w:t>
      </w:r>
      <w:r>
        <w:rPr>
          <w:lang/>
        </w:rPr>
        <w:tab/>
      </w:r>
      <w:r>
        <w:rPr>
          <w:lang/>
        </w:rPr>
        <w:fldChar w:fldCharType="begin"/>
      </w:r>
      <w:r>
        <w:rPr>
          <w:lang/>
        </w:rPr>
        <w:instrText xml:space="preserve"> PAGEREF _Toc4173648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"_Toc4173649"</w:instrText>
      </w:r>
      <w:r>
        <w:rPr>
          <w:rStyle w:val="11"/>
          <w:lang/>
        </w:rPr>
        <w:instrText xml:space="preserve"> </w:instrText>
      </w:r>
      <w:r>
        <w:rPr>
          <w:rStyle w:val="11"/>
          <w:lang/>
        </w:rPr>
        <w:fldChar w:fldCharType="separate"/>
      </w:r>
      <w:r>
        <w:rPr>
          <w:rStyle w:val="11"/>
          <w:b/>
          <w:bCs/>
          <w:lang/>
        </w:rPr>
        <w:t xml:space="preserve">5.1 </w:t>
      </w:r>
      <w:r>
        <w:rPr>
          <w:rStyle w:val="11"/>
          <w:rFonts w:hint="eastAsia"/>
          <w:b/>
          <w:bCs/>
          <w:lang/>
        </w:rPr>
        <w:t>报告期内本基金托管人遵规守信情况声明</w:t>
      </w:r>
      <w:r>
        <w:rPr>
          <w:lang/>
        </w:rPr>
        <w:tab/>
      </w:r>
      <w:r>
        <w:rPr>
          <w:lang/>
        </w:rPr>
        <w:fldChar w:fldCharType="begin"/>
      </w:r>
      <w:r>
        <w:rPr>
          <w:lang/>
        </w:rPr>
        <w:instrText xml:space="preserve"> PAGEREF _Toc4173649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"_Toc4173650"</w:instrText>
      </w:r>
      <w:r>
        <w:rPr>
          <w:rStyle w:val="11"/>
          <w:lang/>
        </w:rPr>
        <w:instrText xml:space="preserve"> </w:instrText>
      </w:r>
      <w:r>
        <w:rPr>
          <w:rStyle w:val="11"/>
          <w:lang/>
        </w:rPr>
        <w:fldChar w:fldCharType="separate"/>
      </w:r>
      <w:r>
        <w:rPr>
          <w:rStyle w:val="11"/>
          <w:b/>
          <w:bCs/>
          <w:lang/>
        </w:rPr>
        <w:t xml:space="preserve">5.2 </w:t>
      </w:r>
      <w:r>
        <w:rPr>
          <w:rStyle w:val="11"/>
          <w:rFonts w:hint="eastAsia"/>
          <w:b/>
          <w:bCs/>
          <w:lang/>
        </w:rPr>
        <w:t>托管人对报告期内本基金投资运作遵规守信、净值计算、利润分配等情况的说明</w:t>
      </w:r>
      <w:r>
        <w:rPr>
          <w:lang/>
        </w:rPr>
        <w:tab/>
      </w:r>
      <w:r>
        <w:rPr>
          <w:lang/>
        </w:rPr>
        <w:fldChar w:fldCharType="begin"/>
      </w:r>
      <w:r>
        <w:rPr>
          <w:lang/>
        </w:rPr>
        <w:instrText xml:space="preserve"> PAGEREF _Toc4173650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"_Toc4173651"</w:instrText>
      </w:r>
      <w:r>
        <w:rPr>
          <w:rStyle w:val="11"/>
          <w:lang/>
        </w:rPr>
        <w:instrText xml:space="preserve"> </w:instrText>
      </w:r>
      <w:r>
        <w:rPr>
          <w:rStyle w:val="11"/>
          <w:lang/>
        </w:rPr>
        <w:fldChar w:fldCharType="separate"/>
      </w:r>
      <w:r>
        <w:rPr>
          <w:rStyle w:val="11"/>
          <w:b/>
          <w:bCs/>
          <w:lang/>
        </w:rPr>
        <w:t xml:space="preserve">5.3 </w:t>
      </w:r>
      <w:r>
        <w:rPr>
          <w:rStyle w:val="11"/>
          <w:rFonts w:hint="eastAsia"/>
          <w:b/>
          <w:bCs/>
          <w:lang/>
        </w:rPr>
        <w:t>托管人对本年度报告中财务信息等内容的真实、准确和完整发表意见</w:t>
      </w:r>
      <w:r>
        <w:rPr>
          <w:lang/>
        </w:rPr>
        <w:tab/>
      </w:r>
      <w:r>
        <w:rPr>
          <w:lang/>
        </w:rPr>
        <w:fldChar w:fldCharType="begin"/>
      </w:r>
      <w:r>
        <w:rPr>
          <w:lang/>
        </w:rPr>
        <w:instrText xml:space="preserve"> PAGEREF _Toc4173651 \h </w:instrText>
      </w:r>
      <w:r>
        <w:rPr>
          <w:lang/>
        </w:rPr>
        <w:fldChar w:fldCharType="separate"/>
      </w:r>
      <w:r>
        <w:rPr>
          <w:lang/>
        </w:rPr>
        <w:t>16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"_Toc4173652"</w:instrText>
      </w:r>
      <w:r>
        <w:rPr>
          <w:rStyle w:val="11"/>
          <w:lang/>
        </w:rPr>
        <w:instrText xml:space="preserve"> </w:instrText>
      </w:r>
      <w:r>
        <w:rPr>
          <w:rStyle w:val="11"/>
          <w:lang/>
        </w:rPr>
        <w:fldChar w:fldCharType="separate"/>
      </w:r>
      <w:r>
        <w:rPr>
          <w:rStyle w:val="11"/>
          <w:b/>
          <w:lang/>
        </w:rPr>
        <w:t xml:space="preserve">§6  </w:t>
      </w:r>
      <w:r>
        <w:rPr>
          <w:rStyle w:val="11"/>
          <w:rFonts w:hint="eastAsia"/>
          <w:b/>
          <w:lang/>
        </w:rPr>
        <w:t>审计报告</w:t>
      </w:r>
      <w:r>
        <w:rPr>
          <w:lang/>
        </w:rPr>
        <w:tab/>
      </w:r>
      <w:r>
        <w:rPr>
          <w:lang/>
        </w:rPr>
        <w:fldChar w:fldCharType="begin"/>
      </w:r>
      <w:r>
        <w:rPr>
          <w:lang/>
        </w:rPr>
        <w:instrText xml:space="preserve"> PAGEREF _Toc4173652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"_Toc4173653"</w:instrText>
      </w:r>
      <w:r>
        <w:rPr>
          <w:rStyle w:val="11"/>
          <w:lang/>
        </w:rPr>
        <w:instrText xml:space="preserve"> </w:instrText>
      </w:r>
      <w:r>
        <w:rPr>
          <w:rStyle w:val="11"/>
          <w:lang/>
        </w:rPr>
        <w:fldChar w:fldCharType="separate"/>
      </w:r>
      <w:r>
        <w:rPr>
          <w:rStyle w:val="11"/>
          <w:b/>
          <w:bCs/>
          <w:lang/>
        </w:rPr>
        <w:t xml:space="preserve">6.1 </w:t>
      </w:r>
      <w:r>
        <w:rPr>
          <w:rStyle w:val="11"/>
          <w:rFonts w:hint="eastAsia"/>
          <w:b/>
          <w:bCs/>
          <w:lang/>
        </w:rPr>
        <w:t>审计报告基本信息</w:t>
      </w:r>
      <w:r>
        <w:rPr>
          <w:lang/>
        </w:rPr>
        <w:tab/>
      </w:r>
      <w:r>
        <w:rPr>
          <w:lang/>
        </w:rPr>
        <w:fldChar w:fldCharType="begin"/>
      </w:r>
      <w:r>
        <w:rPr>
          <w:lang/>
        </w:rPr>
        <w:instrText xml:space="preserve"> PAGEREF _Toc4173653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"_Toc4173654"</w:instrText>
      </w:r>
      <w:r>
        <w:rPr>
          <w:rStyle w:val="11"/>
          <w:lang/>
        </w:rPr>
        <w:instrText xml:space="preserve"> </w:instrText>
      </w:r>
      <w:r>
        <w:rPr>
          <w:rStyle w:val="11"/>
          <w:lang/>
        </w:rPr>
        <w:fldChar w:fldCharType="separate"/>
      </w:r>
      <w:r>
        <w:rPr>
          <w:rStyle w:val="11"/>
          <w:b/>
          <w:bCs/>
          <w:lang/>
        </w:rPr>
        <w:t xml:space="preserve">6.2 </w:t>
      </w:r>
      <w:r>
        <w:rPr>
          <w:rStyle w:val="11"/>
          <w:rFonts w:hint="eastAsia"/>
          <w:b/>
          <w:bCs/>
          <w:lang/>
        </w:rPr>
        <w:t>审计报告的基本内容</w:t>
      </w:r>
      <w:r>
        <w:rPr>
          <w:lang/>
        </w:rPr>
        <w:tab/>
      </w:r>
      <w:r>
        <w:rPr>
          <w:lang/>
        </w:rPr>
        <w:fldChar w:fldCharType="begin"/>
      </w:r>
      <w:r>
        <w:rPr>
          <w:lang/>
        </w:rPr>
        <w:instrText xml:space="preserve"> PAGEREF _Toc4173654 \h </w:instrText>
      </w:r>
      <w:r>
        <w:rPr>
          <w:lang/>
        </w:rPr>
        <w:fldChar w:fldCharType="separate"/>
      </w:r>
      <w:r>
        <w:rPr>
          <w:lang/>
        </w:rPr>
        <w:t>16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"_Toc4173655"</w:instrText>
      </w:r>
      <w:r>
        <w:rPr>
          <w:rStyle w:val="11"/>
          <w:lang/>
        </w:rPr>
        <w:instrText xml:space="preserve"> </w:instrText>
      </w:r>
      <w:r>
        <w:rPr>
          <w:rStyle w:val="11"/>
          <w:lang/>
        </w:rPr>
        <w:fldChar w:fldCharType="separate"/>
      </w:r>
      <w:r>
        <w:rPr>
          <w:rStyle w:val="11"/>
          <w:b/>
          <w:lang/>
        </w:rPr>
        <w:t xml:space="preserve">§7  </w:t>
      </w:r>
      <w:r>
        <w:rPr>
          <w:rStyle w:val="11"/>
          <w:rFonts w:hint="eastAsia"/>
          <w:b/>
          <w:lang/>
        </w:rPr>
        <w:t>年度财务报表</w:t>
      </w:r>
      <w:r>
        <w:rPr>
          <w:lang/>
        </w:rPr>
        <w:tab/>
      </w:r>
      <w:r>
        <w:rPr>
          <w:lang/>
        </w:rPr>
        <w:fldChar w:fldCharType="begin"/>
      </w:r>
      <w:r>
        <w:rPr>
          <w:lang/>
        </w:rPr>
        <w:instrText xml:space="preserve"> PAGEREF _Toc4173655 \h </w:instrText>
      </w:r>
      <w:r>
        <w:rPr>
          <w:lang/>
        </w:rPr>
        <w:fldChar w:fldCharType="separate"/>
      </w:r>
      <w:r>
        <w:rPr>
          <w:lang/>
        </w:rPr>
        <w:t>19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"_Toc4173656"</w:instrText>
      </w:r>
      <w:r>
        <w:rPr>
          <w:rStyle w:val="11"/>
          <w:lang/>
        </w:rPr>
        <w:instrText xml:space="preserve"> </w:instrText>
      </w:r>
      <w:r>
        <w:rPr>
          <w:rStyle w:val="11"/>
          <w:lang/>
        </w:rPr>
        <w:fldChar w:fldCharType="separate"/>
      </w:r>
      <w:r>
        <w:rPr>
          <w:rStyle w:val="11"/>
          <w:b/>
          <w:bCs/>
          <w:lang/>
        </w:rPr>
        <w:t xml:space="preserve">7.1 </w:t>
      </w:r>
      <w:r>
        <w:rPr>
          <w:rStyle w:val="11"/>
          <w:rFonts w:hint="eastAsia"/>
          <w:b/>
          <w:bCs/>
          <w:lang/>
        </w:rPr>
        <w:t>资产负债表</w:t>
      </w:r>
      <w:r>
        <w:rPr>
          <w:lang/>
        </w:rPr>
        <w:tab/>
      </w:r>
      <w:r>
        <w:rPr>
          <w:lang/>
        </w:rPr>
        <w:fldChar w:fldCharType="begin"/>
      </w:r>
      <w:r>
        <w:rPr>
          <w:lang/>
        </w:rPr>
        <w:instrText xml:space="preserve"> PAGEREF _Toc4173656 \h </w:instrText>
      </w:r>
      <w:r>
        <w:rPr>
          <w:lang/>
        </w:rPr>
        <w:fldChar w:fldCharType="separate"/>
      </w:r>
      <w:r>
        <w:rPr>
          <w:lang/>
        </w:rPr>
        <w:t>19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"_Toc4173657"</w:instrText>
      </w:r>
      <w:r>
        <w:rPr>
          <w:rStyle w:val="11"/>
          <w:lang/>
        </w:rPr>
        <w:instrText xml:space="preserve"> </w:instrText>
      </w:r>
      <w:r>
        <w:rPr>
          <w:rStyle w:val="11"/>
          <w:lang/>
        </w:rPr>
        <w:fldChar w:fldCharType="separate"/>
      </w:r>
      <w:r>
        <w:rPr>
          <w:rStyle w:val="11"/>
          <w:b/>
          <w:bCs/>
          <w:lang/>
        </w:rPr>
        <w:t xml:space="preserve">7.2 </w:t>
      </w:r>
      <w:r>
        <w:rPr>
          <w:rStyle w:val="11"/>
          <w:rFonts w:hint="eastAsia"/>
          <w:b/>
          <w:bCs/>
          <w:lang/>
        </w:rPr>
        <w:t>利润表</w:t>
      </w:r>
      <w:r>
        <w:rPr>
          <w:lang/>
        </w:rPr>
        <w:tab/>
      </w:r>
      <w:r>
        <w:rPr>
          <w:lang/>
        </w:rPr>
        <w:fldChar w:fldCharType="begin"/>
      </w:r>
      <w:r>
        <w:rPr>
          <w:lang/>
        </w:rPr>
        <w:instrText xml:space="preserve"> PAGEREF _Toc4173657 \h </w:instrText>
      </w:r>
      <w:r>
        <w:rPr>
          <w:lang/>
        </w:rPr>
        <w:fldChar w:fldCharType="separate"/>
      </w:r>
      <w:r>
        <w:rPr>
          <w:lang/>
        </w:rPr>
        <w:t>20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"_Toc4173658"</w:instrText>
      </w:r>
      <w:r>
        <w:rPr>
          <w:rStyle w:val="11"/>
          <w:lang/>
        </w:rPr>
        <w:instrText xml:space="preserve"> </w:instrText>
      </w:r>
      <w:r>
        <w:rPr>
          <w:rStyle w:val="11"/>
          <w:lang/>
        </w:rPr>
        <w:fldChar w:fldCharType="separate"/>
      </w:r>
      <w:r>
        <w:rPr>
          <w:rStyle w:val="11"/>
          <w:b/>
          <w:bCs/>
          <w:lang/>
        </w:rPr>
        <w:t xml:space="preserve">7.3 </w:t>
      </w:r>
      <w:r>
        <w:rPr>
          <w:rStyle w:val="11"/>
          <w:rFonts w:hint="eastAsia"/>
          <w:b/>
          <w:bCs/>
          <w:lang/>
        </w:rPr>
        <w:t>所有者权益（基金净值）变动表</w:t>
      </w:r>
      <w:r>
        <w:rPr>
          <w:lang/>
        </w:rPr>
        <w:tab/>
      </w:r>
      <w:r>
        <w:rPr>
          <w:lang/>
        </w:rPr>
        <w:fldChar w:fldCharType="begin"/>
      </w:r>
      <w:r>
        <w:rPr>
          <w:lang/>
        </w:rPr>
        <w:instrText xml:space="preserve"> PAGEREF _Toc4173658 \h </w:instrText>
      </w:r>
      <w:r>
        <w:rPr>
          <w:lang/>
        </w:rPr>
        <w:fldChar w:fldCharType="separate"/>
      </w:r>
      <w:r>
        <w:rPr>
          <w:lang/>
        </w:rPr>
        <w:t>22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"_Toc4173659"</w:instrText>
      </w:r>
      <w:r>
        <w:rPr>
          <w:rStyle w:val="11"/>
          <w:lang/>
        </w:rPr>
        <w:instrText xml:space="preserve"> </w:instrText>
      </w:r>
      <w:r>
        <w:rPr>
          <w:rStyle w:val="11"/>
          <w:lang/>
        </w:rPr>
        <w:fldChar w:fldCharType="separate"/>
      </w:r>
      <w:r>
        <w:rPr>
          <w:rStyle w:val="11"/>
          <w:b/>
          <w:bCs/>
          <w:lang/>
        </w:rPr>
        <w:t xml:space="preserve">7.4 </w:t>
      </w:r>
      <w:r>
        <w:rPr>
          <w:rStyle w:val="11"/>
          <w:rFonts w:hint="eastAsia"/>
          <w:b/>
          <w:bCs/>
          <w:lang/>
        </w:rPr>
        <w:t>报表附注</w:t>
      </w:r>
      <w:r>
        <w:rPr>
          <w:lang/>
        </w:rPr>
        <w:tab/>
      </w:r>
      <w:r>
        <w:rPr>
          <w:lang/>
        </w:rPr>
        <w:fldChar w:fldCharType="begin"/>
      </w:r>
      <w:r>
        <w:rPr>
          <w:lang/>
        </w:rPr>
        <w:instrText xml:space="preserve"> PAGEREF _Toc4173659 \h </w:instrText>
      </w:r>
      <w:r>
        <w:rPr>
          <w:lang/>
        </w:rPr>
        <w:fldChar w:fldCharType="separate"/>
      </w:r>
      <w:r>
        <w:rPr>
          <w:lang/>
        </w:rPr>
        <w:t>23</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"_Toc4173660"</w:instrText>
      </w:r>
      <w:r>
        <w:rPr>
          <w:rStyle w:val="11"/>
          <w:lang/>
        </w:rPr>
        <w:instrText xml:space="preserve"> </w:instrText>
      </w:r>
      <w:r>
        <w:rPr>
          <w:rStyle w:val="11"/>
          <w:lang/>
        </w:rPr>
        <w:fldChar w:fldCharType="separate"/>
      </w:r>
      <w:r>
        <w:rPr>
          <w:rStyle w:val="11"/>
          <w:b/>
          <w:lang/>
        </w:rPr>
        <w:t xml:space="preserve">§8 </w:t>
      </w:r>
      <w:r>
        <w:rPr>
          <w:rStyle w:val="11"/>
          <w:rFonts w:hint="eastAsia"/>
          <w:b/>
          <w:lang/>
        </w:rPr>
        <w:t>投资组合报告</w:t>
      </w:r>
      <w:r>
        <w:rPr>
          <w:lang/>
        </w:rPr>
        <w:tab/>
      </w:r>
      <w:r>
        <w:rPr>
          <w:lang/>
        </w:rPr>
        <w:fldChar w:fldCharType="begin"/>
      </w:r>
      <w:r>
        <w:rPr>
          <w:lang/>
        </w:rPr>
        <w:instrText xml:space="preserve"> PAGEREF _Toc4173660 \h </w:instrText>
      </w:r>
      <w:r>
        <w:rPr>
          <w:lang/>
        </w:rPr>
        <w:fldChar w:fldCharType="separate"/>
      </w:r>
      <w:r>
        <w:rPr>
          <w:lang/>
        </w:rPr>
        <w:t>49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"_Toc4173661"</w:instrText>
      </w:r>
      <w:r>
        <w:rPr>
          <w:rStyle w:val="11"/>
          <w:lang/>
        </w:rPr>
        <w:instrText xml:space="preserve"> </w:instrText>
      </w:r>
      <w:r>
        <w:rPr>
          <w:rStyle w:val="11"/>
          <w:lang/>
        </w:rPr>
        <w:fldChar w:fldCharType="separate"/>
      </w:r>
      <w:r>
        <w:rPr>
          <w:rStyle w:val="11"/>
          <w:b/>
          <w:bCs/>
          <w:lang/>
        </w:rPr>
        <w:t xml:space="preserve">8.1 </w:t>
      </w:r>
      <w:r>
        <w:rPr>
          <w:rStyle w:val="11"/>
          <w:rFonts w:hint="eastAsia"/>
          <w:b/>
          <w:bCs/>
          <w:lang/>
        </w:rPr>
        <w:t>期末基金资产组合情况</w:t>
      </w:r>
      <w:r>
        <w:rPr>
          <w:lang/>
        </w:rPr>
        <w:tab/>
      </w:r>
      <w:r>
        <w:rPr>
          <w:lang/>
        </w:rPr>
        <w:fldChar w:fldCharType="begin"/>
      </w:r>
      <w:r>
        <w:rPr>
          <w:lang/>
        </w:rPr>
        <w:instrText xml:space="preserve"> PAGEREF _Toc4173661 \h </w:instrText>
      </w:r>
      <w:r>
        <w:rPr>
          <w:lang/>
        </w:rPr>
        <w:fldChar w:fldCharType="separate"/>
      </w:r>
      <w:r>
        <w:rPr>
          <w:lang/>
        </w:rPr>
        <w:t>49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"_Toc4173662"</w:instrText>
      </w:r>
      <w:r>
        <w:rPr>
          <w:rStyle w:val="11"/>
          <w:lang/>
        </w:rPr>
        <w:instrText xml:space="preserve"> </w:instrText>
      </w:r>
      <w:r>
        <w:rPr>
          <w:rStyle w:val="11"/>
          <w:lang/>
        </w:rPr>
        <w:fldChar w:fldCharType="separate"/>
      </w:r>
      <w:r>
        <w:rPr>
          <w:rStyle w:val="11"/>
          <w:b/>
          <w:bCs/>
          <w:lang/>
        </w:rPr>
        <w:t xml:space="preserve">8.2 </w:t>
      </w:r>
      <w:r>
        <w:rPr>
          <w:rStyle w:val="11"/>
          <w:rFonts w:hint="eastAsia"/>
          <w:b/>
          <w:bCs/>
          <w:lang/>
        </w:rPr>
        <w:t>报告期末按行业分类的股票投资组合</w:t>
      </w:r>
      <w:r>
        <w:rPr>
          <w:lang/>
        </w:rPr>
        <w:tab/>
      </w:r>
      <w:r>
        <w:rPr>
          <w:lang/>
        </w:rPr>
        <w:fldChar w:fldCharType="begin"/>
      </w:r>
      <w:r>
        <w:rPr>
          <w:lang/>
        </w:rPr>
        <w:instrText xml:space="preserve"> PAGEREF _Toc4173662 \h </w:instrText>
      </w:r>
      <w:r>
        <w:rPr>
          <w:lang/>
        </w:rPr>
        <w:fldChar w:fldCharType="separate"/>
      </w:r>
      <w:r>
        <w:rPr>
          <w:lang/>
        </w:rPr>
        <w:t>50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"_Toc4173663"</w:instrText>
      </w:r>
      <w:r>
        <w:rPr>
          <w:rStyle w:val="11"/>
          <w:lang/>
        </w:rPr>
        <w:instrText xml:space="preserve"> </w:instrText>
      </w:r>
      <w:r>
        <w:rPr>
          <w:rStyle w:val="11"/>
          <w:lang/>
        </w:rPr>
        <w:fldChar w:fldCharType="separate"/>
      </w:r>
      <w:r>
        <w:rPr>
          <w:rStyle w:val="11"/>
          <w:b/>
          <w:bCs/>
          <w:lang/>
        </w:rPr>
        <w:t xml:space="preserve">8.3 </w:t>
      </w:r>
      <w:r>
        <w:rPr>
          <w:rStyle w:val="11"/>
          <w:rFonts w:hint="eastAsia"/>
          <w:b/>
          <w:bCs/>
          <w:lang/>
        </w:rPr>
        <w:t>期末按公允价值占基金资产净值比例大小排序的所有股票投资明细</w:t>
      </w:r>
      <w:r>
        <w:rPr>
          <w:lang/>
        </w:rPr>
        <w:tab/>
      </w:r>
      <w:r>
        <w:rPr>
          <w:lang/>
        </w:rPr>
        <w:fldChar w:fldCharType="begin"/>
      </w:r>
      <w:r>
        <w:rPr>
          <w:lang/>
        </w:rPr>
        <w:instrText xml:space="preserve"> PAGEREF _Toc4173663 \h </w:instrText>
      </w:r>
      <w:r>
        <w:rPr>
          <w:lang/>
        </w:rPr>
        <w:fldChar w:fldCharType="separate"/>
      </w:r>
      <w:r>
        <w:rPr>
          <w:lang/>
        </w:rPr>
        <w:t>51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"_Toc4173664"</w:instrText>
      </w:r>
      <w:r>
        <w:rPr>
          <w:rStyle w:val="11"/>
          <w:lang/>
        </w:rPr>
        <w:instrText xml:space="preserve"> </w:instrText>
      </w:r>
      <w:r>
        <w:rPr>
          <w:rStyle w:val="11"/>
          <w:lang/>
        </w:rPr>
        <w:fldChar w:fldCharType="separate"/>
      </w:r>
      <w:r>
        <w:rPr>
          <w:rStyle w:val="11"/>
          <w:b/>
          <w:bCs/>
          <w:lang/>
        </w:rPr>
        <w:t xml:space="preserve">8.4 </w:t>
      </w:r>
      <w:r>
        <w:rPr>
          <w:rStyle w:val="11"/>
          <w:rFonts w:hint="eastAsia"/>
          <w:b/>
          <w:bCs/>
          <w:lang/>
        </w:rPr>
        <w:t>报告期内股票投资组合的重大变动</w:t>
      </w:r>
      <w:r>
        <w:rPr>
          <w:lang/>
        </w:rPr>
        <w:tab/>
      </w:r>
      <w:r>
        <w:rPr>
          <w:lang/>
        </w:rPr>
        <w:fldChar w:fldCharType="begin"/>
      </w:r>
      <w:r>
        <w:rPr>
          <w:lang/>
        </w:rPr>
        <w:instrText xml:space="preserve"> PAGEREF _Toc4173664 \h </w:instrText>
      </w:r>
      <w:r>
        <w:rPr>
          <w:lang/>
        </w:rPr>
        <w:fldChar w:fldCharType="separate"/>
      </w:r>
      <w:r>
        <w:rPr>
          <w:lang/>
        </w:rPr>
        <w:t>64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"_Toc4173665"</w:instrText>
      </w:r>
      <w:r>
        <w:rPr>
          <w:rStyle w:val="11"/>
          <w:lang/>
        </w:rPr>
        <w:instrText xml:space="preserve"> </w:instrText>
      </w:r>
      <w:r>
        <w:rPr>
          <w:rStyle w:val="11"/>
          <w:lang/>
        </w:rPr>
        <w:fldChar w:fldCharType="separate"/>
      </w:r>
      <w:r>
        <w:rPr>
          <w:rStyle w:val="11"/>
          <w:b/>
          <w:bCs/>
          <w:lang/>
        </w:rPr>
        <w:t xml:space="preserve">8.5 </w:t>
      </w:r>
      <w:r>
        <w:rPr>
          <w:rStyle w:val="11"/>
          <w:rFonts w:hint="eastAsia"/>
          <w:b/>
          <w:bCs/>
          <w:lang/>
        </w:rPr>
        <w:t>期末按债券品种分类的债券投资组合</w:t>
      </w:r>
      <w:r>
        <w:rPr>
          <w:lang/>
        </w:rPr>
        <w:tab/>
      </w:r>
      <w:r>
        <w:rPr>
          <w:lang/>
        </w:rPr>
        <w:fldChar w:fldCharType="begin"/>
      </w:r>
      <w:r>
        <w:rPr>
          <w:lang/>
        </w:rPr>
        <w:instrText xml:space="preserve"> PAGEREF _Toc4173665 \h </w:instrText>
      </w:r>
      <w:r>
        <w:rPr>
          <w:lang/>
        </w:rPr>
        <w:fldChar w:fldCharType="separate"/>
      </w:r>
      <w:r>
        <w:rPr>
          <w:lang/>
        </w:rPr>
        <w:t>65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"_Toc4173666"</w:instrText>
      </w:r>
      <w:r>
        <w:rPr>
          <w:rStyle w:val="11"/>
          <w:lang/>
        </w:rPr>
        <w:instrText xml:space="preserve"> </w:instrText>
      </w:r>
      <w:r>
        <w:rPr>
          <w:rStyle w:val="11"/>
          <w:lang/>
        </w:rPr>
        <w:fldChar w:fldCharType="separate"/>
      </w:r>
      <w:r>
        <w:rPr>
          <w:rStyle w:val="11"/>
          <w:b/>
          <w:bCs/>
          <w:lang/>
        </w:rPr>
        <w:t xml:space="preserve">8.6 </w:t>
      </w:r>
      <w:r>
        <w:rPr>
          <w:rStyle w:val="11"/>
          <w:rFonts w:hint="eastAsia"/>
          <w:b/>
          <w:bCs/>
          <w:lang/>
        </w:rPr>
        <w:t>期末按公允价值占基金资产净值比例大小排序的前五名债券投资明细</w:t>
      </w:r>
      <w:r>
        <w:rPr>
          <w:lang/>
        </w:rPr>
        <w:tab/>
      </w:r>
      <w:r>
        <w:rPr>
          <w:lang/>
        </w:rPr>
        <w:fldChar w:fldCharType="begin"/>
      </w:r>
      <w:r>
        <w:rPr>
          <w:lang/>
        </w:rPr>
        <w:instrText xml:space="preserve"> PAGEREF _Toc4173666 \h </w:instrText>
      </w:r>
      <w:r>
        <w:rPr>
          <w:lang/>
        </w:rPr>
        <w:fldChar w:fldCharType="separate"/>
      </w:r>
      <w:r>
        <w:rPr>
          <w:lang/>
        </w:rPr>
        <w:t>66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"_Toc4173667"</w:instrText>
      </w:r>
      <w:r>
        <w:rPr>
          <w:rStyle w:val="11"/>
          <w:lang/>
        </w:rPr>
        <w:instrText xml:space="preserve"> </w:instrText>
      </w:r>
      <w:r>
        <w:rPr>
          <w:rStyle w:val="11"/>
          <w:lang/>
        </w:rPr>
        <w:fldChar w:fldCharType="separate"/>
      </w:r>
      <w:r>
        <w:rPr>
          <w:rStyle w:val="11"/>
          <w:b/>
          <w:bCs/>
          <w:lang/>
        </w:rPr>
        <w:t xml:space="preserve">8.7 </w:t>
      </w:r>
      <w:r>
        <w:rPr>
          <w:rStyle w:val="11"/>
          <w:rFonts w:hint="eastAsia"/>
          <w:b/>
          <w:bCs/>
          <w:lang/>
        </w:rPr>
        <w:t>期末按公允价值占基金资产净值比例大小排序的所有资产支持证券投资明细</w:t>
      </w:r>
      <w:r>
        <w:rPr>
          <w:lang/>
        </w:rPr>
        <w:tab/>
      </w:r>
      <w:r>
        <w:rPr>
          <w:lang/>
        </w:rPr>
        <w:fldChar w:fldCharType="begin"/>
      </w:r>
      <w:r>
        <w:rPr>
          <w:lang/>
        </w:rPr>
        <w:instrText xml:space="preserve"> PAGEREF _Toc4173667 \h </w:instrText>
      </w:r>
      <w:r>
        <w:rPr>
          <w:lang/>
        </w:rPr>
        <w:fldChar w:fldCharType="separate"/>
      </w:r>
      <w:r>
        <w:rPr>
          <w:lang/>
        </w:rPr>
        <w:t>66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"_Toc4173668"</w:instrText>
      </w:r>
      <w:r>
        <w:rPr>
          <w:rStyle w:val="11"/>
          <w:lang/>
        </w:rPr>
        <w:instrText xml:space="preserve"> </w:instrText>
      </w:r>
      <w:r>
        <w:rPr>
          <w:rStyle w:val="11"/>
          <w:lang/>
        </w:rPr>
        <w:fldChar w:fldCharType="separate"/>
      </w:r>
      <w:r>
        <w:rPr>
          <w:rStyle w:val="11"/>
          <w:b/>
          <w:bCs/>
          <w:lang/>
        </w:rPr>
        <w:t xml:space="preserve">8.8 </w:t>
      </w:r>
      <w:r>
        <w:rPr>
          <w:rStyle w:val="11"/>
          <w:rFonts w:hint="eastAsia"/>
          <w:b/>
          <w:bCs/>
          <w:lang/>
        </w:rPr>
        <w:t>报告期末按公允价值占基金资产净值比例大小排序的前五名贵金属投资明细</w:t>
      </w:r>
      <w:r>
        <w:rPr>
          <w:lang/>
        </w:rPr>
        <w:tab/>
      </w:r>
      <w:r>
        <w:rPr>
          <w:lang/>
        </w:rPr>
        <w:fldChar w:fldCharType="begin"/>
      </w:r>
      <w:r>
        <w:rPr>
          <w:lang/>
        </w:rPr>
        <w:instrText xml:space="preserve"> PAGEREF _Toc4173668 \h </w:instrText>
      </w:r>
      <w:r>
        <w:rPr>
          <w:lang/>
        </w:rPr>
        <w:fldChar w:fldCharType="separate"/>
      </w:r>
      <w:r>
        <w:rPr>
          <w:lang/>
        </w:rPr>
        <w:t>66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"_Toc4173669"</w:instrText>
      </w:r>
      <w:r>
        <w:rPr>
          <w:rStyle w:val="11"/>
          <w:lang/>
        </w:rPr>
        <w:instrText xml:space="preserve"> </w:instrText>
      </w:r>
      <w:r>
        <w:rPr>
          <w:rStyle w:val="11"/>
          <w:lang/>
        </w:rPr>
        <w:fldChar w:fldCharType="separate"/>
      </w:r>
      <w:r>
        <w:rPr>
          <w:rStyle w:val="11"/>
          <w:b/>
          <w:bCs/>
          <w:lang/>
        </w:rPr>
        <w:t xml:space="preserve">8.9 </w:t>
      </w:r>
      <w:r>
        <w:rPr>
          <w:rStyle w:val="11"/>
          <w:rFonts w:hint="eastAsia"/>
          <w:b/>
          <w:bCs/>
          <w:lang/>
        </w:rPr>
        <w:t>期末按公允价值占基金资产净值比例大小排序的前五名权证投资明细</w:t>
      </w:r>
      <w:r>
        <w:rPr>
          <w:lang/>
        </w:rPr>
        <w:tab/>
      </w:r>
      <w:r>
        <w:rPr>
          <w:lang/>
        </w:rPr>
        <w:fldChar w:fldCharType="begin"/>
      </w:r>
      <w:r>
        <w:rPr>
          <w:lang/>
        </w:rPr>
        <w:instrText xml:space="preserve"> PAGEREF _Toc4173669 \h </w:instrText>
      </w:r>
      <w:r>
        <w:rPr>
          <w:lang/>
        </w:rPr>
        <w:fldChar w:fldCharType="separate"/>
      </w:r>
      <w:r>
        <w:rPr>
          <w:lang/>
        </w:rPr>
        <w:t>66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"_Toc4173670"</w:instrText>
      </w:r>
      <w:r>
        <w:rPr>
          <w:rStyle w:val="11"/>
          <w:lang/>
        </w:rPr>
        <w:instrText xml:space="preserve"> </w:instrText>
      </w:r>
      <w:r>
        <w:rPr>
          <w:rStyle w:val="11"/>
          <w:lang/>
        </w:rPr>
        <w:fldChar w:fldCharType="separate"/>
      </w:r>
      <w:r>
        <w:rPr>
          <w:rStyle w:val="11"/>
          <w:b/>
          <w:bCs/>
          <w:lang/>
        </w:rPr>
        <w:t xml:space="preserve">8.10 </w:t>
      </w:r>
      <w:r>
        <w:rPr>
          <w:rStyle w:val="11"/>
          <w:rFonts w:hint="eastAsia"/>
          <w:b/>
          <w:bCs/>
          <w:lang/>
        </w:rPr>
        <w:t>报告期末本基金投资的股指期货交易情况说明</w:t>
      </w:r>
      <w:r>
        <w:rPr>
          <w:lang/>
        </w:rPr>
        <w:tab/>
      </w:r>
      <w:r>
        <w:rPr>
          <w:lang/>
        </w:rPr>
        <w:fldChar w:fldCharType="begin"/>
      </w:r>
      <w:r>
        <w:rPr>
          <w:lang/>
        </w:rPr>
        <w:instrText xml:space="preserve"> PAGEREF _Toc4173670 \h </w:instrText>
      </w:r>
      <w:r>
        <w:rPr>
          <w:lang/>
        </w:rPr>
        <w:fldChar w:fldCharType="separate"/>
      </w:r>
      <w:r>
        <w:rPr>
          <w:lang/>
        </w:rPr>
        <w:t>66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"_Toc4173671"</w:instrText>
      </w:r>
      <w:r>
        <w:rPr>
          <w:rStyle w:val="11"/>
          <w:lang/>
        </w:rPr>
        <w:instrText xml:space="preserve"> </w:instrText>
      </w:r>
      <w:r>
        <w:rPr>
          <w:rStyle w:val="11"/>
          <w:lang/>
        </w:rPr>
        <w:fldChar w:fldCharType="separate"/>
      </w:r>
      <w:r>
        <w:rPr>
          <w:rStyle w:val="11"/>
          <w:b/>
          <w:bCs/>
          <w:lang/>
        </w:rPr>
        <w:t xml:space="preserve">8.11 </w:t>
      </w:r>
      <w:r>
        <w:rPr>
          <w:rStyle w:val="11"/>
          <w:rFonts w:hint="eastAsia"/>
          <w:b/>
          <w:bCs/>
          <w:lang/>
        </w:rPr>
        <w:t>报告期末本基金投资的国债期货交易情况说明</w:t>
      </w:r>
      <w:r>
        <w:rPr>
          <w:lang/>
        </w:rPr>
        <w:tab/>
      </w:r>
      <w:r>
        <w:rPr>
          <w:lang/>
        </w:rPr>
        <w:fldChar w:fldCharType="begin"/>
      </w:r>
      <w:r>
        <w:rPr>
          <w:lang/>
        </w:rPr>
        <w:instrText xml:space="preserve"> PAGEREF _Toc4173671 \h </w:instrText>
      </w:r>
      <w:r>
        <w:rPr>
          <w:lang/>
        </w:rPr>
        <w:fldChar w:fldCharType="separate"/>
      </w:r>
      <w:r>
        <w:rPr>
          <w:lang/>
        </w:rPr>
        <w:t>67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"_Toc4173672"</w:instrText>
      </w:r>
      <w:r>
        <w:rPr>
          <w:rStyle w:val="11"/>
          <w:lang/>
        </w:rPr>
        <w:instrText xml:space="preserve"> </w:instrText>
      </w:r>
      <w:r>
        <w:rPr>
          <w:rStyle w:val="11"/>
          <w:lang/>
        </w:rPr>
        <w:fldChar w:fldCharType="separate"/>
      </w:r>
      <w:r>
        <w:rPr>
          <w:rStyle w:val="11"/>
          <w:b/>
          <w:bCs/>
          <w:lang/>
        </w:rPr>
        <w:t xml:space="preserve">8.12 </w:t>
      </w:r>
      <w:r>
        <w:rPr>
          <w:rStyle w:val="11"/>
          <w:rFonts w:hint="eastAsia"/>
          <w:b/>
          <w:bCs/>
          <w:lang/>
        </w:rPr>
        <w:t>投资组合报告附注</w:t>
      </w:r>
      <w:r>
        <w:rPr>
          <w:lang/>
        </w:rPr>
        <w:tab/>
      </w:r>
      <w:r>
        <w:rPr>
          <w:lang/>
        </w:rPr>
        <w:fldChar w:fldCharType="begin"/>
      </w:r>
      <w:r>
        <w:rPr>
          <w:lang/>
        </w:rPr>
        <w:instrText xml:space="preserve"> PAGEREF _Toc4173672 \h </w:instrText>
      </w:r>
      <w:r>
        <w:rPr>
          <w:lang/>
        </w:rPr>
        <w:fldChar w:fldCharType="separate"/>
      </w:r>
      <w:r>
        <w:rPr>
          <w:lang/>
        </w:rPr>
        <w:t>67</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"_Toc4173673"</w:instrText>
      </w:r>
      <w:r>
        <w:rPr>
          <w:rStyle w:val="11"/>
          <w:lang/>
        </w:rPr>
        <w:instrText xml:space="preserve"> </w:instrText>
      </w:r>
      <w:r>
        <w:rPr>
          <w:rStyle w:val="11"/>
          <w:lang/>
        </w:rPr>
        <w:fldChar w:fldCharType="separate"/>
      </w:r>
      <w:r>
        <w:rPr>
          <w:rStyle w:val="11"/>
          <w:b/>
          <w:lang/>
        </w:rPr>
        <w:t xml:space="preserve">§9  </w:t>
      </w:r>
      <w:r>
        <w:rPr>
          <w:rStyle w:val="11"/>
          <w:rFonts w:hint="eastAsia"/>
          <w:b/>
          <w:lang/>
        </w:rPr>
        <w:t>基金份额持有人信息</w:t>
      </w:r>
      <w:r>
        <w:rPr>
          <w:lang/>
        </w:rPr>
        <w:tab/>
      </w:r>
      <w:r>
        <w:rPr>
          <w:lang/>
        </w:rPr>
        <w:fldChar w:fldCharType="begin"/>
      </w:r>
      <w:r>
        <w:rPr>
          <w:lang/>
        </w:rPr>
        <w:instrText xml:space="preserve"> PAGEREF _Toc4173673 \h </w:instrText>
      </w:r>
      <w:r>
        <w:rPr>
          <w:lang/>
        </w:rPr>
        <w:fldChar w:fldCharType="separate"/>
      </w:r>
      <w:r>
        <w:rPr>
          <w:lang/>
        </w:rPr>
        <w:t>68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"_Toc4173674"</w:instrText>
      </w:r>
      <w:r>
        <w:rPr>
          <w:rStyle w:val="11"/>
          <w:lang/>
        </w:rPr>
        <w:instrText xml:space="preserve"> </w:instrText>
      </w:r>
      <w:r>
        <w:rPr>
          <w:rStyle w:val="11"/>
          <w:lang/>
        </w:rPr>
        <w:fldChar w:fldCharType="separate"/>
      </w:r>
      <w:r>
        <w:rPr>
          <w:rStyle w:val="11"/>
          <w:b/>
          <w:bCs/>
          <w:lang/>
        </w:rPr>
        <w:t xml:space="preserve">9.1 </w:t>
      </w:r>
      <w:r>
        <w:rPr>
          <w:rStyle w:val="11"/>
          <w:rFonts w:hint="eastAsia"/>
          <w:b/>
          <w:bCs/>
          <w:lang/>
        </w:rPr>
        <w:t>期末基金份额持有人户数及持有人结构</w:t>
      </w:r>
      <w:r>
        <w:rPr>
          <w:lang/>
        </w:rPr>
        <w:tab/>
      </w:r>
      <w:r>
        <w:rPr>
          <w:lang/>
        </w:rPr>
        <w:fldChar w:fldCharType="begin"/>
      </w:r>
      <w:r>
        <w:rPr>
          <w:lang/>
        </w:rPr>
        <w:instrText xml:space="preserve"> PAGEREF _Toc4173674 \h </w:instrText>
      </w:r>
      <w:r>
        <w:rPr>
          <w:lang/>
        </w:rPr>
        <w:fldChar w:fldCharType="separate"/>
      </w:r>
      <w:r>
        <w:rPr>
          <w:lang/>
        </w:rPr>
        <w:t>68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"_Toc4173675"</w:instrText>
      </w:r>
      <w:r>
        <w:rPr>
          <w:rStyle w:val="11"/>
          <w:lang/>
        </w:rPr>
        <w:instrText xml:space="preserve"> </w:instrText>
      </w:r>
      <w:r>
        <w:rPr>
          <w:rStyle w:val="11"/>
          <w:lang/>
        </w:rPr>
        <w:fldChar w:fldCharType="separate"/>
      </w:r>
      <w:r>
        <w:rPr>
          <w:rStyle w:val="11"/>
          <w:b/>
          <w:lang/>
        </w:rPr>
        <w:t xml:space="preserve">9.2 </w:t>
      </w:r>
      <w:r>
        <w:rPr>
          <w:rStyle w:val="11"/>
          <w:rFonts w:hint="eastAsia"/>
          <w:b/>
          <w:lang/>
        </w:rPr>
        <w:t>期末基金管理人的从业人员持有本基金的情况</w:t>
      </w:r>
      <w:r>
        <w:rPr>
          <w:lang/>
        </w:rPr>
        <w:tab/>
      </w:r>
      <w:r>
        <w:rPr>
          <w:lang/>
        </w:rPr>
        <w:fldChar w:fldCharType="begin"/>
      </w:r>
      <w:r>
        <w:rPr>
          <w:lang/>
        </w:rPr>
        <w:instrText xml:space="preserve"> PAGEREF _Toc4173675 \h </w:instrText>
      </w:r>
      <w:r>
        <w:rPr>
          <w:lang/>
        </w:rPr>
        <w:fldChar w:fldCharType="separate"/>
      </w:r>
      <w:r>
        <w:rPr>
          <w:lang/>
        </w:rPr>
        <w:t>69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"_Toc4173676"</w:instrText>
      </w:r>
      <w:r>
        <w:rPr>
          <w:rStyle w:val="11"/>
          <w:lang/>
        </w:rPr>
        <w:instrText xml:space="preserve"> </w:instrText>
      </w:r>
      <w:r>
        <w:rPr>
          <w:rStyle w:val="11"/>
          <w:lang/>
        </w:rPr>
        <w:fldChar w:fldCharType="separate"/>
      </w:r>
      <w:r>
        <w:rPr>
          <w:rStyle w:val="11"/>
          <w:b/>
          <w:bCs/>
          <w:lang/>
        </w:rPr>
        <w:t xml:space="preserve">9.3 </w:t>
      </w:r>
      <w:r>
        <w:rPr>
          <w:rStyle w:val="11"/>
          <w:rFonts w:hint="eastAsia"/>
          <w:b/>
          <w:bCs/>
          <w:lang/>
        </w:rPr>
        <w:t>期末基金管理人的从业人员持有本开放式基金份额总量区间情况</w:t>
      </w:r>
      <w:r>
        <w:rPr>
          <w:lang/>
        </w:rPr>
        <w:tab/>
      </w:r>
      <w:r>
        <w:rPr>
          <w:lang/>
        </w:rPr>
        <w:fldChar w:fldCharType="begin"/>
      </w:r>
      <w:r>
        <w:rPr>
          <w:lang/>
        </w:rPr>
        <w:instrText xml:space="preserve"> PAGEREF _Toc4173676 \h </w:instrText>
      </w:r>
      <w:r>
        <w:rPr>
          <w:lang/>
        </w:rPr>
        <w:fldChar w:fldCharType="separate"/>
      </w:r>
      <w:r>
        <w:rPr>
          <w:lang/>
        </w:rPr>
        <w:t>69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"_Toc4173677"</w:instrText>
      </w:r>
      <w:r>
        <w:rPr>
          <w:rStyle w:val="11"/>
          <w:lang/>
        </w:rPr>
        <w:instrText xml:space="preserve"> </w:instrText>
      </w:r>
      <w:r>
        <w:rPr>
          <w:rStyle w:val="11"/>
          <w:lang/>
        </w:rPr>
        <w:fldChar w:fldCharType="separate"/>
      </w:r>
      <w:r>
        <w:rPr>
          <w:rStyle w:val="11"/>
          <w:b/>
          <w:bCs/>
          <w:lang/>
        </w:rPr>
        <w:t>9.4</w:t>
      </w:r>
      <w:r>
        <w:rPr>
          <w:rStyle w:val="11"/>
          <w:rFonts w:hint="eastAsia"/>
          <w:b/>
          <w:bCs/>
          <w:lang/>
        </w:rPr>
        <w:t>发起式基金发起资金持有份额情况</w:t>
      </w:r>
      <w:r>
        <w:rPr>
          <w:lang/>
        </w:rPr>
        <w:tab/>
      </w:r>
      <w:r>
        <w:rPr>
          <w:lang/>
        </w:rPr>
        <w:fldChar w:fldCharType="begin"/>
      </w:r>
      <w:r>
        <w:rPr>
          <w:lang/>
        </w:rPr>
        <w:instrText xml:space="preserve"> PAGEREF _Toc4173677 \h </w:instrText>
      </w:r>
      <w:r>
        <w:rPr>
          <w:lang/>
        </w:rPr>
        <w:fldChar w:fldCharType="separate"/>
      </w:r>
      <w:r>
        <w:rPr>
          <w:lang/>
        </w:rPr>
        <w:t>70</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"_Toc4173678"</w:instrText>
      </w:r>
      <w:r>
        <w:rPr>
          <w:rStyle w:val="11"/>
          <w:lang/>
        </w:rPr>
        <w:instrText xml:space="preserve"> </w:instrText>
      </w:r>
      <w:r>
        <w:rPr>
          <w:rStyle w:val="11"/>
          <w:lang/>
        </w:rPr>
        <w:fldChar w:fldCharType="separate"/>
      </w:r>
      <w:r>
        <w:rPr>
          <w:rStyle w:val="11"/>
          <w:b/>
          <w:lang/>
        </w:rPr>
        <w:t xml:space="preserve">§10  </w:t>
      </w:r>
      <w:r>
        <w:rPr>
          <w:rStyle w:val="11"/>
          <w:rFonts w:hint="eastAsia"/>
          <w:b/>
          <w:lang/>
        </w:rPr>
        <w:t>开放式基金份额变动</w:t>
      </w:r>
      <w:r>
        <w:rPr>
          <w:lang/>
        </w:rPr>
        <w:tab/>
      </w:r>
      <w:r>
        <w:rPr>
          <w:lang/>
        </w:rPr>
        <w:fldChar w:fldCharType="begin"/>
      </w:r>
      <w:r>
        <w:rPr>
          <w:lang/>
        </w:rPr>
        <w:instrText xml:space="preserve"> PAGEREF _Toc4173678 \h </w:instrText>
      </w:r>
      <w:r>
        <w:rPr>
          <w:lang/>
        </w:rPr>
        <w:fldChar w:fldCharType="separate"/>
      </w:r>
      <w:r>
        <w:rPr>
          <w:lang/>
        </w:rPr>
        <w:t>70</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"_Toc4173679"</w:instrText>
      </w:r>
      <w:r>
        <w:rPr>
          <w:rStyle w:val="11"/>
          <w:lang/>
        </w:rPr>
        <w:instrText xml:space="preserve"> </w:instrText>
      </w:r>
      <w:r>
        <w:rPr>
          <w:rStyle w:val="11"/>
          <w:lang/>
        </w:rPr>
        <w:fldChar w:fldCharType="separate"/>
      </w:r>
      <w:r>
        <w:rPr>
          <w:rStyle w:val="11"/>
          <w:b/>
          <w:lang/>
        </w:rPr>
        <w:t xml:space="preserve">§11  </w:t>
      </w:r>
      <w:r>
        <w:rPr>
          <w:rStyle w:val="11"/>
          <w:rFonts w:hint="eastAsia"/>
          <w:b/>
          <w:lang/>
        </w:rPr>
        <w:t>重大事件揭示</w:t>
      </w:r>
      <w:r>
        <w:rPr>
          <w:lang/>
        </w:rPr>
        <w:tab/>
      </w:r>
      <w:r>
        <w:rPr>
          <w:lang/>
        </w:rPr>
        <w:fldChar w:fldCharType="begin"/>
      </w:r>
      <w:r>
        <w:rPr>
          <w:lang/>
        </w:rPr>
        <w:instrText xml:space="preserve"> PAGEREF _Toc4173679 \h </w:instrText>
      </w:r>
      <w:r>
        <w:rPr>
          <w:lang/>
        </w:rPr>
        <w:fldChar w:fldCharType="separate"/>
      </w:r>
      <w:r>
        <w:rPr>
          <w:lang/>
        </w:rPr>
        <w:t>70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"_Toc4173680"</w:instrText>
      </w:r>
      <w:r>
        <w:rPr>
          <w:rStyle w:val="11"/>
          <w:lang/>
        </w:rPr>
        <w:instrText xml:space="preserve"> </w:instrText>
      </w:r>
      <w:r>
        <w:rPr>
          <w:rStyle w:val="11"/>
          <w:lang/>
        </w:rPr>
        <w:fldChar w:fldCharType="separate"/>
      </w:r>
      <w:r>
        <w:rPr>
          <w:rStyle w:val="11"/>
          <w:b/>
          <w:bCs/>
          <w:lang/>
        </w:rPr>
        <w:t xml:space="preserve">11.1 </w:t>
      </w:r>
      <w:r>
        <w:rPr>
          <w:rStyle w:val="11"/>
          <w:rFonts w:hint="eastAsia"/>
          <w:b/>
          <w:bCs/>
          <w:lang/>
        </w:rPr>
        <w:t>基金份额持有人大会决议</w:t>
      </w:r>
      <w:r>
        <w:rPr>
          <w:lang/>
        </w:rPr>
        <w:tab/>
      </w:r>
      <w:r>
        <w:rPr>
          <w:lang/>
        </w:rPr>
        <w:fldChar w:fldCharType="begin"/>
      </w:r>
      <w:r>
        <w:rPr>
          <w:lang/>
        </w:rPr>
        <w:instrText xml:space="preserve"> PAGEREF _Toc4173680 \h </w:instrText>
      </w:r>
      <w:r>
        <w:rPr>
          <w:lang/>
        </w:rPr>
        <w:fldChar w:fldCharType="separate"/>
      </w:r>
      <w:r>
        <w:rPr>
          <w:lang/>
        </w:rPr>
        <w:t>71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"_Toc4173681"</w:instrText>
      </w:r>
      <w:r>
        <w:rPr>
          <w:rStyle w:val="11"/>
          <w:lang/>
        </w:rPr>
        <w:instrText xml:space="preserve"> </w:instrText>
      </w:r>
      <w:r>
        <w:rPr>
          <w:rStyle w:val="11"/>
          <w:lang/>
        </w:rPr>
        <w:fldChar w:fldCharType="separate"/>
      </w:r>
      <w:r>
        <w:rPr>
          <w:rStyle w:val="11"/>
          <w:b/>
          <w:bCs/>
          <w:lang/>
        </w:rPr>
        <w:t xml:space="preserve">11.2 </w:t>
      </w:r>
      <w:r>
        <w:rPr>
          <w:rStyle w:val="11"/>
          <w:rFonts w:hint="eastAsia"/>
          <w:b/>
          <w:bCs/>
          <w:lang/>
        </w:rPr>
        <w:t>基金管理人、基金托管人的专门基金托管部门的重大人事变动</w:t>
      </w:r>
      <w:r>
        <w:rPr>
          <w:lang/>
        </w:rPr>
        <w:tab/>
      </w:r>
      <w:r>
        <w:rPr>
          <w:lang/>
        </w:rPr>
        <w:fldChar w:fldCharType="begin"/>
      </w:r>
      <w:r>
        <w:rPr>
          <w:lang/>
        </w:rPr>
        <w:instrText xml:space="preserve"> PAGEREF _Toc4173681 \h </w:instrText>
      </w:r>
      <w:r>
        <w:rPr>
          <w:lang/>
        </w:rPr>
        <w:fldChar w:fldCharType="separate"/>
      </w:r>
      <w:r>
        <w:rPr>
          <w:lang/>
        </w:rPr>
        <w:t>71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"_Toc4173682"</w:instrText>
      </w:r>
      <w:r>
        <w:rPr>
          <w:rStyle w:val="11"/>
          <w:lang/>
        </w:rPr>
        <w:instrText xml:space="preserve"> </w:instrText>
      </w:r>
      <w:r>
        <w:rPr>
          <w:rStyle w:val="11"/>
          <w:lang/>
        </w:rPr>
        <w:fldChar w:fldCharType="separate"/>
      </w:r>
      <w:r>
        <w:rPr>
          <w:rStyle w:val="11"/>
          <w:b/>
          <w:bCs/>
          <w:lang/>
        </w:rPr>
        <w:t xml:space="preserve">11.3 </w:t>
      </w:r>
      <w:r>
        <w:rPr>
          <w:rStyle w:val="11"/>
          <w:rFonts w:hint="eastAsia"/>
          <w:b/>
          <w:bCs/>
          <w:lang/>
        </w:rPr>
        <w:t>涉及基金管理人、基金财产、基金托管业务的诉讼</w:t>
      </w:r>
      <w:r>
        <w:rPr>
          <w:lang/>
        </w:rPr>
        <w:tab/>
      </w:r>
      <w:r>
        <w:rPr>
          <w:lang/>
        </w:rPr>
        <w:fldChar w:fldCharType="begin"/>
      </w:r>
      <w:r>
        <w:rPr>
          <w:lang/>
        </w:rPr>
        <w:instrText xml:space="preserve"> PAGEREF _Toc4173682 \h </w:instrText>
      </w:r>
      <w:r>
        <w:rPr>
          <w:lang/>
        </w:rPr>
        <w:fldChar w:fldCharType="separate"/>
      </w:r>
      <w:r>
        <w:rPr>
          <w:lang/>
        </w:rPr>
        <w:t>71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"_Toc4173683"</w:instrText>
      </w:r>
      <w:r>
        <w:rPr>
          <w:rStyle w:val="11"/>
          <w:lang/>
        </w:rPr>
        <w:instrText xml:space="preserve"> </w:instrText>
      </w:r>
      <w:r>
        <w:rPr>
          <w:rStyle w:val="11"/>
          <w:lang/>
        </w:rPr>
        <w:fldChar w:fldCharType="separate"/>
      </w:r>
      <w:r>
        <w:rPr>
          <w:rStyle w:val="11"/>
          <w:b/>
          <w:bCs/>
          <w:lang/>
        </w:rPr>
        <w:t xml:space="preserve">11.4 </w:t>
      </w:r>
      <w:r>
        <w:rPr>
          <w:rStyle w:val="11"/>
          <w:rFonts w:hint="eastAsia"/>
          <w:b/>
          <w:bCs/>
          <w:lang/>
        </w:rPr>
        <w:t>基金投资策略的改变</w:t>
      </w:r>
      <w:r>
        <w:rPr>
          <w:lang/>
        </w:rPr>
        <w:tab/>
      </w:r>
      <w:r>
        <w:rPr>
          <w:lang/>
        </w:rPr>
        <w:fldChar w:fldCharType="begin"/>
      </w:r>
      <w:r>
        <w:rPr>
          <w:lang/>
        </w:rPr>
        <w:instrText xml:space="preserve"> PAGEREF _Toc4173683 \h </w:instrText>
      </w:r>
      <w:r>
        <w:rPr>
          <w:lang/>
        </w:rPr>
        <w:fldChar w:fldCharType="separate"/>
      </w:r>
      <w:r>
        <w:rPr>
          <w:lang/>
        </w:rPr>
        <w:t>71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"_Toc4173684"</w:instrText>
      </w:r>
      <w:r>
        <w:rPr>
          <w:rStyle w:val="11"/>
          <w:lang/>
        </w:rPr>
        <w:instrText xml:space="preserve"> </w:instrText>
      </w:r>
      <w:r>
        <w:rPr>
          <w:rStyle w:val="11"/>
          <w:lang/>
        </w:rPr>
        <w:fldChar w:fldCharType="separate"/>
      </w:r>
      <w:r>
        <w:rPr>
          <w:rStyle w:val="11"/>
          <w:b/>
          <w:bCs/>
          <w:lang/>
        </w:rPr>
        <w:t xml:space="preserve">11.5 </w:t>
      </w:r>
      <w:r>
        <w:rPr>
          <w:rStyle w:val="11"/>
          <w:rFonts w:hint="eastAsia"/>
          <w:b/>
          <w:bCs/>
          <w:lang/>
        </w:rPr>
        <w:t>为基金进行审计的会计师事务所情况</w:t>
      </w:r>
      <w:r>
        <w:rPr>
          <w:lang/>
        </w:rPr>
        <w:tab/>
      </w:r>
      <w:r>
        <w:rPr>
          <w:lang/>
        </w:rPr>
        <w:fldChar w:fldCharType="begin"/>
      </w:r>
      <w:r>
        <w:rPr>
          <w:lang/>
        </w:rPr>
        <w:instrText xml:space="preserve"> PAGEREF _Toc4173684 \h </w:instrText>
      </w:r>
      <w:r>
        <w:rPr>
          <w:lang/>
        </w:rPr>
        <w:fldChar w:fldCharType="separate"/>
      </w:r>
      <w:r>
        <w:rPr>
          <w:lang/>
        </w:rPr>
        <w:t>71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"_Toc4173685"</w:instrText>
      </w:r>
      <w:r>
        <w:rPr>
          <w:rStyle w:val="11"/>
          <w:lang/>
        </w:rPr>
        <w:instrText xml:space="preserve"> </w:instrText>
      </w:r>
      <w:r>
        <w:rPr>
          <w:rStyle w:val="11"/>
          <w:lang/>
        </w:rPr>
        <w:fldChar w:fldCharType="separate"/>
      </w:r>
      <w:r>
        <w:rPr>
          <w:rStyle w:val="11"/>
          <w:b/>
          <w:bCs/>
          <w:lang/>
        </w:rPr>
        <w:t xml:space="preserve">11.6 </w:t>
      </w:r>
      <w:r>
        <w:rPr>
          <w:rStyle w:val="11"/>
          <w:rFonts w:hint="eastAsia"/>
          <w:b/>
          <w:bCs/>
          <w:lang/>
        </w:rPr>
        <w:t>管理人、托管人及其高级管理人员受稽查或处罚等情况</w:t>
      </w:r>
      <w:r>
        <w:rPr>
          <w:lang/>
        </w:rPr>
        <w:tab/>
      </w:r>
      <w:r>
        <w:rPr>
          <w:lang/>
        </w:rPr>
        <w:fldChar w:fldCharType="begin"/>
      </w:r>
      <w:r>
        <w:rPr>
          <w:lang/>
        </w:rPr>
        <w:instrText xml:space="preserve"> PAGEREF _Toc4173685 \h </w:instrText>
      </w:r>
      <w:r>
        <w:rPr>
          <w:lang/>
        </w:rPr>
        <w:fldChar w:fldCharType="separate"/>
      </w:r>
      <w:r>
        <w:rPr>
          <w:lang/>
        </w:rPr>
        <w:t>71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"_Toc4173686"</w:instrText>
      </w:r>
      <w:r>
        <w:rPr>
          <w:rStyle w:val="11"/>
          <w:lang/>
        </w:rPr>
        <w:instrText xml:space="preserve"> </w:instrText>
      </w:r>
      <w:r>
        <w:rPr>
          <w:rStyle w:val="11"/>
          <w:lang/>
        </w:rPr>
        <w:fldChar w:fldCharType="separate"/>
      </w:r>
      <w:r>
        <w:rPr>
          <w:rStyle w:val="11"/>
          <w:b/>
          <w:bCs/>
          <w:lang/>
        </w:rPr>
        <w:t xml:space="preserve">11.7 </w:t>
      </w:r>
      <w:r>
        <w:rPr>
          <w:rStyle w:val="11"/>
          <w:rFonts w:hint="eastAsia"/>
          <w:b/>
          <w:bCs/>
          <w:lang/>
        </w:rPr>
        <w:t>基金租用证券公司交易单元的有关情况</w:t>
      </w:r>
      <w:r>
        <w:rPr>
          <w:lang/>
        </w:rPr>
        <w:tab/>
      </w:r>
      <w:r>
        <w:rPr>
          <w:lang/>
        </w:rPr>
        <w:fldChar w:fldCharType="begin"/>
      </w:r>
      <w:r>
        <w:rPr>
          <w:lang/>
        </w:rPr>
        <w:instrText xml:space="preserve"> PAGEREF _Toc4173686 \h </w:instrText>
      </w:r>
      <w:r>
        <w:rPr>
          <w:lang/>
        </w:rPr>
        <w:fldChar w:fldCharType="separate"/>
      </w:r>
      <w:r>
        <w:rPr>
          <w:lang/>
        </w:rPr>
        <w:t>71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"_Toc4173687"</w:instrText>
      </w:r>
      <w:r>
        <w:rPr>
          <w:rStyle w:val="11"/>
          <w:lang/>
        </w:rPr>
        <w:instrText xml:space="preserve"> </w:instrText>
      </w:r>
      <w:r>
        <w:rPr>
          <w:rStyle w:val="11"/>
          <w:lang/>
        </w:rPr>
        <w:fldChar w:fldCharType="separate"/>
      </w:r>
      <w:r>
        <w:rPr>
          <w:rStyle w:val="11"/>
          <w:b/>
          <w:bCs/>
          <w:lang/>
        </w:rPr>
        <w:t xml:space="preserve">11.8 </w:t>
      </w:r>
      <w:r>
        <w:rPr>
          <w:rStyle w:val="11"/>
          <w:rFonts w:hint="eastAsia"/>
          <w:b/>
          <w:bCs/>
          <w:lang/>
        </w:rPr>
        <w:t>其他重大事件</w:t>
      </w:r>
      <w:r>
        <w:rPr>
          <w:lang/>
        </w:rPr>
        <w:tab/>
      </w:r>
      <w:r>
        <w:rPr>
          <w:lang/>
        </w:rPr>
        <w:fldChar w:fldCharType="begin"/>
      </w:r>
      <w:r>
        <w:rPr>
          <w:lang/>
        </w:rPr>
        <w:instrText xml:space="preserve"> PAGEREF _Toc4173687 \h </w:instrText>
      </w:r>
      <w:r>
        <w:rPr>
          <w:lang/>
        </w:rPr>
        <w:fldChar w:fldCharType="separate"/>
      </w:r>
      <w:r>
        <w:rPr>
          <w:lang/>
        </w:rPr>
        <w:t>73</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"_Toc4173688"</w:instrText>
      </w:r>
      <w:r>
        <w:rPr>
          <w:rStyle w:val="11"/>
          <w:lang/>
        </w:rPr>
        <w:instrText xml:space="preserve"> </w:instrText>
      </w:r>
      <w:r>
        <w:rPr>
          <w:rStyle w:val="11"/>
          <w:lang/>
        </w:rPr>
        <w:fldChar w:fldCharType="separate"/>
      </w:r>
      <w:r>
        <w:rPr>
          <w:rStyle w:val="11"/>
          <w:b/>
          <w:lang/>
        </w:rPr>
        <w:t xml:space="preserve">§12  </w:t>
      </w:r>
      <w:r>
        <w:rPr>
          <w:rStyle w:val="11"/>
          <w:rFonts w:hint="eastAsia"/>
          <w:b/>
          <w:lang/>
        </w:rPr>
        <w:t>影响投资者决策的其他重要信息</w:t>
      </w:r>
      <w:r>
        <w:rPr>
          <w:lang/>
        </w:rPr>
        <w:tab/>
      </w:r>
      <w:r>
        <w:rPr>
          <w:lang/>
        </w:rPr>
        <w:fldChar w:fldCharType="begin"/>
      </w:r>
      <w:r>
        <w:rPr>
          <w:lang/>
        </w:rPr>
        <w:instrText xml:space="preserve"> PAGEREF _Toc4173688 \h </w:instrText>
      </w:r>
      <w:r>
        <w:rPr>
          <w:lang/>
        </w:rPr>
        <w:fldChar w:fldCharType="separate"/>
      </w:r>
      <w:r>
        <w:rPr>
          <w:lang/>
        </w:rPr>
        <w:t>77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"_Toc4173689"</w:instrText>
      </w:r>
      <w:r>
        <w:rPr>
          <w:rStyle w:val="11"/>
          <w:lang/>
        </w:rPr>
        <w:instrText xml:space="preserve"> </w:instrText>
      </w:r>
      <w:r>
        <w:rPr>
          <w:rStyle w:val="11"/>
          <w:lang/>
        </w:rPr>
        <w:fldChar w:fldCharType="separate"/>
      </w:r>
      <w:r>
        <w:rPr>
          <w:rStyle w:val="11"/>
          <w:b/>
          <w:bCs/>
          <w:lang/>
        </w:rPr>
        <w:t xml:space="preserve">12.1 </w:t>
      </w:r>
      <w:r>
        <w:rPr>
          <w:rStyle w:val="11"/>
          <w:rFonts w:hint="eastAsia"/>
          <w:b/>
          <w:bCs/>
          <w:lang/>
        </w:rPr>
        <w:t>报告期内单一投资者持有基金份额比例达到或超过</w:t>
      </w:r>
      <w:r>
        <w:rPr>
          <w:rStyle w:val="11"/>
          <w:b/>
          <w:bCs/>
          <w:lang/>
        </w:rPr>
        <w:t>20%</w:t>
      </w:r>
      <w:r>
        <w:rPr>
          <w:rStyle w:val="11"/>
          <w:rFonts w:hint="eastAsia"/>
          <w:b/>
          <w:bCs/>
          <w:lang/>
        </w:rPr>
        <w:t>的情况</w:t>
      </w:r>
      <w:r>
        <w:rPr>
          <w:lang/>
        </w:rPr>
        <w:tab/>
      </w:r>
      <w:r>
        <w:rPr>
          <w:lang/>
        </w:rPr>
        <w:fldChar w:fldCharType="begin"/>
      </w:r>
      <w:r>
        <w:rPr>
          <w:lang/>
        </w:rPr>
        <w:instrText xml:space="preserve"> PAGEREF _Toc4173689 \h </w:instrText>
      </w:r>
      <w:r>
        <w:rPr>
          <w:lang/>
        </w:rPr>
        <w:fldChar w:fldCharType="separate"/>
      </w:r>
      <w:r>
        <w:rPr>
          <w:lang/>
        </w:rPr>
        <w:t>77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"_Toc4173690"</w:instrText>
      </w:r>
      <w:r>
        <w:rPr>
          <w:rStyle w:val="11"/>
          <w:lang/>
        </w:rPr>
        <w:instrText xml:space="preserve"> </w:instrText>
      </w:r>
      <w:r>
        <w:rPr>
          <w:rStyle w:val="11"/>
          <w:lang/>
        </w:rPr>
        <w:fldChar w:fldCharType="separate"/>
      </w:r>
      <w:r>
        <w:rPr>
          <w:rStyle w:val="11"/>
          <w:b/>
          <w:bCs/>
          <w:lang/>
        </w:rPr>
        <w:t xml:space="preserve">12.2 </w:t>
      </w:r>
      <w:r>
        <w:rPr>
          <w:rStyle w:val="11"/>
          <w:rFonts w:hint="eastAsia"/>
          <w:b/>
          <w:bCs/>
          <w:lang/>
        </w:rPr>
        <w:t>影响投资者决策的其他重要信息</w:t>
      </w:r>
      <w:r>
        <w:rPr>
          <w:lang/>
        </w:rPr>
        <w:tab/>
      </w:r>
      <w:r>
        <w:rPr>
          <w:lang/>
        </w:rPr>
        <w:fldChar w:fldCharType="begin"/>
      </w:r>
      <w:r>
        <w:rPr>
          <w:lang/>
        </w:rPr>
        <w:instrText xml:space="preserve"> PAGEREF _Toc4173690 \h </w:instrText>
      </w:r>
      <w:r>
        <w:rPr>
          <w:lang/>
        </w:rPr>
        <w:fldChar w:fldCharType="separate"/>
      </w:r>
      <w:r>
        <w:rPr>
          <w:lang/>
        </w:rPr>
        <w:t>77</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"_Toc4173691"</w:instrText>
      </w:r>
      <w:r>
        <w:rPr>
          <w:rStyle w:val="11"/>
          <w:lang/>
        </w:rPr>
        <w:instrText xml:space="preserve"> </w:instrText>
      </w:r>
      <w:r>
        <w:rPr>
          <w:rStyle w:val="11"/>
          <w:lang/>
        </w:rPr>
        <w:fldChar w:fldCharType="separate"/>
      </w:r>
      <w:r>
        <w:rPr>
          <w:rStyle w:val="11"/>
          <w:b/>
          <w:lang/>
        </w:rPr>
        <w:t xml:space="preserve">§13  </w:t>
      </w:r>
      <w:r>
        <w:rPr>
          <w:rStyle w:val="11"/>
          <w:rFonts w:hint="eastAsia"/>
          <w:b/>
          <w:lang/>
        </w:rPr>
        <w:t>备查文件目录</w:t>
      </w:r>
      <w:r>
        <w:rPr>
          <w:lang/>
        </w:rPr>
        <w:tab/>
      </w:r>
      <w:r>
        <w:rPr>
          <w:lang/>
        </w:rPr>
        <w:fldChar w:fldCharType="begin"/>
      </w:r>
      <w:r>
        <w:rPr>
          <w:lang/>
        </w:rPr>
        <w:instrText xml:space="preserve"> PAGEREF _Toc4173691 \h </w:instrText>
      </w:r>
      <w:r>
        <w:rPr>
          <w:lang/>
        </w:rPr>
        <w:fldChar w:fldCharType="separate"/>
      </w:r>
      <w:r>
        <w:rPr>
          <w:lang/>
        </w:rPr>
        <w:t>77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"_Toc4173692"</w:instrText>
      </w:r>
      <w:r>
        <w:rPr>
          <w:rStyle w:val="11"/>
          <w:lang/>
        </w:rPr>
        <w:instrText xml:space="preserve"> </w:instrText>
      </w:r>
      <w:r>
        <w:rPr>
          <w:rStyle w:val="11"/>
          <w:lang/>
        </w:rPr>
        <w:fldChar w:fldCharType="separate"/>
      </w:r>
      <w:r>
        <w:rPr>
          <w:rStyle w:val="11"/>
          <w:b/>
          <w:bCs/>
          <w:lang/>
        </w:rPr>
        <w:t xml:space="preserve">13.1 </w:t>
      </w:r>
      <w:r>
        <w:rPr>
          <w:rStyle w:val="11"/>
          <w:rFonts w:hint="eastAsia"/>
          <w:b/>
          <w:bCs/>
          <w:lang/>
        </w:rPr>
        <w:t>备查文件目录</w:t>
      </w:r>
      <w:r>
        <w:rPr>
          <w:lang/>
        </w:rPr>
        <w:tab/>
      </w:r>
      <w:r>
        <w:rPr>
          <w:lang/>
        </w:rPr>
        <w:fldChar w:fldCharType="begin"/>
      </w:r>
      <w:r>
        <w:rPr>
          <w:lang/>
        </w:rPr>
        <w:instrText xml:space="preserve"> PAGEREF _Toc4173692 \h </w:instrText>
      </w:r>
      <w:r>
        <w:rPr>
          <w:lang/>
        </w:rPr>
        <w:fldChar w:fldCharType="separate"/>
      </w:r>
      <w:r>
        <w:rPr>
          <w:lang/>
        </w:rPr>
        <w:t>77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"_Toc4173693"</w:instrText>
      </w:r>
      <w:r>
        <w:rPr>
          <w:rStyle w:val="11"/>
          <w:lang/>
        </w:rPr>
        <w:instrText xml:space="preserve"> </w:instrText>
      </w:r>
      <w:r>
        <w:rPr>
          <w:rStyle w:val="11"/>
          <w:lang/>
        </w:rPr>
        <w:fldChar w:fldCharType="separate"/>
      </w:r>
      <w:r>
        <w:rPr>
          <w:rStyle w:val="11"/>
          <w:b/>
          <w:bCs/>
          <w:lang/>
        </w:rPr>
        <w:t xml:space="preserve">13.2 </w:t>
      </w:r>
      <w:r>
        <w:rPr>
          <w:rStyle w:val="11"/>
          <w:rFonts w:hint="eastAsia"/>
          <w:b/>
          <w:bCs/>
          <w:lang/>
        </w:rPr>
        <w:t>存放地点</w:t>
      </w:r>
      <w:r>
        <w:rPr>
          <w:lang/>
        </w:rPr>
        <w:tab/>
      </w:r>
      <w:r>
        <w:rPr>
          <w:lang/>
        </w:rPr>
        <w:fldChar w:fldCharType="begin"/>
      </w:r>
      <w:r>
        <w:rPr>
          <w:lang/>
        </w:rPr>
        <w:instrText xml:space="preserve"> PAGEREF _Toc4173693 \h </w:instrText>
      </w:r>
      <w:r>
        <w:rPr>
          <w:lang/>
        </w:rPr>
        <w:fldChar w:fldCharType="separate"/>
      </w:r>
      <w:r>
        <w:rPr>
          <w:lang/>
        </w:rPr>
        <w:t>77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"_Toc4173694"</w:instrText>
      </w:r>
      <w:r>
        <w:rPr>
          <w:rStyle w:val="11"/>
          <w:lang/>
        </w:rPr>
        <w:instrText xml:space="preserve"> </w:instrText>
      </w:r>
      <w:r>
        <w:rPr>
          <w:rStyle w:val="11"/>
          <w:lang/>
        </w:rPr>
        <w:fldChar w:fldCharType="separate"/>
      </w:r>
      <w:r>
        <w:rPr>
          <w:rStyle w:val="11"/>
          <w:b/>
          <w:bCs/>
          <w:lang/>
        </w:rPr>
        <w:t xml:space="preserve">13.3 </w:t>
      </w:r>
      <w:r>
        <w:rPr>
          <w:rStyle w:val="11"/>
          <w:rFonts w:hint="eastAsia"/>
          <w:b/>
          <w:bCs/>
          <w:lang/>
        </w:rPr>
        <w:t>查阅方式</w:t>
      </w:r>
      <w:r>
        <w:rPr>
          <w:lang/>
        </w:rPr>
        <w:tab/>
      </w:r>
      <w:r>
        <w:rPr>
          <w:lang/>
        </w:rPr>
        <w:fldChar w:fldCharType="begin"/>
      </w:r>
      <w:r>
        <w:rPr>
          <w:lang/>
        </w:rPr>
        <w:instrText xml:space="preserve"> PAGEREF _Toc4173694 \h </w:instrText>
      </w:r>
      <w:r>
        <w:rPr>
          <w:lang/>
        </w:rPr>
        <w:fldChar w:fldCharType="separate"/>
      </w:r>
      <w:r>
        <w:rPr>
          <w:lang/>
        </w:rPr>
        <w:t>77</w:t>
      </w:r>
      <w:r>
        <w:rPr>
          <w:lang/>
        </w:rPr>
        <w:fldChar w:fldCharType="end"/>
      </w:r>
      <w:r>
        <w:rPr>
          <w:rStyle w:val="11"/>
          <w:lang/>
        </w:rPr>
        <w:fldChar w:fldCharType="end"/>
      </w:r>
    </w:p>
    <w:p>
      <w:pPr>
        <w:pStyle w:val="13"/>
        <w:rPr>
          <w:rFonts w:hint="eastAsia"/>
        </w:rPr>
      </w:pPr>
      <w:r>
        <w:rPr>
          <w:rFonts w:ascii="Times New Roman" w:hAnsi="Times New Roman"/>
        </w:rPr>
        <w:fldChar w:fldCharType="end"/>
      </w:r>
      <w:r>
        <w:rPr>
          <w:rFonts w:ascii="Times New Roman" w:hAnsi="Times New Roman"/>
        </w:rPr>
        <w:br w:type="page"/>
      </w:r>
      <w:bookmarkStart w:id="3" w:name="_Toc4173628"/>
      <w:r>
        <w:rPr>
          <w:rFonts w:hint="eastAsia" w:hAnsi="Calibri"/>
          <w:b/>
          <w:color w:val="000000"/>
        </w:rPr>
        <w:t>§2  基金简介</w:t>
      </w:r>
      <w:bookmarkEnd w:id="3"/>
    </w:p>
    <w:p>
      <w:pPr>
        <w:widowControl/>
        <w:jc w:val="left"/>
        <w:rPr>
          <w:rFonts w:hint="eastAsia" w:ascii="宋体" w:hAnsi="宋体" w:cs="宋体"/>
          <w:kern w:val="0"/>
          <w:sz w:val="24"/>
          <w:szCs w:val="24"/>
        </w:rPr>
      </w:pPr>
    </w:p>
    <w:p>
      <w:pPr>
        <w:pStyle w:val="14"/>
        <w:rPr>
          <w:rFonts w:hint="eastAsia"/>
        </w:rPr>
      </w:pPr>
      <w:bookmarkStart w:id="4" w:name="_Toc4173629"/>
      <w:r>
        <w:rPr>
          <w:rFonts w:hint="eastAsia"/>
          <w:b/>
          <w:bCs/>
        </w:rPr>
        <w:t>2.1 基金基本情况</w:t>
      </w:r>
      <w:bookmarkEnd w:id="4"/>
    </w:p>
    <w:tbl>
      <w:tblPr>
        <w:tblStyle w:val="7"/>
        <w:tblW w:w="9120" w:type="dxa"/>
        <w:tblInd w:w="108" w:type="dxa"/>
        <w:tblLayout w:type="autofit"/>
        <w:tblCellMar>
          <w:top w:w="0" w:type="dxa"/>
          <w:left w:w="108" w:type="dxa"/>
          <w:bottom w:w="0" w:type="dxa"/>
          <w:right w:w="108" w:type="dxa"/>
        </w:tblCellMar>
      </w:tblPr>
      <w:tblGrid>
        <w:gridCol w:w="4008"/>
        <w:gridCol w:w="2556"/>
        <w:gridCol w:w="2556"/>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创金合信MSCI中国A股国际指数发起式证券投资基金</w:t>
            </w:r>
          </w:p>
        </w:tc>
      </w:tr>
      <w:tr>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基金简称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创金合信MSCI中国A股国际指数</w:t>
            </w:r>
          </w:p>
        </w:tc>
      </w:tr>
      <w:tr>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基金主代码</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005567</w:t>
            </w:r>
          </w:p>
        </w:tc>
      </w:tr>
      <w:tr>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基金运作方式</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契约型开放式</w:t>
            </w:r>
          </w:p>
        </w:tc>
      </w:tr>
      <w:tr>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2018年02月07日</w:t>
            </w:r>
          </w:p>
        </w:tc>
      </w:tr>
      <w:tr>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创金合信基金管理有限公司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基金托管人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招商银行股份有限公司</w:t>
            </w:r>
          </w:p>
        </w:tc>
      </w:tr>
      <w:tr>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报告期末基金份额总额</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82,306,992.26份</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基金合同存续期</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不定期</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下属分级基金的基金简称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创金合信MSCI中国A股国际指数A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创金合信MSCI中国A股国际指数C</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下属分级基金的交易代码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005567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005568</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报告期末下属分级基金的份额总额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63,735,597.38份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18,571,394.88份</w:t>
            </w:r>
          </w:p>
        </w:tc>
      </w:tr>
    </w:tbl>
    <w:p>
      <w:pPr>
        <w:widowControl/>
        <w:jc w:val="left"/>
        <w:rPr>
          <w:rFonts w:hint="eastAsia" w:ascii="宋体" w:hAnsi="宋体" w:cs="宋体"/>
          <w:kern w:val="0"/>
          <w:sz w:val="24"/>
          <w:szCs w:val="24"/>
        </w:rPr>
      </w:pPr>
    </w:p>
    <w:p>
      <w:pPr>
        <w:pStyle w:val="14"/>
        <w:rPr>
          <w:rFonts w:hint="eastAsia"/>
        </w:rPr>
      </w:pPr>
      <w:bookmarkStart w:id="5" w:name="_Toc4173630"/>
      <w:r>
        <w:rPr>
          <w:rFonts w:hint="eastAsia"/>
          <w:b/>
          <w:bCs/>
        </w:rPr>
        <w:t>2.2 基金产品说明</w:t>
      </w:r>
      <w:bookmarkEnd w:id="5"/>
    </w:p>
    <w:tbl>
      <w:tblPr>
        <w:tblStyle w:val="7"/>
        <w:tblW w:w="9120" w:type="dxa"/>
        <w:tblInd w:w="108" w:type="dxa"/>
        <w:tblLayout w:type="autofit"/>
        <w:tblCellMar>
          <w:top w:w="0" w:type="dxa"/>
          <w:left w:w="108" w:type="dxa"/>
          <w:bottom w:w="0" w:type="dxa"/>
          <w:right w:w="108" w:type="dxa"/>
        </w:tblCellMar>
      </w:tblPr>
      <w:tblGrid>
        <w:gridCol w:w="3282"/>
        <w:gridCol w:w="583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投资目标</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紧密跟踪业绩比较基准，追求跟踪偏离度和跟踪误差的最小化。</w:t>
            </w:r>
          </w:p>
        </w:tc>
      </w:tr>
      <w:tr>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投资策略</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正常情况下，本基金主要采用完全复制法进行投资，力争将年化跟踪误差控制在2%以内，日跟踪偏离度绝对值的平均值控制在0.20%以内。</w:t>
            </w:r>
          </w:p>
        </w:tc>
      </w:tr>
      <w:tr>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业绩比较基准</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MSCI中国A股国际指数收益率×95%+银行人民币活期存款利率（税后）×5%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风险收益特征</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本基金为股票型基金，理论上其预期风险和预期收益水平高于混合型基金、债券型基金及货币市场基金。本基金紧密跟踪标的指数表现，具有与标的指数相似的风险收益特征。</w:t>
            </w:r>
          </w:p>
        </w:tc>
      </w:tr>
    </w:tbl>
    <w:p>
      <w:pPr>
        <w:widowControl/>
        <w:jc w:val="left"/>
        <w:rPr>
          <w:rFonts w:hint="eastAsia" w:ascii="宋体" w:hAnsi="宋体" w:cs="宋体"/>
          <w:kern w:val="0"/>
          <w:sz w:val="24"/>
          <w:szCs w:val="24"/>
        </w:rPr>
      </w:pPr>
    </w:p>
    <w:p>
      <w:pPr>
        <w:pStyle w:val="14"/>
        <w:rPr>
          <w:rFonts w:hint="eastAsia"/>
        </w:rPr>
      </w:pPr>
      <w:bookmarkStart w:id="6" w:name="_Toc4173631"/>
      <w:r>
        <w:rPr>
          <w:rFonts w:hint="eastAsia"/>
          <w:b/>
          <w:bCs/>
        </w:rPr>
        <w:t>2.3 基金管理人和基金托管人</w:t>
      </w:r>
      <w:bookmarkEnd w:id="6"/>
    </w:p>
    <w:tbl>
      <w:tblPr>
        <w:tblStyle w:val="7"/>
        <w:tblW w:w="9120" w:type="dxa"/>
        <w:tblInd w:w="108" w:type="dxa"/>
        <w:tblLayout w:type="autofit"/>
        <w:tblCellMar>
          <w:top w:w="0" w:type="dxa"/>
          <w:left w:w="108" w:type="dxa"/>
          <w:bottom w:w="0" w:type="dxa"/>
          <w:right w:w="108" w:type="dxa"/>
        </w:tblCellMar>
      </w:tblPr>
      <w:tblGrid>
        <w:gridCol w:w="1093"/>
        <w:gridCol w:w="1459"/>
        <w:gridCol w:w="3284"/>
        <w:gridCol w:w="3284"/>
      </w:tblGrid>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基金管理人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基金托管人</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名称</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创金合信基金管理有限公司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招商银行股份有限公司</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信息披露负责人</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姓名</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梁绍锋</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张燕</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联系电话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0755-23838908</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0755-83199084</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电子邮箱</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liangshaofeng@cjhxfund.com</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yan_zhang@cmbchina.com</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客户服务电话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400-868-0666</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95555</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传真</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0755-25832571</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0755-83195201</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深圳市前海深港合作区前湾一路1号201室（入驻深圳市前海商务秘书有限公司）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深圳市深南大道7088号招商银行大厦</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办公地址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深圳市福田中心区福华一路115号投行大厦15层</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深圳市深南大道7088号招商银行大厦</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邮政编码</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518000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518040</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法定代表人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刘学民</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李建红</w:t>
            </w:r>
          </w:p>
        </w:tc>
      </w:tr>
    </w:tbl>
    <w:p>
      <w:pPr>
        <w:widowControl/>
        <w:jc w:val="left"/>
        <w:rPr>
          <w:rFonts w:hint="eastAsia" w:ascii="宋体" w:hAnsi="宋体" w:cs="宋体"/>
          <w:kern w:val="0"/>
          <w:sz w:val="24"/>
          <w:szCs w:val="24"/>
        </w:rPr>
      </w:pPr>
    </w:p>
    <w:p>
      <w:pPr>
        <w:pStyle w:val="14"/>
        <w:rPr>
          <w:rFonts w:hint="eastAsia"/>
        </w:rPr>
      </w:pPr>
      <w:bookmarkStart w:id="7" w:name="_Toc4173632"/>
      <w:r>
        <w:rPr>
          <w:rFonts w:hint="eastAsia"/>
          <w:b/>
          <w:bCs/>
        </w:rPr>
        <w:t>2.4 信息披露方式</w:t>
      </w:r>
      <w:bookmarkEnd w:id="7"/>
    </w:p>
    <w:tbl>
      <w:tblPr>
        <w:tblStyle w:val="7"/>
        <w:tblW w:w="9120" w:type="dxa"/>
        <w:tblInd w:w="108" w:type="dxa"/>
        <w:tblLayout w:type="autofit"/>
        <w:tblCellMar>
          <w:top w:w="0" w:type="dxa"/>
          <w:left w:w="108" w:type="dxa"/>
          <w:bottom w:w="0" w:type="dxa"/>
          <w:right w:w="108" w:type="dxa"/>
        </w:tblCellMar>
      </w:tblPr>
      <w:tblGrid>
        <w:gridCol w:w="2552"/>
        <w:gridCol w:w="6568"/>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本基金选定的信息披露报纸名称</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中国证券报</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登载基金年度报告正文的管理人互联网网址</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www.cjhxfund.com</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基金年度报告备置地点</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深圳市福田中心区福华一路115号投行大厦15层</w:t>
            </w:r>
          </w:p>
        </w:tc>
      </w:tr>
    </w:tbl>
    <w:p>
      <w:pPr>
        <w:pStyle w:val="20"/>
        <w:rPr>
          <w:rFonts w:hint="eastAsia"/>
        </w:rPr>
      </w:pPr>
      <w:r>
        <w:rPr>
          <w:rFonts w:hint="eastAsia"/>
        </w:rPr>
        <w:t>注：本基金自2019年1月19日起信息披露报纸由《中国证券报 》、《上海证券报》变更为《中国证券报 》。</w:t>
      </w:r>
    </w:p>
    <w:p>
      <w:pPr>
        <w:widowControl/>
        <w:jc w:val="left"/>
        <w:rPr>
          <w:rFonts w:hint="eastAsia" w:ascii="宋体" w:hAnsi="宋体" w:cs="宋体"/>
          <w:kern w:val="0"/>
          <w:sz w:val="24"/>
          <w:szCs w:val="24"/>
        </w:rPr>
      </w:pPr>
    </w:p>
    <w:p>
      <w:pPr>
        <w:pStyle w:val="14"/>
        <w:rPr>
          <w:rFonts w:hint="eastAsia"/>
        </w:rPr>
      </w:pPr>
      <w:bookmarkStart w:id="8" w:name="_Toc4173633"/>
      <w:r>
        <w:rPr>
          <w:rFonts w:hint="eastAsia"/>
          <w:b/>
          <w:bCs/>
        </w:rPr>
        <w:t>2.5 其他相关资料</w:t>
      </w:r>
      <w:bookmarkEnd w:id="8"/>
    </w:p>
    <w:tbl>
      <w:tblPr>
        <w:tblStyle w:val="7"/>
        <w:tblW w:w="9120" w:type="dxa"/>
        <w:tblInd w:w="108" w:type="dxa"/>
        <w:tblLayout w:type="autofit"/>
        <w:tblCellMar>
          <w:top w:w="0" w:type="dxa"/>
          <w:left w:w="108" w:type="dxa"/>
          <w:bottom w:w="0" w:type="dxa"/>
          <w:right w:w="108" w:type="dxa"/>
        </w:tblCellMar>
      </w:tblPr>
      <w:tblGrid>
        <w:gridCol w:w="1823"/>
        <w:gridCol w:w="3284"/>
        <w:gridCol w:w="4013"/>
      </w:tblGrid>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名称</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办公地址</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普华永道中天会计师事务所（特殊普通合伙）</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上海市黄浦区湖滨路202号领展企业广场2座普华永道中心</w:t>
            </w:r>
            <w:r>
              <w:t>11</w:t>
            </w:r>
            <w:r>
              <w:rPr>
                <w:rFonts w:hint="eastAsia"/>
              </w:rPr>
              <w:t>楼</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注册登记机构</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创金合信基金管理有限公司</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深圳市福田中心区福华一路115号投行大厦15层</w:t>
            </w:r>
          </w:p>
        </w:tc>
      </w:tr>
    </w:tbl>
    <w:p>
      <w:pPr>
        <w:widowControl/>
        <w:jc w:val="left"/>
        <w:rPr>
          <w:rFonts w:hint="eastAsia" w:ascii="宋体" w:hAnsi="宋体" w:cs="宋体"/>
          <w:kern w:val="0"/>
          <w:sz w:val="24"/>
          <w:szCs w:val="24"/>
        </w:rPr>
      </w:pPr>
    </w:p>
    <w:p>
      <w:pPr>
        <w:pStyle w:val="13"/>
        <w:rPr>
          <w:rFonts w:hint="eastAsia"/>
        </w:rPr>
      </w:pPr>
      <w:bookmarkStart w:id="9" w:name="_Toc4173634"/>
      <w:r>
        <w:rPr>
          <w:rFonts w:hint="eastAsia" w:hAnsi="Calibri"/>
          <w:b/>
          <w:color w:val="000000"/>
        </w:rPr>
        <w:t>§3  主要财务指标、基金净值表现及利润分配情况</w:t>
      </w:r>
      <w:bookmarkEnd w:id="9"/>
    </w:p>
    <w:p>
      <w:pPr>
        <w:widowControl/>
        <w:jc w:val="left"/>
        <w:rPr>
          <w:rFonts w:hint="eastAsia" w:ascii="宋体" w:hAnsi="宋体" w:cs="宋体"/>
          <w:kern w:val="0"/>
          <w:sz w:val="24"/>
          <w:szCs w:val="24"/>
        </w:rPr>
      </w:pPr>
    </w:p>
    <w:p>
      <w:pPr>
        <w:pStyle w:val="14"/>
        <w:rPr>
          <w:rFonts w:hint="eastAsia"/>
        </w:rPr>
      </w:pPr>
      <w:bookmarkStart w:id="10" w:name="_Toc4173635"/>
      <w:r>
        <w:rPr>
          <w:rFonts w:hint="eastAsia"/>
          <w:b/>
          <w:bCs/>
        </w:rPr>
        <w:t>3.1 主要会计数据和财务指标</w:t>
      </w:r>
      <w:bookmarkEnd w:id="10"/>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2741"/>
        <w:gridCol w:w="3152"/>
        <w:gridCol w:w="3152"/>
      </w:tblGrid>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Style w:val="9"/>
                <w:rFonts w:hint="eastAsia" w:hAnsi="Calibri"/>
                <w:color w:val="000000"/>
              </w:rPr>
              <w:t>3.1.1 期间数据和指标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本期2018年02月07日（基金合同生效日）- 2018年12月31日 </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创金合信MSCI中国A股国际指数A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创金合信MSCI中国A股国际指数C</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本期已实现收益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-2,398,782.09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-705,606.51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-15,628,792.24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-3,873,808.29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加权平均基金份额本期利润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本期加权平均净值利润率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Style w:val="9"/>
                <w:rFonts w:hint="eastAsia"/>
              </w:rPr>
              <w:t>3.1.2 期末数据和指标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期末可供分配利润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-13,448,813.18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-3,950,770.04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期末可供分配基金份额利润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期末基金资产净值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50,286,784.20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14,620,624.84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期末基金份额净值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0.7890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0.7873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Style w:val="9"/>
                <w:rFonts w:hint="eastAsia"/>
              </w:rPr>
              <w:t>3.1.3 累计期末指标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基金份额累计净值增长率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-21.27%</w:t>
            </w:r>
          </w:p>
        </w:tc>
      </w:tr>
    </w:tbl>
    <w:p>
      <w:pPr>
        <w:pStyle w:val="20"/>
        <w:rPr>
          <w:rFonts w:hint="eastAsia"/>
        </w:rPr>
      </w:pPr>
      <w:r>
        <w:rPr>
          <w:rFonts w:hint="eastAsia"/>
        </w:rPr>
        <w:t>注：1.上述基金业绩指标不包括持有人认购或交易基金的各项费用,计入费用后实际收益水平要低于所列数字。</w:t>
      </w:r>
      <w:r>
        <w:rPr>
          <w:rFonts w:hint="eastAsia"/>
        </w:rPr>
        <w:br w:type="textWrapping"/>
      </w:r>
      <w:r>
        <w:rPr>
          <w:rFonts w:hint="eastAsia"/>
        </w:rPr>
        <w:t>2.本期已实现收益指基金本期利息收入、投资收益、其他收入(不含公允价值变动收益)扣除相关费用后的余额,本期利润为本期已实现收益加上本期公允价值变动收益。</w:t>
      </w:r>
      <w:r>
        <w:rPr>
          <w:rFonts w:hint="eastAsia"/>
        </w:rPr>
        <w:br w:type="textWrapping"/>
      </w:r>
      <w:r>
        <w:rPr>
          <w:rFonts w:hint="eastAsia"/>
        </w:rPr>
        <w:t>3.期末可供分配利润是采用期末资产负债表中未分配利润与未分配利润中已实现部分的孰低数。</w:t>
      </w:r>
      <w:r>
        <w:rPr>
          <w:rFonts w:hint="eastAsia"/>
        </w:rPr>
        <w:br w:type="textWrapping"/>
      </w:r>
      <w:r>
        <w:rPr>
          <w:rFonts w:hint="eastAsia"/>
        </w:rPr>
        <w:t>4.本基金合同生效日为2018年2月7日,截至报告期末,本基金成立不满一年。合同生效当期的相关数据和指标按实际存续期计算。</w:t>
      </w:r>
    </w:p>
    <w:p>
      <w:pPr>
        <w:widowControl/>
        <w:jc w:val="left"/>
        <w:rPr>
          <w:rFonts w:hint="eastAsia" w:ascii="宋体" w:hAnsi="宋体" w:cs="宋体"/>
          <w:kern w:val="0"/>
          <w:sz w:val="24"/>
          <w:szCs w:val="24"/>
        </w:rPr>
      </w:pPr>
    </w:p>
    <w:p>
      <w:pPr>
        <w:pStyle w:val="14"/>
        <w:rPr>
          <w:rFonts w:hint="eastAsia"/>
        </w:rPr>
      </w:pPr>
      <w:bookmarkStart w:id="11" w:name="_Toc4173636"/>
      <w:r>
        <w:rPr>
          <w:rFonts w:hint="eastAsia"/>
          <w:b/>
          <w:bCs/>
        </w:rPr>
        <w:t>3.2 基金净值表现</w:t>
      </w:r>
      <w:bookmarkEnd w:id="11"/>
    </w:p>
    <w:p>
      <w:pPr>
        <w:pStyle w:val="15"/>
        <w:rPr>
          <w:rFonts w:hint="eastAsia"/>
        </w:rPr>
      </w:pPr>
      <w:r>
        <w:rPr>
          <w:rFonts w:hint="eastAsia"/>
          <w:b/>
          <w:bCs/>
        </w:rPr>
        <w:t>3.2.1 基金份额净值增长率及其与同期业绩比较基准收益率的比较</w:t>
      </w:r>
    </w:p>
    <w:p>
      <w:pPr>
        <w:pStyle w:val="17"/>
        <w:rPr>
          <w:rFonts w:hint="eastAsia"/>
        </w:rPr>
      </w:pPr>
      <w:r>
        <w:rPr>
          <w:rFonts w:hint="eastAsia" w:hAnsi="Calibri"/>
          <w:color w:val="000000"/>
        </w:rPr>
        <w:t>创金合信MSCI中国A股国际指数A</w:t>
      </w:r>
    </w:p>
    <w:tbl>
      <w:tblPr>
        <w:tblStyle w:val="7"/>
        <w:tblW w:w="9120" w:type="dxa"/>
        <w:jc w:val="center"/>
        <w:tblLayout w:type="autofit"/>
        <w:tblCellMar>
          <w:top w:w="0" w:type="dxa"/>
          <w:left w:w="108" w:type="dxa"/>
          <w:bottom w:w="0" w:type="dxa"/>
          <w:right w:w="108" w:type="dxa"/>
        </w:tblCellMar>
      </w:tblPr>
      <w:tblGrid>
        <w:gridCol w:w="1094"/>
        <w:gridCol w:w="1368"/>
        <w:gridCol w:w="1368"/>
        <w:gridCol w:w="1368"/>
        <w:gridCol w:w="1368"/>
        <w:gridCol w:w="1277"/>
        <w:gridCol w:w="1277"/>
      </w:tblGrid>
      <w:tr>
        <w:tblPrEx>
          <w:tblCellMar>
            <w:top w:w="0" w:type="dxa"/>
            <w:left w:w="108" w:type="dxa"/>
            <w:bottom w:w="0" w:type="dxa"/>
            <w:right w:w="108" w:type="dxa"/>
          </w:tblCellMar>
        </w:tblPrEx>
        <w:trPr>
          <w:wBefore w:w="0" w:type="auto"/>
          <w:jc w:val="center"/>
        </w:trPr>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阶段</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份额净值增长率①</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份额净值增长率标准差②</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业绩比较基准收益率③</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-0.15%</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-0.14%</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-0.15%</w:t>
            </w:r>
          </w:p>
        </w:tc>
      </w:tr>
    </w:tbl>
    <w:p>
      <w:pPr>
        <w:pStyle w:val="17"/>
        <w:rPr>
          <w:rFonts w:hint="eastAsia"/>
        </w:rPr>
      </w:pPr>
      <w:r>
        <w:rPr>
          <w:rFonts w:hint="eastAsia" w:hAnsi="Calibri"/>
          <w:color w:val="000000"/>
        </w:rPr>
        <w:t>创金合信MSCI中国A股国际指数C</w:t>
      </w:r>
    </w:p>
    <w:tbl>
      <w:tblPr>
        <w:tblStyle w:val="7"/>
        <w:tblW w:w="9120" w:type="dxa"/>
        <w:jc w:val="center"/>
        <w:tblLayout w:type="autofit"/>
        <w:tblCellMar>
          <w:top w:w="0" w:type="dxa"/>
          <w:left w:w="108" w:type="dxa"/>
          <w:bottom w:w="0" w:type="dxa"/>
          <w:right w:w="108" w:type="dxa"/>
        </w:tblCellMar>
      </w:tblPr>
      <w:tblGrid>
        <w:gridCol w:w="1094"/>
        <w:gridCol w:w="1368"/>
        <w:gridCol w:w="1368"/>
        <w:gridCol w:w="1368"/>
        <w:gridCol w:w="1368"/>
        <w:gridCol w:w="1277"/>
        <w:gridCol w:w="1277"/>
      </w:tblGrid>
      <w:tr>
        <w:tblPrEx>
          <w:tblCellMar>
            <w:top w:w="0" w:type="dxa"/>
            <w:left w:w="108" w:type="dxa"/>
            <w:bottom w:w="0" w:type="dxa"/>
            <w:right w:w="108" w:type="dxa"/>
          </w:tblCellMar>
        </w:tblPrEx>
        <w:trPr>
          <w:wBefore w:w="0" w:type="auto"/>
          <w:jc w:val="center"/>
        </w:trPr>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阶段</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份额净值增长率①</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份额净值增长率标准差②</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业绩比较基准收益率③</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-0.15%</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-0.14%</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-0.15%</w:t>
            </w:r>
          </w:p>
        </w:tc>
      </w:tr>
    </w:tbl>
    <w:p>
      <w:pPr>
        <w:widowControl/>
        <w:jc w:val="left"/>
        <w:rPr>
          <w:rFonts w:hint="eastAsia" w:ascii="宋体" w:hAnsi="宋体" w:cs="宋体"/>
          <w:kern w:val="0"/>
          <w:sz w:val="24"/>
          <w:szCs w:val="24"/>
        </w:rPr>
      </w:pPr>
    </w:p>
    <w:p>
      <w:pPr>
        <w:pStyle w:val="15"/>
        <w:rPr>
          <w:rFonts w:hint="eastAsia"/>
        </w:rPr>
      </w:pPr>
      <w:r>
        <w:rPr>
          <w:rFonts w:hint="eastAsia"/>
          <w:b/>
          <w:bCs/>
        </w:rPr>
        <w:t>3.2.2 自基金合同生效以来基金份额累计净值增长率变动及其与同期业绩比较基准收益率变动的比较</w:t>
      </w:r>
    </w:p>
    <w:p>
      <w:pPr>
        <w:pStyle w:val="17"/>
        <w:rPr>
          <w:rFonts w:hint="eastAsia"/>
        </w:rPr>
      </w:pPr>
      <w:r>
        <w:rPr>
          <w:rFonts w:hAnsi="Calibri"/>
          <w:color w:val="000000"/>
          <w:lang/>
        </w:rPr>
        <w:pict>
          <v:shape id="_x0000_i1025" o:spt="75" alt="D:\fcsc\HSFA\Bin\Bin\MOD\TMP\CN_50990000_005567_FB010010_20190002_2.jpg" type="#_x0000_t75" style="height:286.5pt;width:441pt;" filled="f" stroked="f" coordsize="21600,21600">
            <v:path/>
            <v:fill on="f" focussize="0,0"/>
            <v:stroke on="f"/>
            <v:imagedata r:id="rId7" grayscale="f" bilevel="f" o:title="CN_50990000_005567_FB010010_20190002_2"/>
            <o:lock v:ext="edit" grouping="f" rotation="f" aspectratio="t"/>
            <w10:wrap type="none"/>
            <w10:anchorlock/>
          </v:shape>
        </w:pict>
      </w:r>
    </w:p>
    <w:p>
      <w:pPr>
        <w:widowControl/>
        <w:jc w:val="left"/>
        <w:rPr>
          <w:rFonts w:hint="eastAsia" w:ascii="宋体" w:hAnsi="宋体" w:cs="宋体"/>
          <w:kern w:val="0"/>
          <w:sz w:val="24"/>
          <w:szCs w:val="24"/>
        </w:rPr>
      </w:pPr>
      <w:r>
        <w:rPr>
          <w:rFonts w:hint="eastAsia" w:ascii="宋体" w:hAnsi="宋体" w:cs="宋体"/>
          <w:kern w:val="0"/>
          <w:sz w:val="24"/>
          <w:szCs w:val="24"/>
        </w:rPr>
        <w:t>注：1、本基金的基金合同于2018年2月7日生效,截至报告期末,本基金成立不满一年。</w:t>
      </w:r>
      <w:r>
        <w:rPr>
          <w:rFonts w:hint="eastAsia" w:ascii="宋体" w:hAnsi="宋体" w:cs="宋体"/>
          <w:kern w:val="0"/>
          <w:sz w:val="24"/>
          <w:szCs w:val="24"/>
        </w:rPr>
        <w:br w:type="textWrapping"/>
      </w:r>
      <w:r>
        <w:rPr>
          <w:rFonts w:hint="eastAsia" w:ascii="宋体" w:hAnsi="宋体" w:cs="宋体"/>
          <w:kern w:val="0"/>
          <w:sz w:val="24"/>
          <w:szCs w:val="24"/>
        </w:rPr>
        <w:t>2、本基金的建仓期为6个月,建仓期结束时各项资产配置比例符合合同规定。</w:t>
      </w:r>
    </w:p>
    <w:p>
      <w:pPr>
        <w:pStyle w:val="17"/>
        <w:rPr>
          <w:rFonts w:hint="eastAsia"/>
        </w:rPr>
      </w:pPr>
      <w:r>
        <w:rPr>
          <w:rFonts w:hAnsi="Calibri"/>
          <w:color w:val="000000"/>
          <w:lang/>
        </w:rPr>
        <w:pict>
          <v:shape id="_x0000_i1026" o:spt="75" alt="D:\fcsc\HSFA\Bin\Bin\MOD\TMP\CN_50990000_005567_FB010010_20190002_3.jpg" type="#_x0000_t75" style="height:286.5pt;width:441pt;" filled="f" stroked="f" coordsize="21600,21600">
            <v:path/>
            <v:fill on="f" focussize="0,0"/>
            <v:stroke on="f"/>
            <v:imagedata r:id="rId8" grayscale="f" bilevel="f" o:title="CN_50990000_005567_FB010010_20190002_3"/>
            <o:lock v:ext="edit" grouping="f" rotation="f" aspectratio="t"/>
            <w10:wrap type="none"/>
            <w10:anchorlock/>
          </v:shape>
        </w:pict>
      </w:r>
    </w:p>
    <w:p>
      <w:pPr>
        <w:widowControl/>
        <w:jc w:val="left"/>
        <w:rPr>
          <w:rFonts w:hint="eastAsia" w:ascii="宋体" w:hAnsi="宋体" w:cs="宋体"/>
          <w:kern w:val="0"/>
          <w:sz w:val="24"/>
          <w:szCs w:val="24"/>
        </w:rPr>
      </w:pPr>
    </w:p>
    <w:p>
      <w:pPr>
        <w:pStyle w:val="15"/>
        <w:rPr>
          <w:rFonts w:hint="eastAsia"/>
        </w:rPr>
      </w:pPr>
      <w:r>
        <w:rPr>
          <w:rFonts w:hint="eastAsia"/>
          <w:b/>
          <w:bCs/>
        </w:rPr>
        <w:t>3.2.3 自基金合同生效以来基金每年净值增长率及其与同期业绩比较基准收益率的比较</w:t>
      </w:r>
    </w:p>
    <w:p>
      <w:pPr>
        <w:pStyle w:val="17"/>
        <w:rPr>
          <w:rFonts w:hint="eastAsia"/>
        </w:rPr>
      </w:pPr>
      <w:r>
        <w:rPr>
          <w:rFonts w:hAnsi="Calibri"/>
          <w:color w:val="000000"/>
          <w:lang/>
        </w:rPr>
        <w:pict>
          <v:shape id="_x0000_i1027" o:spt="75" alt="D:\fcsc\HSFA\Bin\Bin\MOD\TMP\CN_50990000_005567_FB010010_20190002_6.jpg" type="#_x0000_t75" style="height:286.5pt;width:441pt;" filled="f" stroked="f" coordsize="21600,21600">
            <v:path/>
            <v:fill on="f" focussize="0,0"/>
            <v:stroke on="f"/>
            <v:imagedata r:id="rId9" grayscale="f" bilevel="f" o:title="CN_50990000_005567_FB010010_20190002_6"/>
            <o:lock v:ext="edit" grouping="f" rotation="f" aspectratio="t"/>
            <w10:wrap type="none"/>
            <w10:anchorlock/>
          </v:shape>
        </w:pict>
      </w:r>
    </w:p>
    <w:p>
      <w:pPr>
        <w:pStyle w:val="17"/>
        <w:rPr>
          <w:rFonts w:hint="eastAsia"/>
        </w:rPr>
      </w:pPr>
      <w:r>
        <w:rPr>
          <w:rFonts w:hAnsi="Calibri"/>
          <w:color w:val="000000"/>
          <w:lang/>
        </w:rPr>
        <w:pict>
          <v:shape id="_x0000_i1028" o:spt="75" alt="D:\fcsc\HSFA\Bin\Bin\MOD\TMP\CN_50990000_005567_FB010010_20190002_7.jpg" type="#_x0000_t75" style="height:286.5pt;width:441pt;" filled="f" stroked="f" coordsize="21600,21600">
            <v:path/>
            <v:fill on="f" focussize="0,0"/>
            <v:stroke on="f"/>
            <v:imagedata r:id="rId10" grayscale="f" bilevel="f" o:title="CN_50990000_005567_FB010010_20190002_7"/>
            <o:lock v:ext="edit" grouping="f" rotation="f" aspectratio="t"/>
            <w10:wrap type="none"/>
            <w10:anchorlock/>
          </v:shape>
        </w:pict>
      </w:r>
    </w:p>
    <w:p>
      <w:pPr>
        <w:widowControl/>
        <w:jc w:val="left"/>
        <w:rPr>
          <w:rFonts w:hint="eastAsia" w:ascii="宋体" w:hAnsi="宋体" w:cs="宋体"/>
          <w:kern w:val="0"/>
          <w:sz w:val="24"/>
          <w:szCs w:val="24"/>
        </w:rPr>
      </w:pPr>
    </w:p>
    <w:p>
      <w:pPr>
        <w:pStyle w:val="14"/>
        <w:rPr>
          <w:rFonts w:hint="eastAsia"/>
        </w:rPr>
      </w:pPr>
      <w:bookmarkStart w:id="12" w:name="_Toc4173637"/>
      <w:r>
        <w:rPr>
          <w:rFonts w:hint="eastAsia" w:hAnsi="Calibri"/>
          <w:b/>
          <w:color w:val="000000"/>
        </w:rPr>
        <w:t>3.3 过去三年基金的利润分配情况</w:t>
      </w:r>
      <w:bookmarkEnd w:id="12"/>
    </w:p>
    <w:p>
      <w:pPr>
        <w:pStyle w:val="20"/>
        <w:rPr>
          <w:rFonts w:hint="eastAsia"/>
        </w:rPr>
      </w:pPr>
      <w:r>
        <w:rPr>
          <w:rFonts w:hint="eastAsia"/>
        </w:rPr>
        <w:t>本基金自基金合同生效日(2018年2月7日)至本报告期末未发生利润分配。</w:t>
      </w:r>
    </w:p>
    <w:p>
      <w:pPr>
        <w:widowControl/>
        <w:jc w:val="left"/>
        <w:rPr>
          <w:rFonts w:hint="eastAsia" w:ascii="宋体" w:hAnsi="宋体" w:cs="宋体"/>
          <w:kern w:val="0"/>
          <w:sz w:val="24"/>
          <w:szCs w:val="24"/>
        </w:rPr>
      </w:pPr>
    </w:p>
    <w:p>
      <w:pPr>
        <w:pStyle w:val="13"/>
        <w:rPr>
          <w:rFonts w:hint="eastAsia"/>
        </w:rPr>
      </w:pPr>
      <w:bookmarkStart w:id="13" w:name="_Toc4173638"/>
      <w:r>
        <w:rPr>
          <w:rFonts w:hint="eastAsia" w:hAnsi="Calibri"/>
          <w:b/>
          <w:color w:val="000000"/>
        </w:rPr>
        <w:t>§4  管理人报告</w:t>
      </w:r>
      <w:bookmarkEnd w:id="13"/>
    </w:p>
    <w:p>
      <w:pPr>
        <w:widowControl/>
        <w:jc w:val="left"/>
        <w:rPr>
          <w:rFonts w:hint="eastAsia" w:ascii="宋体" w:hAnsi="宋体" w:cs="宋体"/>
          <w:kern w:val="0"/>
          <w:sz w:val="24"/>
          <w:szCs w:val="24"/>
        </w:rPr>
      </w:pPr>
    </w:p>
    <w:p>
      <w:pPr>
        <w:pStyle w:val="14"/>
        <w:rPr>
          <w:rFonts w:hint="eastAsia"/>
        </w:rPr>
      </w:pPr>
      <w:bookmarkStart w:id="14" w:name="_Toc4173639"/>
      <w:r>
        <w:rPr>
          <w:rFonts w:hint="eastAsia"/>
          <w:b/>
          <w:bCs/>
        </w:rPr>
        <w:t>4.1 基金管理人及基金经理情况</w:t>
      </w:r>
      <w:bookmarkEnd w:id="14"/>
    </w:p>
    <w:p>
      <w:pPr>
        <w:pStyle w:val="15"/>
        <w:rPr>
          <w:rFonts w:hint="eastAsia"/>
        </w:rPr>
      </w:pPr>
      <w:r>
        <w:rPr>
          <w:rFonts w:hint="eastAsia"/>
          <w:b/>
          <w:bCs/>
        </w:rPr>
        <w:t>4.1.1 基金管理人及其管理基金的经验</w:t>
      </w:r>
    </w:p>
    <w:p>
      <w:pPr>
        <w:pStyle w:val="20"/>
        <w:spacing w:before="0"/>
        <w:ind w:left="0" w:firstLine="480"/>
        <w:rPr>
          <w:rFonts w:hint="eastAsia"/>
        </w:rPr>
      </w:pPr>
      <w:r>
        <w:rPr>
          <w:rFonts w:hint="eastAsia"/>
        </w:rPr>
        <w:t>创金合信基金管理有限公司于2014年7月3日获得中国证监会批复，2014年7月9日正式注册设立，注册地为深圳市。公司由第一创业证券股份有限公司、深圳市金合信投资合伙企业（有限合伙）共同出资设立。公司注册资本1.7亿元人民币，股东出资情况为：第一创业证券股份有限公司出资11,900万元，占公司注册资本的70%；深圳市金合信投资合伙企业（有限合伙）出资5,100万元，占公司注册资本的30%。</w:t>
      </w:r>
    </w:p>
    <w:p>
      <w:pPr>
        <w:pStyle w:val="20"/>
        <w:spacing w:before="0"/>
        <w:ind w:left="0" w:firstLine="480"/>
        <w:rPr>
          <w:rFonts w:hint="eastAsia"/>
        </w:rPr>
      </w:pPr>
      <w:r>
        <w:rPr>
          <w:rFonts w:hint="eastAsia"/>
        </w:rPr>
        <w:t>公司始终坚持"客户利益至上"，致力于为客户实现长期稳定的投资回报，做客户投资理财的亲密伙伴。</w:t>
      </w:r>
    </w:p>
    <w:p>
      <w:pPr>
        <w:pStyle w:val="20"/>
        <w:spacing w:before="0"/>
        <w:ind w:left="0" w:firstLine="480"/>
        <w:rPr>
          <w:rFonts w:hint="eastAsia"/>
        </w:rPr>
      </w:pPr>
      <w:r>
        <w:rPr>
          <w:rFonts w:hint="eastAsia"/>
        </w:rPr>
        <w:t>报告期内，本公司共发行11只公募基金。截至2018年12月31日，本公司共管理39只公募基金，其中混合型产品9只、指数型产品8只、债券型产品12只、股票型产品9只、货币型产品1只；管理的公募基金规模约150.47亿元。</w:t>
      </w:r>
    </w:p>
    <w:p>
      <w:pPr>
        <w:widowControl/>
        <w:jc w:val="left"/>
        <w:rPr>
          <w:rFonts w:hint="eastAsia" w:ascii="宋体" w:hAnsi="宋体" w:cs="宋体"/>
          <w:kern w:val="0"/>
          <w:sz w:val="24"/>
          <w:szCs w:val="24"/>
        </w:rPr>
      </w:pPr>
    </w:p>
    <w:p>
      <w:pPr>
        <w:pStyle w:val="15"/>
        <w:rPr>
          <w:rFonts w:hint="eastAsia"/>
        </w:rPr>
      </w:pPr>
      <w:r>
        <w:rPr>
          <w:rFonts w:hint="eastAsia"/>
          <w:b/>
          <w:bCs/>
        </w:rPr>
        <w:t>4.1.2 基金经理（或基金经理小组）及基金经理助理简介</w:t>
      </w:r>
    </w:p>
    <w:tbl>
      <w:tblPr>
        <w:tblStyle w:val="7"/>
        <w:tblW w:w="0" w:type="auto"/>
        <w:tblInd w:w="108" w:type="dxa"/>
        <w:tblLayout w:type="autofit"/>
        <w:tblCellMar>
          <w:top w:w="0" w:type="dxa"/>
          <w:left w:w="108" w:type="dxa"/>
          <w:bottom w:w="0" w:type="dxa"/>
          <w:right w:w="108" w:type="dxa"/>
        </w:tblCellMar>
      </w:tblPr>
      <w:tblGrid>
        <w:gridCol w:w="920"/>
        <w:gridCol w:w="2943"/>
        <w:gridCol w:w="920"/>
        <w:gridCol w:w="920"/>
        <w:gridCol w:w="552"/>
        <w:gridCol w:w="2943"/>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姓名</w:t>
            </w:r>
          </w:p>
        </w:tc>
        <w:tc>
          <w:tcPr>
            <w:tcW w:w="1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职务</w:t>
            </w:r>
          </w:p>
        </w:tc>
        <w:tc>
          <w:tcPr>
            <w:tcW w:w="1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任本基金的基金经理（助理）期限</w:t>
            </w:r>
          </w:p>
        </w:tc>
        <w:tc>
          <w:tcPr>
            <w:tcW w:w="3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证券从业年限</w:t>
            </w:r>
          </w:p>
        </w:tc>
        <w:tc>
          <w:tcPr>
            <w:tcW w:w="1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说明</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任职日期</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离任日期</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陈龙</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本基金基金经理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2018-02-07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陈龙先生，中国国籍，复旦大学经济学硕士和美国加州大学洛杉矶分校（UCLA）金融工程硕士。2006年7月就职于中证指数有限公司，任研发部高级研究员。2013年2月加入中国金融期货交易所，任股指事业部高级经理，2016年3月加入创金合信基金管理有限公司，现任指数策略投资研究部副总监、基金经理。</w:t>
            </w:r>
          </w:p>
        </w:tc>
      </w:tr>
    </w:tbl>
    <w:p>
      <w:pPr>
        <w:pStyle w:val="20"/>
        <w:rPr>
          <w:rFonts w:hint="eastAsia"/>
        </w:rPr>
      </w:pPr>
      <w:r>
        <w:rPr>
          <w:rFonts w:hint="eastAsia"/>
        </w:rPr>
        <w:t>注：1、本基金首任基金经理的任职日期为本基金合同生效日，离任日期、后任基金经理的任职日期指公司作出决定的日期；</w:t>
      </w:r>
      <w:r>
        <w:rPr>
          <w:rFonts w:hint="eastAsia"/>
        </w:rPr>
        <w:br w:type="textWrapping"/>
      </w:r>
      <w:r>
        <w:rPr>
          <w:rFonts w:hint="eastAsia"/>
        </w:rPr>
        <w:t>2、证券从业年限的含义遵从行业协会《证券业从业人员资格管理办法》的相关规定。</w:t>
      </w:r>
    </w:p>
    <w:p>
      <w:pPr>
        <w:widowControl/>
        <w:jc w:val="left"/>
        <w:rPr>
          <w:rFonts w:hint="eastAsia" w:ascii="宋体" w:hAnsi="宋体" w:cs="宋体"/>
          <w:kern w:val="0"/>
          <w:sz w:val="24"/>
          <w:szCs w:val="24"/>
        </w:rPr>
      </w:pPr>
    </w:p>
    <w:p>
      <w:pPr>
        <w:pStyle w:val="14"/>
        <w:rPr>
          <w:rFonts w:hint="eastAsia"/>
        </w:rPr>
      </w:pPr>
      <w:bookmarkStart w:id="15" w:name="_Toc4173640"/>
      <w:r>
        <w:rPr>
          <w:rFonts w:hint="eastAsia" w:hAnsi="Calibri"/>
          <w:b/>
          <w:color w:val="000000"/>
        </w:rPr>
        <w:t>4.2 管理人对报告期内本基金运作遵规守信情况的说明</w:t>
      </w:r>
      <w:bookmarkEnd w:id="15"/>
    </w:p>
    <w:p>
      <w:pPr>
        <w:pStyle w:val="20"/>
        <w:spacing w:before="0"/>
        <w:ind w:left="0" w:firstLine="480"/>
        <w:rPr>
          <w:rFonts w:hint="eastAsia"/>
        </w:rPr>
      </w:pPr>
      <w:r>
        <w:rPr>
          <w:rFonts w:hint="eastAsia" w:hAnsi="Calibri"/>
          <w:color w:val="000000"/>
        </w:rPr>
        <w:t>本报告期内，本基金管理人严格遵守《中华人民共和国证券投资基金法》《公开募集证券投资基金运作管理办法》《证券投资基金销售管理办法》和《证券投资基金信息披露管理办法》等有关法律法规及各项实施准则、本基金基金合同和其他有关法律法规的规定，本着诚实信用、勤勉尽责的原则管理和运用基金资产，在严格控制风险的基础上，为基金持有人谋求最大利益。本报告期内，基金运作整体合法合规，未发现损害基金持有人利益的行为。本基金的投资范围、投资比例及投资组合符合有关法律法规及基金合同的规定。</w:t>
      </w:r>
    </w:p>
    <w:p>
      <w:pPr>
        <w:widowControl/>
        <w:jc w:val="left"/>
        <w:rPr>
          <w:rFonts w:hint="eastAsia" w:ascii="宋体" w:hAnsi="宋体" w:cs="宋体"/>
          <w:kern w:val="0"/>
          <w:sz w:val="24"/>
          <w:szCs w:val="24"/>
        </w:rPr>
      </w:pPr>
    </w:p>
    <w:p>
      <w:pPr>
        <w:pStyle w:val="14"/>
        <w:rPr>
          <w:rFonts w:hint="eastAsia"/>
        </w:rPr>
      </w:pPr>
      <w:bookmarkStart w:id="16" w:name="_Toc4173641"/>
      <w:r>
        <w:rPr>
          <w:rFonts w:hint="eastAsia" w:hAnsi="Calibri"/>
          <w:b/>
          <w:color w:val="000000"/>
        </w:rPr>
        <w:t>4.3 管理人对报告期内公平交易情况的专项说明</w:t>
      </w:r>
      <w:bookmarkEnd w:id="16"/>
    </w:p>
    <w:p>
      <w:pPr>
        <w:pStyle w:val="15"/>
        <w:rPr>
          <w:rFonts w:hint="eastAsia"/>
        </w:rPr>
      </w:pPr>
      <w:r>
        <w:rPr>
          <w:rFonts w:hint="eastAsia" w:hAnsi="Calibri"/>
          <w:b/>
          <w:color w:val="000000"/>
        </w:rPr>
        <w:t>4.3.1 公平交易制度和控制方法</w:t>
      </w:r>
    </w:p>
    <w:p>
      <w:pPr>
        <w:pStyle w:val="20"/>
        <w:spacing w:before="0"/>
        <w:ind w:left="0" w:firstLine="480"/>
        <w:rPr>
          <w:rFonts w:hint="eastAsia" w:hAnsi="Calibri"/>
          <w:color w:val="000000"/>
        </w:rPr>
      </w:pPr>
      <w:r>
        <w:rPr>
          <w:rFonts w:hint="eastAsia" w:hAnsi="Calibri"/>
          <w:color w:val="000000"/>
        </w:rPr>
        <w:t>为了进一步规范和完善本基金管理人（以下简称"本公司"）投资和交易管理，严格遵守法律法规关于公平交易的相关规定，根据《中华人民共和国证券投资基金法》、《证券投资基金管理公司管理办法》、《证券投资基金管理公司公平交易制度指导意见（2011年修订）》等法律法规，本公司制定了《创金合信基金管理有限公司公平交易制度》，该《制度》涵盖了境内上市股票、债券的一级市场申购、二级市场交易等投资管理活动，同时对授权、研究分析与投资决策、交易执行的内部控制、交易指令的分配执行、公平交易监控、报告措施及信息披露、利益冲突的防范和异常交易的监控等方面进行了全面规范。具体控制措施如下：</w:t>
      </w:r>
    </w:p>
    <w:p>
      <w:pPr>
        <w:pStyle w:val="20"/>
        <w:spacing w:before="0"/>
        <w:ind w:left="0" w:firstLine="480"/>
        <w:rPr>
          <w:rFonts w:hint="eastAsia" w:hAnsi="Calibri"/>
          <w:color w:val="000000"/>
        </w:rPr>
      </w:pPr>
      <w:r>
        <w:rPr>
          <w:rFonts w:hint="eastAsia" w:hAnsi="Calibri"/>
          <w:color w:val="000000"/>
        </w:rPr>
        <w:t>1、授权、研究分析与投资决策的内部控制</w:t>
      </w:r>
    </w:p>
    <w:p>
      <w:pPr>
        <w:pStyle w:val="20"/>
        <w:spacing w:before="0"/>
        <w:ind w:left="0" w:firstLine="480"/>
        <w:rPr>
          <w:rFonts w:hint="eastAsia" w:hAnsi="Calibri"/>
          <w:color w:val="000000"/>
        </w:rPr>
      </w:pPr>
      <w:r>
        <w:rPr>
          <w:rFonts w:hint="eastAsia" w:hAnsi="Calibri"/>
          <w:color w:val="000000"/>
        </w:rPr>
        <w:t>建立投资授权制度，明确各投资决策主体的职责和权限划分；建立客观的研究方法，任何投资分析和建议均应有充分的事实和数据支持，避免主观臆断，严禁利用内幕信息作为投资依据；确保所有投资组合平等地享有研究成果；根据不同投资组合的投资目标、投资风格、投资范围和投资限制等，建立不同投资组合的投资风格库和交易对手备选库，投资组合经理在此基础上根据投资授权构建具体的投资组合并独立进行投资决策。</w:t>
      </w:r>
    </w:p>
    <w:p>
      <w:pPr>
        <w:pStyle w:val="20"/>
        <w:spacing w:before="0"/>
        <w:ind w:left="0" w:firstLine="480"/>
        <w:rPr>
          <w:rFonts w:hint="eastAsia" w:hAnsi="Calibri"/>
          <w:color w:val="000000"/>
        </w:rPr>
      </w:pPr>
      <w:r>
        <w:rPr>
          <w:rFonts w:hint="eastAsia" w:hAnsi="Calibri"/>
          <w:color w:val="000000"/>
        </w:rPr>
        <w:t>2、交易执行的内部控制</w:t>
      </w:r>
    </w:p>
    <w:p>
      <w:pPr>
        <w:pStyle w:val="20"/>
        <w:spacing w:before="0"/>
        <w:ind w:left="0" w:firstLine="480"/>
        <w:rPr>
          <w:rFonts w:hint="eastAsia" w:hAnsi="Calibri"/>
          <w:color w:val="000000"/>
        </w:rPr>
      </w:pPr>
      <w:r>
        <w:rPr>
          <w:rFonts w:hint="eastAsia" w:hAnsi="Calibri"/>
          <w:color w:val="000000"/>
        </w:rPr>
        <w:t>本公司实行集中交易制度，将投资管理职能和交易执行职能相隔离；建立公平的交易分配机制，确保各投资组合享有公平的交易执行机会。同时严格控制不同投资组合之间的同日反向交易，严格禁止可能导致不公平交易和利益输送的同日反向交易。</w:t>
      </w:r>
    </w:p>
    <w:p>
      <w:pPr>
        <w:pStyle w:val="20"/>
        <w:spacing w:before="0"/>
        <w:ind w:left="0" w:firstLine="480"/>
        <w:rPr>
          <w:rFonts w:hint="eastAsia" w:hAnsi="Calibri"/>
          <w:color w:val="000000"/>
        </w:rPr>
      </w:pPr>
      <w:r>
        <w:rPr>
          <w:rFonts w:hint="eastAsia" w:hAnsi="Calibri"/>
          <w:color w:val="000000"/>
        </w:rPr>
        <w:t>3、交易指令分配的控制</w:t>
      </w:r>
    </w:p>
    <w:p>
      <w:pPr>
        <w:pStyle w:val="20"/>
        <w:spacing w:before="0"/>
        <w:ind w:left="0" w:firstLine="480"/>
        <w:rPr>
          <w:rFonts w:hint="eastAsia" w:hAnsi="Calibri"/>
          <w:color w:val="000000"/>
        </w:rPr>
      </w:pPr>
      <w:r>
        <w:rPr>
          <w:rFonts w:hint="eastAsia" w:hAnsi="Calibri"/>
          <w:color w:val="000000"/>
        </w:rPr>
        <w:t>所有投资对象的投资指令必须经由交易室总监或其授权人审核后分配至交易员执行。</w:t>
      </w:r>
    </w:p>
    <w:p>
      <w:pPr>
        <w:pStyle w:val="20"/>
        <w:spacing w:before="0"/>
        <w:ind w:left="0" w:firstLine="480"/>
        <w:rPr>
          <w:rFonts w:hint="eastAsia" w:hAnsi="Calibri"/>
          <w:color w:val="000000"/>
        </w:rPr>
      </w:pPr>
      <w:r>
        <w:rPr>
          <w:rFonts w:hint="eastAsia" w:hAnsi="Calibri"/>
          <w:color w:val="000000"/>
        </w:rPr>
        <w:t>交易员对于接收到的交易指令依照时间优先、价格优先的顺序执行。在执行多个投资组合在同一时点就同一证券下达的相同方向的投资指令时，需根据价格优先、比例分配的原则，经过公平性审核，公平对待多个不同投资组合的投资指令。</w:t>
      </w:r>
    </w:p>
    <w:p>
      <w:pPr>
        <w:pStyle w:val="20"/>
        <w:spacing w:before="0"/>
        <w:ind w:left="0" w:firstLine="480"/>
        <w:rPr>
          <w:rFonts w:hint="eastAsia" w:hAnsi="Calibri"/>
          <w:color w:val="000000"/>
        </w:rPr>
      </w:pPr>
      <w:r>
        <w:rPr>
          <w:rFonts w:hint="eastAsia" w:hAnsi="Calibri"/>
          <w:color w:val="000000"/>
        </w:rPr>
        <w:t>4、公平交易监控</w:t>
      </w:r>
    </w:p>
    <w:p>
      <w:pPr>
        <w:pStyle w:val="20"/>
        <w:spacing w:before="0"/>
        <w:ind w:left="0" w:firstLine="480"/>
        <w:rPr>
          <w:rFonts w:hint="eastAsia"/>
        </w:rPr>
      </w:pPr>
      <w:r>
        <w:rPr>
          <w:rFonts w:hint="eastAsia" w:hAnsi="Calibri"/>
          <w:color w:val="000000"/>
        </w:rPr>
        <w:t>本公司建立异常交易行为日常监控和分析评估制度。交易室负责异常交易的日常实时监控，监察稽核部于每季度和每年度对公司管理的不同投资组合的整体收益率差异、分投资类别（股票、债券）的收益率差异进行分析，对连续四个季度期间内、不同时间窗内（如1日内、3日、5日内）公司管理的不同投资组合的同向交易的交易价差进行分析，对不同投资组合临近交易日的反向交易的交易价差进行分析。相关投资组合经理应对异常交易情况进行合理性解释，由投资组合经理、督察长、总经理签署后，妥善保存分析报告备查。</w:t>
      </w:r>
    </w:p>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4.3.2 公平交易制度的执行情况</w:t>
      </w:r>
    </w:p>
    <w:p>
      <w:pPr>
        <w:pStyle w:val="20"/>
        <w:spacing w:before="0"/>
        <w:ind w:left="0" w:firstLine="480"/>
        <w:rPr>
          <w:rFonts w:hint="eastAsia"/>
        </w:rPr>
      </w:pPr>
      <w:r>
        <w:rPr>
          <w:rFonts w:hint="eastAsia" w:hAnsi="Calibri"/>
          <w:color w:val="000000"/>
        </w:rPr>
        <w:t>本基金管理人严格执行《证券投资基金管理公司公平交易制度指导意见（2011年修订）》，通过建立有纪律、规范化的投资研究和决策流程、交易流程、强化事后监控及分析手段等各种方式在各业务环节严格控制交易公平执行，公平对待旗下管理的所有投资组合，切实防范利益输送。本报告期，公平交易制度总体执行情况良好。</w:t>
      </w:r>
    </w:p>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4.3.3 异常交易行为的专项说明</w:t>
      </w:r>
    </w:p>
    <w:p>
      <w:pPr>
        <w:pStyle w:val="20"/>
        <w:spacing w:before="0"/>
        <w:ind w:left="0" w:firstLine="480"/>
        <w:rPr>
          <w:rFonts w:hint="eastAsia"/>
        </w:rPr>
      </w:pPr>
      <w:r>
        <w:rPr>
          <w:rFonts w:hint="eastAsia" w:hAnsi="Calibri"/>
          <w:color w:val="000000"/>
        </w:rPr>
        <w:t>本报告期内，未发现本基金有可能导致不公平交易和利益输送的异常交易。</w:t>
      </w:r>
    </w:p>
    <w:p>
      <w:pPr>
        <w:widowControl/>
        <w:jc w:val="left"/>
        <w:rPr>
          <w:rFonts w:hint="eastAsia" w:ascii="宋体" w:hAnsi="宋体" w:cs="宋体"/>
          <w:kern w:val="0"/>
          <w:sz w:val="24"/>
          <w:szCs w:val="24"/>
        </w:rPr>
      </w:pPr>
    </w:p>
    <w:p>
      <w:pPr>
        <w:pStyle w:val="14"/>
        <w:rPr>
          <w:rFonts w:hint="eastAsia"/>
        </w:rPr>
      </w:pPr>
      <w:bookmarkStart w:id="17" w:name="_Toc4173642"/>
      <w:r>
        <w:rPr>
          <w:rFonts w:hint="eastAsia" w:hAnsi="Calibri"/>
          <w:b/>
          <w:color w:val="000000"/>
        </w:rPr>
        <w:t>4.4 管理人对报告期内基金的投资策略和业绩表现的说明</w:t>
      </w:r>
      <w:bookmarkEnd w:id="17"/>
    </w:p>
    <w:p>
      <w:pPr>
        <w:pStyle w:val="15"/>
        <w:rPr>
          <w:rFonts w:hint="eastAsia"/>
        </w:rPr>
      </w:pPr>
      <w:r>
        <w:rPr>
          <w:rFonts w:hint="eastAsia" w:hAnsi="Calibri"/>
          <w:b/>
          <w:color w:val="000000"/>
        </w:rPr>
        <w:t>4.4.1 报告期内基金投资策略和运作分析</w:t>
      </w:r>
    </w:p>
    <w:p>
      <w:pPr>
        <w:pStyle w:val="20"/>
        <w:spacing w:before="0"/>
        <w:ind w:left="0" w:firstLine="480"/>
        <w:rPr>
          <w:rFonts w:hint="eastAsia"/>
        </w:rPr>
      </w:pPr>
      <w:r>
        <w:rPr>
          <w:rFonts w:hint="eastAsia" w:hAnsi="Calibri"/>
          <w:color w:val="000000"/>
        </w:rPr>
        <w:t>本基金跟踪的标的指数为MSCI中国A股国际指数，业绩基准为MSCI中国A股国际指数收益率×95%+银行人民币活期存款利率（税后）×5%。MSCI中国A股国际指数是MSCI专为境外投资者投资A股而编制的基准和投资标的，考虑了境外投资者投资A股的相关限制（外资投资比例）和流动性因素（换手率等指标），入选的样本股主要为大中盘股票，其总市值和自由流通市值占A股整体比例均约为55%左右。MSCI首次纳入A股的成分股即为该指数中的大盘股群体。本基金的投资策略，正常情况下主要采用完全复制法进行投资，力争将年化跟踪误差控制在2%以内，日跟踪偏离度绝对值的平均值控制在0.20%以内；为了更好地实现投资目标，当出现特殊情形导致本基金无法有效复制和跟踪标的指数时，本基金将采用包括替代、抽样等技术手段在内的优化复制法来构造股票投资组合。</w:t>
      </w:r>
    </w:p>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4.4.2 报告期内基金的业绩表现</w:t>
      </w:r>
    </w:p>
    <w:p>
      <w:pPr>
        <w:pStyle w:val="20"/>
        <w:spacing w:before="0"/>
        <w:ind w:left="0" w:firstLine="480"/>
        <w:rPr>
          <w:rFonts w:hint="eastAsia"/>
        </w:rPr>
      </w:pPr>
      <w:r>
        <w:rPr>
          <w:rFonts w:hint="eastAsia" w:hAnsi="Calibri"/>
          <w:color w:val="000000"/>
        </w:rPr>
        <w:t>截至报告期末创金合信MSCI中国A股国际指数A基金份额净值为0.7890元，本报告期内，该类基金份额净值增长率为-21.10%，同期业绩比较基准收益率为-33.28%；截至报告期末创金合信MSCI中国A股国际指数C基金份额净值为0.7873元，本报告期内，该类基金份额净值增长率为-21.27%，同期业绩比较基准收益率为-33.28%。</w:t>
      </w:r>
    </w:p>
    <w:p>
      <w:pPr>
        <w:widowControl/>
        <w:jc w:val="left"/>
        <w:rPr>
          <w:rFonts w:hint="eastAsia" w:ascii="宋体" w:hAnsi="宋体" w:cs="宋体"/>
          <w:kern w:val="0"/>
          <w:sz w:val="24"/>
          <w:szCs w:val="24"/>
        </w:rPr>
      </w:pPr>
    </w:p>
    <w:p>
      <w:pPr>
        <w:pStyle w:val="14"/>
        <w:rPr>
          <w:rFonts w:hint="eastAsia"/>
        </w:rPr>
      </w:pPr>
      <w:bookmarkStart w:id="18" w:name="_Toc4173643"/>
      <w:r>
        <w:rPr>
          <w:rFonts w:hint="eastAsia" w:hAnsi="Calibri"/>
          <w:b/>
          <w:color w:val="000000"/>
        </w:rPr>
        <w:t>4.5 管理人对宏观经济、证券市场及行业走势的简要展望</w:t>
      </w:r>
      <w:bookmarkEnd w:id="18"/>
    </w:p>
    <w:p>
      <w:pPr>
        <w:pStyle w:val="20"/>
        <w:spacing w:before="0"/>
        <w:ind w:left="0" w:firstLine="480"/>
        <w:rPr>
          <w:rFonts w:hint="eastAsia"/>
        </w:rPr>
      </w:pPr>
      <w:r>
        <w:rPr>
          <w:rFonts w:hint="eastAsia" w:hAnsi="Calibri"/>
          <w:color w:val="000000"/>
        </w:rPr>
        <w:t>2018年在内外部压力下，中国GDP增速降为6.6%，虽为近年最低，但符合市场普遍预期；近期中美贸易谈判显露出积极态势，加上政府出台的稳增长的各类措施，经济前景的积极面正在增加；证券市场中科创板加速推进，有望带动部分基础性制度的革新，利好资本市场长远发展；当前A股整体估值处于历史低位水平，所谓否极泰来，逆境中增加A股配置的时机悄然来临。此外，MSCI计划2019年进一步提升A股在其国际指数体系中的权重，有助于引入更多境外资金进入A股市场。</w:t>
      </w:r>
    </w:p>
    <w:p>
      <w:pPr>
        <w:widowControl/>
        <w:jc w:val="left"/>
        <w:rPr>
          <w:rFonts w:hint="eastAsia" w:ascii="宋体" w:hAnsi="宋体" w:cs="宋体"/>
          <w:kern w:val="0"/>
          <w:sz w:val="24"/>
          <w:szCs w:val="24"/>
        </w:rPr>
      </w:pPr>
    </w:p>
    <w:p>
      <w:pPr>
        <w:pStyle w:val="14"/>
        <w:rPr>
          <w:rFonts w:hint="eastAsia"/>
        </w:rPr>
      </w:pPr>
      <w:bookmarkStart w:id="19" w:name="_Toc4173644"/>
      <w:r>
        <w:rPr>
          <w:rFonts w:hint="eastAsia" w:hAnsi="Calibri"/>
          <w:b/>
          <w:color w:val="000000"/>
        </w:rPr>
        <w:t>4.6 管理人内部有关本基金的监察稽核工作情况</w:t>
      </w:r>
      <w:bookmarkEnd w:id="19"/>
    </w:p>
    <w:p>
      <w:pPr>
        <w:pStyle w:val="20"/>
        <w:spacing w:before="0"/>
        <w:ind w:left="0" w:firstLine="480"/>
        <w:rPr>
          <w:rFonts w:hint="eastAsia"/>
        </w:rPr>
      </w:pPr>
      <w:r>
        <w:rPr>
          <w:rFonts w:hint="eastAsia"/>
        </w:rPr>
        <w:t>本报告期内，本基金管理人严格遵守相关法律法规，坚持一切从规范运作、防范风险、保护基金持有人利益出发，依照公司内部控制的整体要求，继续致力于内控机制的完善，加强内部风险的控制与防范，确保各项法规和管理制度的落实，保证基金合同得到严格履行。</w:t>
      </w:r>
    </w:p>
    <w:p>
      <w:pPr>
        <w:pStyle w:val="20"/>
        <w:spacing w:before="0"/>
        <w:ind w:left="0" w:firstLine="480"/>
        <w:rPr>
          <w:rFonts w:hint="eastAsia"/>
        </w:rPr>
      </w:pPr>
      <w:r>
        <w:rPr>
          <w:rFonts w:hint="eastAsia"/>
        </w:rPr>
        <w:t>本报告期内，本基金管理人的主要内部监察稽核工作如下：</w:t>
      </w:r>
    </w:p>
    <w:p>
      <w:pPr>
        <w:pStyle w:val="20"/>
        <w:spacing w:before="0"/>
        <w:ind w:left="0" w:firstLine="480"/>
        <w:rPr>
          <w:rFonts w:hint="eastAsia"/>
        </w:rPr>
      </w:pPr>
      <w:r>
        <w:rPr>
          <w:rFonts w:hint="eastAsia"/>
        </w:rPr>
        <w:t>（1）开展全面自查工作，排查各项业务活动中存在的问题或潜在的风险隐患，制定整改计划，并督促按计划完成整改；</w:t>
      </w:r>
    </w:p>
    <w:p>
      <w:pPr>
        <w:pStyle w:val="20"/>
        <w:spacing w:before="0"/>
        <w:ind w:left="0" w:firstLine="480"/>
        <w:rPr>
          <w:rFonts w:hint="eastAsia"/>
        </w:rPr>
      </w:pPr>
      <w:r>
        <w:rPr>
          <w:rFonts w:hint="eastAsia"/>
        </w:rPr>
        <w:t>（2）开展公司专项稽核工作，了解合规风险现状、发现薄弱环节，并持续督导改进；</w:t>
      </w:r>
    </w:p>
    <w:p>
      <w:pPr>
        <w:pStyle w:val="20"/>
        <w:spacing w:before="0"/>
        <w:ind w:left="0" w:firstLine="480"/>
        <w:rPr>
          <w:rFonts w:hint="eastAsia"/>
        </w:rPr>
      </w:pPr>
      <w:r>
        <w:rPr>
          <w:rFonts w:hint="eastAsia"/>
        </w:rPr>
        <w:t>（3）强化合规法务工作。严格审核公司业务、产品及其合同等法律文件，解读最新的法律法规，发布合规提示或警示，举办合规培训；</w:t>
      </w:r>
    </w:p>
    <w:p>
      <w:pPr>
        <w:pStyle w:val="20"/>
        <w:spacing w:before="0"/>
        <w:ind w:left="0" w:firstLine="480"/>
        <w:rPr>
          <w:rFonts w:hint="eastAsia"/>
        </w:rPr>
      </w:pPr>
      <w:r>
        <w:rPr>
          <w:rFonts w:hint="eastAsia"/>
        </w:rPr>
        <w:t>（4）建立健全全面风险管理体系。全面梳理各业务部门的职责与权限，理顺工作流程；同时加强权限管理，健全事前、事中和事后的风险管理体系；</w:t>
      </w:r>
    </w:p>
    <w:p>
      <w:pPr>
        <w:pStyle w:val="20"/>
        <w:spacing w:before="0"/>
        <w:ind w:left="0" w:firstLine="480"/>
        <w:rPr>
          <w:rFonts w:hint="eastAsia"/>
        </w:rPr>
      </w:pPr>
      <w:r>
        <w:rPr>
          <w:rFonts w:hint="eastAsia"/>
        </w:rPr>
        <w:t>（5）完善信息披露工作。修订完善《信息披露制度》等制度，建立统一规范信息披露流程，明确各部门信息披露的职责分工，及时履行信息披露工作；</w:t>
      </w:r>
    </w:p>
    <w:p>
      <w:pPr>
        <w:pStyle w:val="20"/>
        <w:spacing w:before="0"/>
        <w:ind w:left="0" w:firstLine="480"/>
        <w:rPr>
          <w:rFonts w:hint="eastAsia"/>
        </w:rPr>
      </w:pPr>
      <w:r>
        <w:rPr>
          <w:rFonts w:hint="eastAsia"/>
        </w:rPr>
        <w:t>（6）加强关联交易管理。修订《关联交易管理制度》，履行关联交易决策审批程序；</w:t>
      </w:r>
    </w:p>
    <w:p>
      <w:pPr>
        <w:pStyle w:val="20"/>
        <w:spacing w:before="0"/>
        <w:ind w:left="0" w:firstLine="480"/>
        <w:rPr>
          <w:rFonts w:hint="eastAsia"/>
        </w:rPr>
      </w:pPr>
      <w:r>
        <w:rPr>
          <w:rFonts w:hint="eastAsia"/>
        </w:rPr>
        <w:t>（7）建立内幕交易防控机制。公司建立了《内幕交易防控管理办法》，定期开展关于防止内幕交易的合规培训，严防内幕信息传递和内幕交易发生；</w:t>
      </w:r>
    </w:p>
    <w:p>
      <w:pPr>
        <w:pStyle w:val="20"/>
        <w:spacing w:before="0"/>
        <w:ind w:left="0" w:firstLine="480"/>
        <w:rPr>
          <w:rFonts w:hint="eastAsia"/>
        </w:rPr>
      </w:pPr>
      <w:r>
        <w:rPr>
          <w:rFonts w:hint="eastAsia"/>
        </w:rPr>
        <w:t>（8）建立健全公平交易与异常交易管理机制。严格按照法律法规以及公司《公平交易制度》、《异常交易监控与管理制度》的要求，对所管理的不同投资组合之间发生的同向交易和反向交易进行监控，严格禁止同一投资组合在同一交易日内进行反向交易及其他可能导致不公平交易和利益输送的交易行为；</w:t>
      </w:r>
    </w:p>
    <w:p>
      <w:pPr>
        <w:pStyle w:val="20"/>
        <w:spacing w:before="0"/>
        <w:ind w:left="0" w:firstLine="480"/>
        <w:rPr>
          <w:rFonts w:hint="eastAsia"/>
        </w:rPr>
      </w:pPr>
      <w:r>
        <w:rPr>
          <w:rFonts w:hint="eastAsia"/>
        </w:rPr>
        <w:t>（9）建立员工投资行为管理机制，规范员工的证券投资行为。</w:t>
      </w:r>
    </w:p>
    <w:p>
      <w:pPr>
        <w:pStyle w:val="20"/>
        <w:spacing w:before="0"/>
        <w:ind w:left="0" w:firstLine="480"/>
        <w:rPr>
          <w:rFonts w:hint="eastAsia"/>
        </w:rPr>
      </w:pPr>
      <w:r>
        <w:rPr>
          <w:rFonts w:hint="eastAsia"/>
        </w:rPr>
        <w:t>本基金管理人将坚持诚实信用、勤勉尽责的原则管理和运用基金资产，积极健全内部管理制度，不断提高内部监察稽核工作的科学性和有效性，努力防范各种风险，切实保护基金资产的安全与利益。</w:t>
      </w:r>
    </w:p>
    <w:p>
      <w:pPr>
        <w:widowControl/>
        <w:jc w:val="left"/>
        <w:rPr>
          <w:rFonts w:hint="eastAsia" w:ascii="宋体" w:hAnsi="宋体" w:cs="宋体"/>
          <w:kern w:val="0"/>
          <w:sz w:val="24"/>
          <w:szCs w:val="24"/>
        </w:rPr>
      </w:pPr>
    </w:p>
    <w:p>
      <w:pPr>
        <w:pStyle w:val="14"/>
        <w:rPr>
          <w:rFonts w:hint="eastAsia"/>
        </w:rPr>
      </w:pPr>
      <w:bookmarkStart w:id="20" w:name="_Toc4173645"/>
      <w:r>
        <w:rPr>
          <w:rFonts w:hint="eastAsia" w:hAnsi="Calibri"/>
          <w:b/>
          <w:color w:val="000000"/>
        </w:rPr>
        <w:t>4.7 管理人对报告期内基金估值程序等事项的说明</w:t>
      </w:r>
      <w:bookmarkEnd w:id="20"/>
    </w:p>
    <w:p>
      <w:pPr>
        <w:pStyle w:val="20"/>
        <w:spacing w:before="0"/>
        <w:ind w:left="0" w:firstLine="480"/>
        <w:rPr>
          <w:rFonts w:hint="eastAsia"/>
        </w:rPr>
      </w:pPr>
      <w:r>
        <w:rPr>
          <w:rFonts w:hint="eastAsia"/>
        </w:rPr>
        <w:t>本基金管理人严格按照企业会计准则、《中国证监会关于证券投资基金估值业务的指导意见》等中国证监会相关规定和基金合同关于估值的约定,对基金所持有的投资品种进行估值。本基金托管人根据法律法规要求履行估值及净值计算的复核责任。</w:t>
      </w:r>
    </w:p>
    <w:p>
      <w:pPr>
        <w:pStyle w:val="20"/>
        <w:spacing w:before="0"/>
        <w:ind w:left="0" w:firstLine="480"/>
        <w:rPr>
          <w:rFonts w:hint="eastAsia"/>
        </w:rPr>
      </w:pPr>
      <w:r>
        <w:rPr>
          <w:rFonts w:hint="eastAsia"/>
        </w:rPr>
        <w:t>本基金管理人已与中央国债登记结算有限责任公司及中证指数有限公司签署服务协议,由中央国债登记结算有限责任公司按约定提供银行间同业市场的估值数据,由中证指数有限公司按约定提供交易所交易的债券品种的估值数据和流通受限股票的折扣率数据。</w:t>
      </w:r>
    </w:p>
    <w:p>
      <w:pPr>
        <w:widowControl/>
        <w:jc w:val="left"/>
        <w:rPr>
          <w:rFonts w:hint="eastAsia" w:ascii="宋体" w:hAnsi="宋体" w:cs="宋体"/>
          <w:kern w:val="0"/>
          <w:sz w:val="24"/>
          <w:szCs w:val="24"/>
        </w:rPr>
      </w:pPr>
    </w:p>
    <w:p>
      <w:pPr>
        <w:pStyle w:val="14"/>
        <w:rPr>
          <w:rFonts w:hint="eastAsia"/>
        </w:rPr>
      </w:pPr>
      <w:bookmarkStart w:id="21" w:name="_Toc4173646"/>
      <w:r>
        <w:rPr>
          <w:rFonts w:hint="eastAsia"/>
          <w:b/>
          <w:bCs/>
        </w:rPr>
        <w:t>4.8 管理人对报告期内基金利润分配情况的说明</w:t>
      </w:r>
      <w:bookmarkEnd w:id="21"/>
    </w:p>
    <w:p>
      <w:pPr>
        <w:pStyle w:val="20"/>
        <w:spacing w:before="0"/>
        <w:ind w:left="0" w:firstLine="480"/>
        <w:rPr>
          <w:rFonts w:hint="eastAsia"/>
        </w:rPr>
      </w:pPr>
      <w:r>
        <w:rPr>
          <w:rFonts w:hint="eastAsia"/>
        </w:rPr>
        <w:t>本报告期内，本基金未进行利润分配，符合合同约定。</w:t>
      </w:r>
    </w:p>
    <w:p>
      <w:pPr>
        <w:widowControl/>
        <w:jc w:val="left"/>
        <w:rPr>
          <w:rFonts w:hint="eastAsia" w:ascii="宋体" w:hAnsi="宋体" w:cs="宋体"/>
          <w:kern w:val="0"/>
          <w:sz w:val="24"/>
          <w:szCs w:val="24"/>
        </w:rPr>
      </w:pPr>
    </w:p>
    <w:p>
      <w:pPr>
        <w:pStyle w:val="14"/>
        <w:rPr>
          <w:rFonts w:hint="eastAsia"/>
        </w:rPr>
      </w:pPr>
      <w:bookmarkStart w:id="22" w:name="_Toc4173647"/>
      <w:r>
        <w:rPr>
          <w:rFonts w:hint="eastAsia"/>
          <w:b/>
          <w:bCs/>
        </w:rPr>
        <w:t>4.9 报告期内管理人对本基金持有人数或基金资产净值预警情形的说明</w:t>
      </w:r>
      <w:bookmarkEnd w:id="22"/>
    </w:p>
    <w:p>
      <w:pPr>
        <w:pStyle w:val="20"/>
        <w:spacing w:before="0"/>
        <w:ind w:left="0" w:firstLine="480"/>
        <w:rPr>
          <w:rFonts w:hint="eastAsia"/>
        </w:rPr>
      </w:pPr>
      <w:r>
        <w:rPr>
          <w:rFonts w:hint="eastAsia"/>
        </w:rPr>
        <w:t>本基金为发起式基金,不适用本项说明。</w:t>
      </w:r>
    </w:p>
    <w:p>
      <w:pPr>
        <w:widowControl/>
        <w:jc w:val="left"/>
        <w:rPr>
          <w:rFonts w:hint="eastAsia" w:ascii="宋体" w:hAnsi="宋体" w:cs="宋体"/>
          <w:kern w:val="0"/>
          <w:sz w:val="24"/>
          <w:szCs w:val="24"/>
        </w:rPr>
      </w:pPr>
    </w:p>
    <w:p>
      <w:pPr>
        <w:pStyle w:val="13"/>
        <w:rPr>
          <w:rFonts w:hint="eastAsia"/>
        </w:rPr>
      </w:pPr>
      <w:bookmarkStart w:id="23" w:name="_Toc4173648"/>
      <w:r>
        <w:rPr>
          <w:rFonts w:hint="eastAsia" w:hAnsi="Calibri"/>
          <w:b/>
          <w:color w:val="000000"/>
        </w:rPr>
        <w:t>§5  托管人报告</w:t>
      </w:r>
      <w:bookmarkEnd w:id="23"/>
    </w:p>
    <w:p>
      <w:pPr>
        <w:widowControl/>
        <w:jc w:val="left"/>
        <w:rPr>
          <w:rFonts w:hint="eastAsia" w:ascii="宋体" w:hAnsi="宋体" w:cs="宋体"/>
          <w:kern w:val="0"/>
          <w:sz w:val="24"/>
          <w:szCs w:val="24"/>
        </w:rPr>
      </w:pPr>
    </w:p>
    <w:p>
      <w:pPr>
        <w:pStyle w:val="14"/>
        <w:rPr>
          <w:rFonts w:hint="eastAsia"/>
        </w:rPr>
      </w:pPr>
      <w:bookmarkStart w:id="24" w:name="_Toc4173649"/>
      <w:r>
        <w:rPr>
          <w:rFonts w:hint="eastAsia"/>
          <w:b/>
          <w:bCs/>
        </w:rPr>
        <w:t>5.1 报告期内本基金托管人遵规守信情况声明</w:t>
      </w:r>
      <w:bookmarkEnd w:id="24"/>
    </w:p>
    <w:p>
      <w:pPr>
        <w:pStyle w:val="20"/>
        <w:spacing w:before="0"/>
        <w:ind w:left="0" w:firstLine="480"/>
        <w:rPr>
          <w:rFonts w:hint="eastAsia"/>
        </w:rPr>
      </w:pPr>
      <w:r>
        <w:rPr>
          <w:rFonts w:hint="eastAsia"/>
        </w:rPr>
        <w:t>招商银行具备完善的公司治理结构、内部稽核监控制度和风险控制制度，我行在履行托管职责中，严格遵守有关法律法规、托管协议的规定，尽职尽责地履行托管义务并安全保管托管资产。</w:t>
      </w:r>
    </w:p>
    <w:p>
      <w:pPr>
        <w:widowControl/>
        <w:jc w:val="left"/>
        <w:rPr>
          <w:rFonts w:hint="eastAsia" w:ascii="宋体" w:hAnsi="宋体" w:cs="宋体"/>
          <w:kern w:val="0"/>
          <w:sz w:val="24"/>
          <w:szCs w:val="24"/>
        </w:rPr>
      </w:pPr>
    </w:p>
    <w:p>
      <w:pPr>
        <w:pStyle w:val="14"/>
        <w:rPr>
          <w:rFonts w:hint="eastAsia"/>
        </w:rPr>
      </w:pPr>
      <w:bookmarkStart w:id="25" w:name="_Toc4173650"/>
      <w:r>
        <w:rPr>
          <w:rFonts w:hint="eastAsia"/>
          <w:b/>
          <w:bCs/>
        </w:rPr>
        <w:t>5.2 托管人对报告期内本基金投资运作遵规守信、净值计算、利润分配等情况的说明</w:t>
      </w:r>
      <w:bookmarkEnd w:id="25"/>
    </w:p>
    <w:p>
      <w:pPr>
        <w:pStyle w:val="20"/>
        <w:spacing w:before="0"/>
        <w:ind w:left="0" w:firstLine="480"/>
        <w:rPr>
          <w:rFonts w:hint="eastAsia"/>
        </w:rPr>
      </w:pPr>
      <w:r>
        <w:rPr>
          <w:rFonts w:hint="eastAsia"/>
        </w:rPr>
        <w:t>招商银行根据法律法规、托管协议约定的投资监督条款，对托管产品的投资行为进行监督，并根据监管要求履行报告义务。</w:t>
      </w:r>
    </w:p>
    <w:p>
      <w:pPr>
        <w:pStyle w:val="20"/>
        <w:spacing w:before="0"/>
        <w:ind w:left="0" w:firstLine="480"/>
        <w:rPr>
          <w:rFonts w:hint="eastAsia"/>
        </w:rPr>
      </w:pPr>
      <w:r>
        <w:rPr>
          <w:rFonts w:hint="eastAsia"/>
        </w:rPr>
        <w:t>招商银行按照托管协议约定的统一记账方法和会计处理原则，独立地设置、登录和保管本产品的全套账册，进行会计核算和资产估值并与管理人建立对账机制。</w:t>
      </w:r>
    </w:p>
    <w:p>
      <w:pPr>
        <w:pStyle w:val="20"/>
        <w:spacing w:before="0"/>
        <w:ind w:left="0" w:firstLine="480"/>
        <w:rPr>
          <w:rFonts w:hint="eastAsia"/>
        </w:rPr>
      </w:pPr>
      <w:r>
        <w:rPr>
          <w:rFonts w:hint="eastAsia"/>
        </w:rPr>
        <w:t>本年度报告中利润分配情况真实、准确。</w:t>
      </w:r>
    </w:p>
    <w:p>
      <w:pPr>
        <w:widowControl/>
        <w:jc w:val="left"/>
        <w:rPr>
          <w:rFonts w:hint="eastAsia" w:ascii="宋体" w:hAnsi="宋体" w:cs="宋体"/>
          <w:kern w:val="0"/>
          <w:sz w:val="24"/>
          <w:szCs w:val="24"/>
        </w:rPr>
      </w:pPr>
    </w:p>
    <w:p>
      <w:pPr>
        <w:pStyle w:val="14"/>
        <w:rPr>
          <w:rFonts w:hint="eastAsia"/>
        </w:rPr>
      </w:pPr>
      <w:bookmarkStart w:id="26" w:name="_Toc4173651"/>
      <w:r>
        <w:rPr>
          <w:rFonts w:hint="eastAsia"/>
          <w:b/>
          <w:bCs/>
        </w:rPr>
        <w:t>5.3 托管人对本年度报告中财务信息等内容的真实、准确和完整发表意见</w:t>
      </w:r>
      <w:bookmarkEnd w:id="26"/>
    </w:p>
    <w:p>
      <w:pPr>
        <w:pStyle w:val="20"/>
        <w:spacing w:before="0"/>
        <w:ind w:left="0" w:firstLine="480"/>
        <w:rPr>
          <w:rFonts w:hint="eastAsia"/>
        </w:rPr>
      </w:pPr>
      <w:r>
        <w:rPr>
          <w:rFonts w:hint="eastAsia"/>
        </w:rPr>
        <w:t>本年度报告中财务指标、净值表现、财务会计报告、投资组合报告内容真实、准确，不存在虚假记载、误导性陈述或者重大遗漏。</w:t>
      </w:r>
    </w:p>
    <w:p>
      <w:pPr>
        <w:widowControl/>
        <w:jc w:val="left"/>
        <w:rPr>
          <w:rFonts w:hint="eastAsia" w:ascii="宋体" w:hAnsi="宋体" w:cs="宋体"/>
          <w:kern w:val="0"/>
          <w:sz w:val="24"/>
          <w:szCs w:val="24"/>
        </w:rPr>
      </w:pPr>
    </w:p>
    <w:p>
      <w:pPr>
        <w:pStyle w:val="13"/>
        <w:rPr>
          <w:rFonts w:hint="eastAsia"/>
        </w:rPr>
      </w:pPr>
      <w:bookmarkStart w:id="27" w:name="_Toc4173652"/>
      <w:r>
        <w:rPr>
          <w:rFonts w:hint="eastAsia" w:hAnsi="Calibri"/>
          <w:b/>
          <w:color w:val="000000"/>
        </w:rPr>
        <w:t>§6  审计报告</w:t>
      </w:r>
      <w:bookmarkEnd w:id="27"/>
    </w:p>
    <w:p>
      <w:pPr>
        <w:widowControl/>
        <w:jc w:val="left"/>
        <w:rPr>
          <w:rFonts w:hint="eastAsia" w:ascii="宋体" w:hAnsi="宋体" w:cs="宋体"/>
          <w:kern w:val="0"/>
          <w:sz w:val="24"/>
          <w:szCs w:val="24"/>
        </w:rPr>
      </w:pPr>
    </w:p>
    <w:p>
      <w:pPr>
        <w:pStyle w:val="14"/>
        <w:rPr>
          <w:rFonts w:hint="eastAsia"/>
        </w:rPr>
      </w:pPr>
      <w:bookmarkStart w:id="28" w:name="_Toc4173653"/>
      <w:r>
        <w:rPr>
          <w:rFonts w:hint="eastAsia"/>
          <w:b/>
          <w:bCs/>
        </w:rPr>
        <w:t>6.1 审计报告基本信息</w:t>
      </w:r>
      <w:bookmarkEnd w:id="28"/>
    </w:p>
    <w:tbl>
      <w:tblPr>
        <w:tblStyle w:val="7"/>
        <w:tblW w:w="9045" w:type="dxa"/>
        <w:tblInd w:w="108" w:type="dxa"/>
        <w:tblLayout w:type="autofit"/>
        <w:tblCellMar>
          <w:top w:w="0" w:type="dxa"/>
          <w:left w:w="108" w:type="dxa"/>
          <w:bottom w:w="0" w:type="dxa"/>
          <w:right w:w="108" w:type="dxa"/>
        </w:tblCellMar>
      </w:tblPr>
      <w:tblGrid>
        <w:gridCol w:w="3375"/>
        <w:gridCol w:w="5670"/>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财务报表是否经过审计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是</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审计意见类型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标准无保留意见</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审计报告编号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普华永道中天审字(2019)第24773号</w:t>
            </w:r>
          </w:p>
        </w:tc>
      </w:tr>
    </w:tbl>
    <w:p>
      <w:pPr>
        <w:widowControl/>
        <w:jc w:val="left"/>
        <w:rPr>
          <w:rFonts w:hint="eastAsia" w:ascii="宋体" w:hAnsi="宋体" w:cs="宋体"/>
          <w:kern w:val="0"/>
          <w:sz w:val="24"/>
          <w:szCs w:val="24"/>
        </w:rPr>
      </w:pPr>
    </w:p>
    <w:p>
      <w:pPr>
        <w:pStyle w:val="14"/>
        <w:rPr>
          <w:rFonts w:hint="eastAsia"/>
        </w:rPr>
      </w:pPr>
      <w:bookmarkStart w:id="29" w:name="_Toc4173654"/>
      <w:r>
        <w:rPr>
          <w:rFonts w:hint="eastAsia"/>
          <w:b/>
          <w:bCs/>
        </w:rPr>
        <w:t>6.2 审计报告的基本内容</w:t>
      </w:r>
      <w:bookmarkEnd w:id="29"/>
    </w:p>
    <w:tbl>
      <w:tblPr>
        <w:tblStyle w:val="7"/>
        <w:tblW w:w="9045" w:type="dxa"/>
        <w:tblInd w:w="108" w:type="dxa"/>
        <w:tblLayout w:type="autofit"/>
        <w:tblCellMar>
          <w:top w:w="0" w:type="dxa"/>
          <w:left w:w="108" w:type="dxa"/>
          <w:bottom w:w="0" w:type="dxa"/>
          <w:right w:w="108" w:type="dxa"/>
        </w:tblCellMar>
      </w:tblPr>
      <w:tblGrid>
        <w:gridCol w:w="3831"/>
        <w:gridCol w:w="5214"/>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审计报告标题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审计报告收件人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创金合信MSCI中国A股国际指数发起式证券投资基金全体基金份额持有人</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审计意见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 我们审计的内容 我们审计了创金合信MSCI中国A股国际指数发起式证券投资基金(以下简称“ 创金合信MSCI中国A股国际指数基金”)的财务报表，包括2018年12月31日的资产负债表，2018年2月7日(基金合同生效日)至2018年12月31日止期间的利润表和所有者权益(基金净值)变动表以及财务报表附注。 (二) 我们的意见 我们认为，后附的财务报表在所有重大方面按照企业会计准则和在财务报表附注中所列示的中国证券监督管理委员会(以下简称“中国证监会”)、中国证券投资基金业协会(以下简称“中国基金业协会”)发布的有关规定及允许的基金行业实务操作编制，公允反映了创金合信MSCI中国A股国际指数基金2018年12月31日的财务状况以及2018年2月7日(基金合同生效日)至2018年12月31日止期间的经营成果和基金净值变动情况。</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形成审计意见的基础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我们按照中国注册会计师审计准则的规定执行了审计工作。审计报告的“注册会计师对财务报表审计的责任”部分进一步阐述了我们在这些准则下的责任。我们相信，我们获取的审计证据是充分、适当的，为发表审计意见提供了基础。 按照中国注册会计师职业道德守则，我们独立于创金合信MSCI中国A股国际指数基金，并履行了职业道德方面的其他责任。  </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强调事项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其他事项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其他信息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管理层和治理层对财务报表的责任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MSCI中国A股国际指数基金的基金管理人创金合信基金管理有限公司(以下简称“基金管理人”)管理层负责按照企业会计准则和中国证监会、中国基金业协会发布的有关规定及允许的基金行业实务操作编制财务报表，使其实现公允反映，并设计、执行和维护必要的内部控制，以使财务报表不存在由于舞弊或错误导致的重大错报。 在编制财务报表时，基金管理人管理层负责评估创金合信MSCI中国A股国际指数基金的持续经营能力，披露与持续经营相关的事项(如适用)，并运用持续经营假设，除非基金管理人管理层计划清算创金合信MSCI中国A股国际指数基金、终止运营或别无其他现实的选择。 基金管理人治理层负责监督创金合信MSCI中国A股国际指数基金的财务报告过程。 </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注册会计师对财务报表审计的责任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我们的目标是对财务报表整体是否不存在由于舞弊或错误导致的重大错报获取合理保证，并出具包含审计意见的审计报告。合理保证是高水平的保证，但并不能保证按照审计准则执行的审计在某一重大错报存在时总能发现。错报可能由于舞弊或错误导致，如果合理预期错报单独或汇总起来可能影响财务报表使用者依据财务报表作出的经济决策，则通常认为错报是重大的。 在按照审计准则执行审计工作的过程中，我们运用职业判断，并保持职业怀疑。同时，我们也执行以下工作： (一) 识别和评估由于舞弊或错误导致的财务报表重大错报风险；设计和实施审计程序以应对这些风险，并获取充分、适当的审计证据，作为发表审计意见的基础。由于舞弊可能涉及串通、伪造、故意遗漏、虚假陈述或凌驾于内部控制之上，未能发现由于舞弊导致的重大错报的风险高于未能发现由于错误导致的重大错报的风险。 (二) 了解与审计相关的内部控制，以设计恰当的审计程序，但目的并非对内部控制的有效性发表意见。 (三) 评价基金管理人管理层选用会计政策的恰当性和作出会计估计及相关披露的合理性。 (四) 对基金管理人管理层使用持续经营假设的恰当性得出结论。同时，根据获取的审计证据，就可能导致对创金合信聚利债券基金持续经营能力产生重大疑虑的事项或情况是否存在重大不确定性得出结论。如果我们得出结论认为存在重大不确定性，审计准则要求我们在审计报告中提请报表使用者注意财务报表中的相关披露；如果披露不充分，我们应当发表非无保留意见。我们的结论基于截至审计报告日可获得的信息。然而，未来的事项或情况可能导致创金合信聚利债券基金不能持续经营。 (五) 评价财务报表的总体列报、结构和内容(包括披露)，并评价财务报表是否公允反映相关交易和事项。 我们与基金管理人治理层就计划的审计范围、时间安排和重大审计发现等事项进行沟通，包括沟通我们在审计中识别出的值得关注的内部控制缺陷。</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会计师事务所的名称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普华永道中天会计师事务所（特殊普通合伙）</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注册会计师的姓名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曹翠丽、边晓红</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会计师事务所的地址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上海市黄浦区湖滨路202号领展企业广场2座普华永道中心</w:t>
            </w:r>
            <w:r>
              <w:t>11</w:t>
            </w:r>
            <w:r>
              <w:rPr>
                <w:rFonts w:hint="eastAsia"/>
              </w:rPr>
              <w:t>楼</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审计报告日期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2019-03-26</w:t>
            </w:r>
          </w:p>
        </w:tc>
      </w:tr>
    </w:tbl>
    <w:p>
      <w:pPr>
        <w:widowControl/>
        <w:jc w:val="left"/>
        <w:rPr>
          <w:rFonts w:hint="eastAsia" w:ascii="宋体" w:hAnsi="宋体" w:cs="宋体"/>
          <w:kern w:val="0"/>
          <w:sz w:val="24"/>
          <w:szCs w:val="24"/>
        </w:rPr>
      </w:pPr>
    </w:p>
    <w:p>
      <w:pPr>
        <w:pStyle w:val="13"/>
        <w:rPr>
          <w:rFonts w:hint="eastAsia"/>
        </w:rPr>
      </w:pPr>
      <w:bookmarkStart w:id="30" w:name="_Toc4173655"/>
      <w:r>
        <w:rPr>
          <w:rFonts w:hint="eastAsia" w:hAnsi="Calibri"/>
          <w:b/>
          <w:color w:val="000000"/>
        </w:rPr>
        <w:t>§7  年度财务报表</w:t>
      </w:r>
      <w:bookmarkEnd w:id="30"/>
    </w:p>
    <w:p>
      <w:pPr>
        <w:widowControl/>
        <w:jc w:val="left"/>
        <w:rPr>
          <w:rFonts w:hint="eastAsia" w:ascii="宋体" w:hAnsi="宋体" w:cs="宋体"/>
          <w:kern w:val="0"/>
          <w:sz w:val="24"/>
          <w:szCs w:val="24"/>
        </w:rPr>
      </w:pPr>
    </w:p>
    <w:p>
      <w:pPr>
        <w:pStyle w:val="14"/>
        <w:rPr>
          <w:rFonts w:hint="eastAsia"/>
        </w:rPr>
      </w:pPr>
      <w:bookmarkStart w:id="31" w:name="_Toc4173656"/>
      <w:r>
        <w:rPr>
          <w:rFonts w:hint="eastAsia"/>
          <w:b/>
          <w:bCs/>
        </w:rPr>
        <w:t>7.1 资产负债表</w:t>
      </w:r>
      <w:bookmarkEnd w:id="31"/>
    </w:p>
    <w:p>
      <w:pPr>
        <w:pStyle w:val="17"/>
        <w:rPr>
          <w:rFonts w:hint="eastAsia"/>
        </w:rPr>
      </w:pPr>
      <w:r>
        <w:rPr>
          <w:rFonts w:hint="eastAsia"/>
        </w:rPr>
        <w:t>会计主体：创金合信MSCI中国A股国际指数发起式证券投资基金</w:t>
      </w:r>
    </w:p>
    <w:p>
      <w:pPr>
        <w:pStyle w:val="17"/>
        <w:rPr>
          <w:rFonts w:hint="eastAsia"/>
        </w:rPr>
      </w:pPr>
      <w:r>
        <w:rPr>
          <w:rFonts w:hint="eastAsia"/>
        </w:rPr>
        <w:t>报告截止日：2018年12月31日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3660"/>
        <w:gridCol w:w="1912"/>
        <w:gridCol w:w="3548"/>
      </w:tblGrid>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资 产 </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 </w:t>
            </w:r>
          </w:p>
          <w:p>
            <w:pPr>
              <w:pStyle w:val="18"/>
              <w:wordWrap w:val="0"/>
              <w:rPr>
                <w:rFonts w:hint="eastAsia"/>
              </w:rPr>
            </w:pPr>
            <w:r>
              <w:rPr>
                <w:rFonts w:hint="eastAsia" w:hAnsi="Calibri"/>
                <w:color w:val="000000"/>
              </w:rPr>
              <w:t>2018年12月31日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资 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银行存款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1,865,175.94</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163,034.63</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95,516.98</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63,147,040.42</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60,133,840.42</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3,013,200.00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贵金属投资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买入返售金融资产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84,355.38</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应收股利</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34,470.25</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递延所得税资产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资产总计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65,389,593.60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负债和所有者权益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 </w:t>
            </w:r>
          </w:p>
          <w:p>
            <w:pPr>
              <w:pStyle w:val="18"/>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负 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短期借款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卖出回购金融资产款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应付证券清算款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241,004.88</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应付管理人报酬</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28,456.64</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应付托管费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5,691.31</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应付销售服务费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2,565.16</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应付交易费用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2,515.35</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应交税费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应付利息</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应付利润</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递延所得税负债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201,951.22</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负债合计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482,184.56</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所有者权益：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实收基金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82,306,992.26</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未分配利润</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-17,399,583.22</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所有者权益合计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64,907,409.04</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负债和所有者权益总计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65,389,593.60</w:t>
            </w:r>
          </w:p>
        </w:tc>
      </w:tr>
    </w:tbl>
    <w:p>
      <w:pPr>
        <w:pStyle w:val="20"/>
        <w:rPr>
          <w:rFonts w:hint="eastAsia"/>
        </w:rPr>
      </w:pPr>
      <w:r>
        <w:rPr>
          <w:rFonts w:hint="eastAsia"/>
        </w:rPr>
        <w:t>注：1.报告截止日2018年12月31日,基金份额总额82,306,992.26份,其中下属A类基金份额63,735,597.38份,C类基金份额18,571,394.88份。下属A类基金份额净值0.7890元,C类基金份额净值0.7873元。</w:t>
      </w:r>
      <w:r>
        <w:rPr>
          <w:rFonts w:hint="eastAsia"/>
        </w:rPr>
        <w:br w:type="textWrapping"/>
      </w:r>
      <w:r>
        <w:rPr>
          <w:rFonts w:hint="eastAsia"/>
        </w:rPr>
        <w:t>2.本财务报表的实际报告期间为2018年2月7日(基金合同生效日)至2018年12月31日。截至报告期末本基金合同生效未满1年,本报告期的财务报表及报表附注均无同期对比数据。</w:t>
      </w:r>
    </w:p>
    <w:p>
      <w:pPr>
        <w:widowControl/>
        <w:jc w:val="left"/>
        <w:rPr>
          <w:rFonts w:hint="eastAsia" w:ascii="宋体" w:hAnsi="宋体" w:cs="宋体"/>
          <w:kern w:val="0"/>
          <w:sz w:val="24"/>
          <w:szCs w:val="24"/>
        </w:rPr>
      </w:pPr>
    </w:p>
    <w:p>
      <w:pPr>
        <w:pStyle w:val="14"/>
        <w:rPr>
          <w:rFonts w:hint="eastAsia"/>
        </w:rPr>
      </w:pPr>
      <w:bookmarkStart w:id="32" w:name="_Toc4173657"/>
      <w:r>
        <w:rPr>
          <w:rFonts w:hint="eastAsia"/>
          <w:b/>
          <w:bCs/>
        </w:rPr>
        <w:t>7.2 利润表</w:t>
      </w:r>
      <w:bookmarkEnd w:id="32"/>
    </w:p>
    <w:p>
      <w:pPr>
        <w:pStyle w:val="17"/>
        <w:rPr>
          <w:rFonts w:hint="eastAsia"/>
        </w:rPr>
      </w:pPr>
      <w:r>
        <w:rPr>
          <w:rFonts w:hint="eastAsia"/>
        </w:rPr>
        <w:t>会计主体：创金合信MSCI中国A股国际指数发起式证券投资基金</w:t>
      </w:r>
    </w:p>
    <w:p>
      <w:pPr>
        <w:pStyle w:val="17"/>
        <w:rPr>
          <w:rFonts w:hint="eastAsia"/>
        </w:rPr>
      </w:pPr>
      <w:r>
        <w:rPr>
          <w:rFonts w:hint="eastAsia"/>
        </w:rPr>
        <w:t>本报告期：2018年02月07日（基金合同生效日）至2018年12月31日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4166"/>
        <w:gridCol w:w="1912"/>
        <w:gridCol w:w="3042"/>
      </w:tblGrid>
      <w:tr>
        <w:tblPrEx>
          <w:tblCellMar>
            <w:top w:w="0" w:type="dxa"/>
            <w:left w:w="108" w:type="dxa"/>
            <w:bottom w:w="0" w:type="dxa"/>
            <w:right w:w="108" w:type="dxa"/>
          </w:tblCellMar>
        </w:tblPrEx>
        <w:trPr>
          <w:wBefore w:w="0" w:type="auto"/>
          <w:trHeight w:val="374" w:hRule="atLeast"/>
        </w:trPr>
        <w:tc>
          <w:tcPr>
            <w:tcW w:w="296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项 目</w:t>
            </w:r>
          </w:p>
        </w:tc>
        <w:tc>
          <w:tcPr>
            <w:tcW w:w="1363"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168"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本期2018年02月07日（基金合同生效日）至2018年12月31日 </w:t>
            </w:r>
          </w:p>
        </w:tc>
      </w:tr>
      <w:tr>
        <w:tblPrEx>
          <w:tblCellMar>
            <w:top w:w="0" w:type="dxa"/>
            <w:left w:w="108" w:type="dxa"/>
            <w:bottom w:w="0" w:type="dxa"/>
            <w:right w:w="108" w:type="dxa"/>
          </w:tblCellMar>
        </w:tblPrEx>
        <w:trPr>
          <w:wBefore w:w="0" w:type="auto"/>
          <w:trHeight w:val="311" w:hRule="atLeast"/>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一、收入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-18,722,306.84</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121,395.43</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其中：存款利息收入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7.4.7.11</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35,646.39</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85,749.04</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买入返售金融资产收入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其他利息收入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2.投资收益（损失以“-”填列）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-2,509,964.04</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-4,043,221.71</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2,001.40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贵金属投资收益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衍生工具收益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7.4.7.14</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-150,540.00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股利收益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7.4.7.15</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1,681,796.27</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3.公允价值变动收益（损失以“-”号填列）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7.4.7.16</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-16,398,211.93</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4.汇兑收益（损失以“－”号填列）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5.其他收入（损失以“-”号填列）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7.4.7.17</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64,473.70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减：二、费用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780,293.69</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1．管理人报酬</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7.4.10.2.1 </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349,445.80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2．托管费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7.4.10.2.2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69,889.14</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3．销售服务费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7.4.10.2.3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27,758.96</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4．交易费用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7.4.7.18</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110,441.89</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5．利息支出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其中：卖出回购金融资产支出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6．税金及附加</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7．其他费用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7.4.7.19</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222,757.90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三、利润总额（亏损总额以“-”号填列）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-19,502,600.53</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减：所得税费用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四、净利润（净亏损以“-”号填列）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-19,502,600.53</w:t>
            </w:r>
          </w:p>
        </w:tc>
      </w:tr>
    </w:tbl>
    <w:p>
      <w:pPr>
        <w:pStyle w:val="20"/>
        <w:rPr>
          <w:rFonts w:hint="eastAsia"/>
        </w:rPr>
      </w:pPr>
      <w:r>
        <w:rPr>
          <w:rFonts w:hint="eastAsia"/>
        </w:rPr>
        <w:t>注：本财务报表的实际报告期间为2018年2月7日(基金合同生效日)至2018年12月31日。截至报告期末本基金合同生效未满1年,本报告期的财务报表及报表附注均无同期对比数据。</w:t>
      </w:r>
    </w:p>
    <w:p>
      <w:pPr>
        <w:widowControl/>
        <w:jc w:val="left"/>
        <w:rPr>
          <w:rFonts w:hint="eastAsia" w:ascii="宋体" w:hAnsi="宋体" w:cs="宋体"/>
          <w:kern w:val="0"/>
          <w:sz w:val="24"/>
          <w:szCs w:val="24"/>
        </w:rPr>
      </w:pPr>
    </w:p>
    <w:p>
      <w:pPr>
        <w:pStyle w:val="14"/>
        <w:rPr>
          <w:rFonts w:hint="eastAsia"/>
        </w:rPr>
      </w:pPr>
      <w:bookmarkStart w:id="33" w:name="_Toc4173658"/>
      <w:r>
        <w:rPr>
          <w:rFonts w:hint="eastAsia"/>
          <w:b/>
          <w:bCs/>
        </w:rPr>
        <w:t>7.3 所有者权益（基金净值）变动表</w:t>
      </w:r>
      <w:bookmarkEnd w:id="33"/>
    </w:p>
    <w:p>
      <w:pPr>
        <w:pStyle w:val="17"/>
        <w:rPr>
          <w:rFonts w:hint="eastAsia"/>
        </w:rPr>
      </w:pPr>
      <w:r>
        <w:rPr>
          <w:rFonts w:hint="eastAsia"/>
        </w:rPr>
        <w:t>会计主体：创金合信MSCI中国A股国际指数发起式证券投资基金</w:t>
      </w:r>
    </w:p>
    <w:p>
      <w:pPr>
        <w:pStyle w:val="17"/>
        <w:rPr>
          <w:rFonts w:hint="eastAsia"/>
        </w:rPr>
      </w:pPr>
      <w:r>
        <w:rPr>
          <w:rFonts w:hint="eastAsia"/>
        </w:rPr>
        <w:t>本报告期：2018年02月07日（基金合同生效日）至2018年12月31日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2299"/>
        <w:gridCol w:w="2156"/>
        <w:gridCol w:w="2156"/>
        <w:gridCol w:w="2587"/>
      </w:tblGrid>
      <w:tr>
        <w:tblPrEx>
          <w:tblCellMar>
            <w:top w:w="0" w:type="dxa"/>
            <w:left w:w="108" w:type="dxa"/>
            <w:bottom w:w="0" w:type="dxa"/>
            <w:right w:w="108" w:type="dxa"/>
          </w:tblCellMar>
        </w:tblPrEx>
        <w:trPr>
          <w:wBefore w:w="0" w:type="auto"/>
        </w:trPr>
        <w:tc>
          <w:tcPr>
            <w:tcW w:w="12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 </w:t>
            </w:r>
          </w:p>
          <w:p>
            <w:pPr>
              <w:pStyle w:val="18"/>
              <w:wordWrap w:val="0"/>
              <w:rPr>
                <w:rFonts w:hint="eastAsia"/>
              </w:rPr>
            </w:pPr>
            <w:r>
              <w:rPr>
                <w:rFonts w:hint="eastAsia"/>
              </w:rPr>
              <w:t>2018年02月07日（基金合同生效日）至2018年12月31日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68,378,462.98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68,378,462.98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-19,502,600.53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-19,502,600.53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13,928,529.28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2,103,017.31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16,031,546.59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42,899,302.94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-882,974.60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42,016,328.34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-28,970,773.66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2,985,991.91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-25,984,781.75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82,306,992.26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-17,399,583.22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64,907,409.04</w:t>
            </w:r>
          </w:p>
        </w:tc>
      </w:tr>
    </w:tbl>
    <w:p>
      <w:pPr>
        <w:pStyle w:val="20"/>
        <w:rPr>
          <w:rFonts w:hint="eastAsia"/>
        </w:rPr>
      </w:pPr>
      <w:r>
        <w:rPr>
          <w:rFonts w:hint="eastAsia"/>
        </w:rPr>
        <w:t>注：本财务报表的实际报告期间为2018年2月7日(基金合同生效日)至2018年12月31日。截至报告期末本基金合同生效未满1年,本报告期的财务报表及报表附注均无同期对比数据。</w:t>
      </w:r>
    </w:p>
    <w:p>
      <w:pPr>
        <w:pStyle w:val="17"/>
        <w:rPr>
          <w:rFonts w:hint="eastAsia"/>
        </w:rPr>
      </w:pPr>
      <w:r>
        <w:rPr>
          <w:rFonts w:hint="eastAsia"/>
        </w:rPr>
        <w:t>报表附注为财务报表的组成部分。</w:t>
      </w:r>
    </w:p>
    <w:p>
      <w:pPr>
        <w:pStyle w:val="17"/>
        <w:rPr>
          <w:rFonts w:hint="eastAsia"/>
        </w:rPr>
      </w:pPr>
      <w:r>
        <w:rPr>
          <w:rFonts w:hint="eastAsia"/>
        </w:rPr>
        <w:t>本报告7.1至7.4财务报表由下列负责人签署:</w:t>
      </w:r>
    </w:p>
    <w:tbl>
      <w:tblPr>
        <w:tblStyle w:val="7"/>
        <w:tblW w:w="0" w:type="auto"/>
        <w:tblInd w:w="108" w:type="dxa"/>
        <w:tblLayout w:type="autofit"/>
        <w:tblCellMar>
          <w:top w:w="0" w:type="dxa"/>
          <w:left w:w="108" w:type="dxa"/>
          <w:bottom w:w="0" w:type="dxa"/>
          <w:right w:w="108" w:type="dxa"/>
        </w:tblCellMar>
      </w:tblPr>
      <w:tblGrid>
        <w:gridCol w:w="3249"/>
        <w:gridCol w:w="2889"/>
        <w:gridCol w:w="2890"/>
      </w:tblGrid>
      <w:tr>
        <w:tblPrEx>
          <w:tblCellMar>
            <w:top w:w="0" w:type="dxa"/>
            <w:left w:w="108" w:type="dxa"/>
            <w:bottom w:w="0" w:type="dxa"/>
            <w:right w:w="108" w:type="dxa"/>
          </w:tblCellMar>
        </w:tblPrEx>
        <w:trPr>
          <w:wBefore w:w="0" w:type="auto"/>
        </w:trPr>
        <w:tc>
          <w:tcPr>
            <w:tcW w:w="3249" w:type="dxa"/>
            <w:tcBorders>
              <w:top w:val="nil"/>
              <w:left w:val="nil"/>
              <w:bottom w:val="nil"/>
              <w:right w:val="nil"/>
            </w:tcBorders>
            <w:noWrap w:val="0"/>
            <w:vAlign w:val="top"/>
          </w:tcPr>
          <w:p>
            <w:pPr>
              <w:pStyle w:val="17"/>
              <w:wordWrap w:val="0"/>
              <w:rPr>
                <w:rFonts w:hint="eastAsia"/>
              </w:rPr>
            </w:pPr>
            <w:r>
              <w:rPr>
                <w:rFonts w:hint="eastAsia" w:hAnsi="Calibri"/>
                <w:color w:val="000000"/>
              </w:rPr>
              <w:t>苏彦祝</w:t>
            </w:r>
          </w:p>
          <w:p>
            <w:pPr>
              <w:pStyle w:val="17"/>
              <w:wordWrap w:val="0"/>
              <w:rPr>
                <w:rFonts w:hint="eastAsia"/>
              </w:rPr>
            </w:pPr>
            <w:r>
              <w:rPr>
                <w:rFonts w:hint="eastAsia"/>
              </w:rPr>
              <w:t>—————————</w:t>
            </w:r>
          </w:p>
          <w:p>
            <w:pPr>
              <w:pStyle w:val="17"/>
              <w:wordWrap w:val="0"/>
              <w:rPr>
                <w:rFonts w:hint="eastAsia"/>
              </w:rPr>
            </w:pPr>
            <w:r>
              <w:rPr>
                <w:rFonts w:hint="eastAsia"/>
              </w:rPr>
              <w:t>基金管理人负责人</w:t>
            </w:r>
          </w:p>
        </w:tc>
        <w:tc>
          <w:tcPr>
            <w:tcW w:w="2889" w:type="dxa"/>
            <w:tcBorders>
              <w:top w:val="nil"/>
              <w:left w:val="nil"/>
              <w:bottom w:val="nil"/>
              <w:right w:val="nil"/>
            </w:tcBorders>
            <w:noWrap w:val="0"/>
            <w:vAlign w:val="top"/>
          </w:tcPr>
          <w:p>
            <w:pPr>
              <w:pStyle w:val="17"/>
              <w:wordWrap w:val="0"/>
              <w:rPr>
                <w:rFonts w:hint="eastAsia"/>
              </w:rPr>
            </w:pPr>
            <w:r>
              <w:rPr>
                <w:rFonts w:hint="eastAsia"/>
              </w:rPr>
              <w:t>黄越岷</w:t>
            </w:r>
          </w:p>
          <w:p>
            <w:pPr>
              <w:pStyle w:val="17"/>
              <w:wordWrap w:val="0"/>
              <w:rPr>
                <w:rFonts w:hint="eastAsia"/>
              </w:rPr>
            </w:pPr>
            <w:r>
              <w:rPr>
                <w:rFonts w:hint="eastAsia"/>
              </w:rPr>
              <w:t>—————————</w:t>
            </w:r>
          </w:p>
          <w:p>
            <w:pPr>
              <w:pStyle w:val="17"/>
              <w:wordWrap w:val="0"/>
              <w:rPr>
                <w:rFonts w:hint="eastAsia"/>
              </w:rPr>
            </w:pPr>
            <w:r>
              <w:rPr>
                <w:rFonts w:hint="eastAsia"/>
              </w:rPr>
              <w:t>主管会计工作负责人</w:t>
            </w:r>
          </w:p>
        </w:tc>
        <w:tc>
          <w:tcPr>
            <w:tcW w:w="2890" w:type="dxa"/>
            <w:tcBorders>
              <w:top w:val="nil"/>
              <w:left w:val="nil"/>
              <w:bottom w:val="nil"/>
              <w:right w:val="nil"/>
            </w:tcBorders>
            <w:noWrap w:val="0"/>
            <w:vAlign w:val="top"/>
          </w:tcPr>
          <w:p>
            <w:pPr>
              <w:pStyle w:val="17"/>
              <w:wordWrap w:val="0"/>
              <w:rPr>
                <w:rFonts w:hint="eastAsia"/>
              </w:rPr>
            </w:pPr>
            <w:r>
              <w:rPr>
                <w:rFonts w:hint="eastAsia"/>
              </w:rPr>
              <w:t>安兆国</w:t>
            </w:r>
          </w:p>
          <w:p>
            <w:pPr>
              <w:pStyle w:val="17"/>
              <w:wordWrap w:val="0"/>
              <w:rPr>
                <w:rFonts w:hint="eastAsia"/>
              </w:rPr>
            </w:pPr>
            <w:r>
              <w:rPr>
                <w:rFonts w:hint="eastAsia"/>
              </w:rPr>
              <w:t>—————————</w:t>
            </w:r>
          </w:p>
          <w:p>
            <w:pPr>
              <w:pStyle w:val="17"/>
              <w:wordWrap w:val="0"/>
              <w:rPr>
                <w:rFonts w:hint="eastAsia"/>
              </w:rPr>
            </w:pPr>
            <w:r>
              <w:rPr>
                <w:rFonts w:hint="eastAsia"/>
              </w:rPr>
              <w:t>会计机构负责人</w:t>
            </w:r>
          </w:p>
        </w:tc>
      </w:tr>
    </w:tbl>
    <w:p>
      <w:pPr>
        <w:widowControl/>
        <w:jc w:val="left"/>
        <w:rPr>
          <w:rFonts w:hint="eastAsia" w:ascii="宋体" w:hAnsi="宋体" w:cs="宋体"/>
          <w:kern w:val="0"/>
          <w:sz w:val="24"/>
          <w:szCs w:val="24"/>
        </w:rPr>
      </w:pPr>
    </w:p>
    <w:p>
      <w:pPr>
        <w:pStyle w:val="14"/>
        <w:rPr>
          <w:rFonts w:hint="eastAsia"/>
        </w:rPr>
      </w:pPr>
      <w:bookmarkStart w:id="34" w:name="_Toc4173659"/>
      <w:r>
        <w:rPr>
          <w:rFonts w:hint="eastAsia"/>
          <w:b/>
          <w:bCs/>
        </w:rPr>
        <w:t>7.4 报表附注</w:t>
      </w:r>
      <w:bookmarkEnd w:id="34"/>
    </w:p>
    <w:p>
      <w:pPr>
        <w:pStyle w:val="15"/>
        <w:rPr>
          <w:rFonts w:hint="eastAsia"/>
        </w:rPr>
      </w:pPr>
      <w:r>
        <w:rPr>
          <w:rFonts w:hint="eastAsia"/>
          <w:b/>
          <w:bCs/>
        </w:rPr>
        <w:t>7.4.1 基金基本情况</w:t>
      </w:r>
    </w:p>
    <w:p>
      <w:pPr>
        <w:pStyle w:val="20"/>
        <w:spacing w:before="0"/>
        <w:ind w:left="0" w:firstLine="480"/>
        <w:rPr>
          <w:rFonts w:hint="eastAsia"/>
        </w:rPr>
      </w:pPr>
      <w:r>
        <w:rPr>
          <w:rFonts w:hint="eastAsia"/>
        </w:rPr>
        <w:t>创金合信MSCI中国A股国际指数发起式证券投资基金(以下简称"本基金")经中国证券监督管理委员会(以下简称"中国证监会")证监许可[2017]2442号《关于准予创金合信MSCI中国A股国际指数发起式证券投资基金注册的批复》核准，由创金合信基金管理有限公司依照《中华人民共和国证券投资基金法》和《创金合信MSCI中国A股国际指数发起式证券投资基金基金合同》负责公开募集。本基金为契约型开放式，存续期限不定，首次设立募集不包括认购资金利息共募集人民币68,365,796.39元，业经普华永道中天会计师事务所(特殊普通合伙)普华永道中天验字(2018)第0032号验资报告予以验证。经向中国证监会备案，《创金合信MSCI中国A股国际指数发起式证券投资基金基金合同》于2018年2月7日正式生效，基金合同生效日的基金份额总额为68,378,462.98份基金份额，其中认购资金利息折合12,666.59份基金份额。本基金的基金管理人为创金合信基金管理有限公司，基金托管人为招商银行股份有限公司(以下简称"招商银行")。</w:t>
      </w:r>
    </w:p>
    <w:p>
      <w:pPr>
        <w:pStyle w:val="20"/>
        <w:spacing w:before="0"/>
        <w:ind w:left="0" w:firstLine="480"/>
        <w:rPr>
          <w:rFonts w:hint="eastAsia"/>
        </w:rPr>
      </w:pPr>
      <w:r>
        <w:rPr>
          <w:rFonts w:hint="eastAsia"/>
        </w:rPr>
        <w:t>本基金为发起式基金，发起资金认购部分为10,000,900.09份基金份额，发起资金认购方承诺使用发起资金认购的基金份额持有期限不少于3年。</w:t>
      </w:r>
    </w:p>
    <w:p>
      <w:pPr>
        <w:pStyle w:val="20"/>
        <w:spacing w:before="0"/>
        <w:ind w:left="0" w:firstLine="480"/>
        <w:rPr>
          <w:rFonts w:hint="eastAsia"/>
        </w:rPr>
      </w:pPr>
      <w:r>
        <w:rPr>
          <w:rFonts w:hint="eastAsia"/>
        </w:rPr>
        <w:t>根据《创金合信MSCI中国A股国际指数发起式证券投资基金招募说明书》，本基金根据认购/申购费用与销售服务费收取方式的不同，将基金份额分为不同的类别。在投资人认购/申购时收取认购/申购费用的基金份额，称为A类基金份额；从本类别基金资产中计提销售服务费、不收取认购/申购费用的基金份额，称为C类基金份额。本基金A类、C类基金份额分别设置代码。由于基金费用的不同，本基金A类基金份额和C类基金份额将分别计算基金份额净值，计算公式为计算日各类别基金资产净值除以计算日发售在外的该类别基金份额总数。</w:t>
      </w:r>
    </w:p>
    <w:p>
      <w:pPr>
        <w:pStyle w:val="20"/>
        <w:spacing w:before="0"/>
        <w:ind w:left="0" w:firstLine="480"/>
        <w:rPr>
          <w:rFonts w:hint="eastAsia"/>
        </w:rPr>
      </w:pPr>
      <w:r>
        <w:rPr>
          <w:rFonts w:hint="eastAsia"/>
        </w:rPr>
        <w:t>根据《中华人民共和国证券投资基金法》和《创金合信MSCI中国A股国际指数发起式证券投资基金基金合同》的有关规定，本基金主要投资于标的指数成分股及其备选成分股。为更好地实现投资目标，本基金还可投资于非成分股(包括主板、中小板、创业板及其他经中国证监会允许基金投资的股票)、货币市场工具、金融衍生品(包括权证、股指期货、股票期权)以及法律法规或中国证监会允许基金投资的其他金融工具(但需符合中国证监会的相关规定)。本基金的业绩比较基准为：MSCI中国A股国际指数收益率×95%+银行人民币活期存款利率(税后)×5%。</w:t>
      </w:r>
    </w:p>
    <w:p>
      <w:pPr>
        <w:widowControl/>
        <w:jc w:val="left"/>
        <w:rPr>
          <w:rFonts w:hint="eastAsia" w:ascii="宋体" w:hAnsi="宋体" w:cs="宋体"/>
          <w:kern w:val="0"/>
          <w:sz w:val="24"/>
          <w:szCs w:val="24"/>
        </w:rPr>
      </w:pPr>
    </w:p>
    <w:p>
      <w:pPr>
        <w:pStyle w:val="15"/>
        <w:rPr>
          <w:rFonts w:hint="eastAsia"/>
        </w:rPr>
      </w:pPr>
      <w:r>
        <w:rPr>
          <w:rFonts w:hint="eastAsia"/>
          <w:b/>
          <w:bCs/>
        </w:rPr>
        <w:t>7.4.2 会计报表的编制基础</w:t>
      </w:r>
    </w:p>
    <w:p>
      <w:pPr>
        <w:pStyle w:val="20"/>
        <w:spacing w:before="0"/>
        <w:ind w:left="0" w:firstLine="480"/>
        <w:rPr>
          <w:rFonts w:hint="eastAsia"/>
        </w:rPr>
      </w:pPr>
      <w:r>
        <w:rPr>
          <w:rFonts w:hint="eastAsia"/>
        </w:rPr>
        <w:t>本基金的财务报表按照财政部于2006年2月15日及以后期间颁布的《企业会计准则－基本准则》、各项具体会计准则及相关规定(以下合称"企业会计准则")、中国证监会颁布的《证券投资基金信息披露XBRL模板第3号&lt;年度报告和半年度报告&gt;》、中国证券投资基金业协会(以下简称"中国基金业协会")颁布的《证券投资基金会计核算业务指引》、《创金合信MSCI中国A股国际指数发起式证券投资基金基金合同》和在财务报表附注7.4.4所列示的中国证监会、中国基金业协会发布的有关规定及允许的基金行业实务操作编制。</w:t>
      </w:r>
    </w:p>
    <w:p>
      <w:pPr>
        <w:pStyle w:val="20"/>
        <w:spacing w:before="0"/>
        <w:ind w:left="0" w:firstLine="480"/>
        <w:rPr>
          <w:rFonts w:hint="eastAsia"/>
        </w:rPr>
      </w:pPr>
      <w:r>
        <w:rPr>
          <w:rFonts w:hint="eastAsia"/>
        </w:rPr>
        <w:t>本财务报表以持续经营为基础编制。</w:t>
      </w:r>
    </w:p>
    <w:p>
      <w:pPr>
        <w:widowControl/>
        <w:jc w:val="left"/>
        <w:rPr>
          <w:rFonts w:hint="eastAsia" w:ascii="宋体" w:hAnsi="宋体" w:cs="宋体"/>
          <w:kern w:val="0"/>
          <w:sz w:val="24"/>
          <w:szCs w:val="24"/>
        </w:rPr>
      </w:pPr>
    </w:p>
    <w:p>
      <w:pPr>
        <w:pStyle w:val="15"/>
        <w:rPr>
          <w:rFonts w:hint="eastAsia"/>
        </w:rPr>
      </w:pPr>
      <w:r>
        <w:rPr>
          <w:rFonts w:hint="eastAsia"/>
          <w:b/>
          <w:bCs/>
        </w:rPr>
        <w:t>7.4.3 遵循企业会计准则及其他有关规定的声明</w:t>
      </w:r>
    </w:p>
    <w:p>
      <w:pPr>
        <w:pStyle w:val="20"/>
        <w:spacing w:before="0"/>
        <w:ind w:left="0" w:firstLine="480"/>
        <w:rPr>
          <w:rFonts w:hint="eastAsia"/>
        </w:rPr>
      </w:pPr>
      <w:r>
        <w:rPr>
          <w:rFonts w:hint="eastAsia"/>
        </w:rPr>
        <w:t>本基金2018年2月7日(基金合同生效日)至2018年12月31日止期间的财务报表符合企业会计准则的要求，真实、完整地反映了本基金2018年12月31日的财务状况以及2018年2月7日(基金合同生效日)至2018年12月31日止期间的经营成果和基金净值变动情况等有关信息。</w:t>
      </w:r>
    </w:p>
    <w:p>
      <w:pPr>
        <w:widowControl/>
        <w:jc w:val="left"/>
        <w:rPr>
          <w:rFonts w:hint="eastAsia" w:ascii="宋体" w:hAnsi="宋体" w:cs="宋体"/>
          <w:kern w:val="0"/>
          <w:sz w:val="24"/>
          <w:szCs w:val="24"/>
        </w:rPr>
      </w:pPr>
    </w:p>
    <w:p>
      <w:pPr>
        <w:pStyle w:val="15"/>
        <w:rPr>
          <w:rFonts w:hint="eastAsia"/>
        </w:rPr>
      </w:pPr>
      <w:r>
        <w:rPr>
          <w:rFonts w:hint="eastAsia"/>
          <w:b/>
          <w:bCs/>
        </w:rPr>
        <w:t>7.4.4 重要会计政策和会计估计</w:t>
      </w:r>
    </w:p>
    <w:p>
      <w:pPr>
        <w:pStyle w:val="15"/>
        <w:rPr>
          <w:rFonts w:hint="eastAsia"/>
        </w:rPr>
      </w:pPr>
      <w:r>
        <w:rPr>
          <w:rFonts w:hint="eastAsia"/>
          <w:b/>
          <w:bCs/>
        </w:rPr>
        <w:t>7.4.4.1 会计年度</w:t>
      </w:r>
    </w:p>
    <w:p>
      <w:pPr>
        <w:pStyle w:val="20"/>
        <w:spacing w:before="0"/>
        <w:ind w:left="0" w:firstLine="480"/>
        <w:rPr>
          <w:rFonts w:hint="eastAsia"/>
        </w:rPr>
      </w:pPr>
      <w:r>
        <w:rPr>
          <w:rFonts w:hint="eastAsia"/>
        </w:rPr>
        <w:t>本基金会计年度为公历1月1日起至12月31日止。本期财务报表的实际编制期间为2018年2月7日（基金合同生效日）至2018年12月31日。</w:t>
      </w:r>
    </w:p>
    <w:p>
      <w:pPr>
        <w:widowControl/>
        <w:jc w:val="left"/>
        <w:rPr>
          <w:rFonts w:hint="eastAsia" w:ascii="宋体" w:hAnsi="宋体" w:cs="宋体"/>
          <w:kern w:val="0"/>
          <w:sz w:val="24"/>
          <w:szCs w:val="24"/>
        </w:rPr>
      </w:pPr>
    </w:p>
    <w:p>
      <w:pPr>
        <w:pStyle w:val="15"/>
        <w:rPr>
          <w:rFonts w:hint="eastAsia"/>
        </w:rPr>
      </w:pPr>
      <w:r>
        <w:rPr>
          <w:rFonts w:hint="eastAsia"/>
          <w:b/>
          <w:bCs/>
        </w:rPr>
        <w:t>7.4.4.2 记账本位币</w:t>
      </w:r>
    </w:p>
    <w:p>
      <w:pPr>
        <w:pStyle w:val="20"/>
        <w:spacing w:before="0"/>
        <w:ind w:left="0" w:firstLine="480"/>
        <w:rPr>
          <w:rFonts w:hint="eastAsia"/>
        </w:rPr>
      </w:pPr>
      <w:r>
        <w:rPr>
          <w:rFonts w:hint="eastAsia"/>
        </w:rPr>
        <w:t>本基金的记账本位币为人民币。</w:t>
      </w:r>
    </w:p>
    <w:p>
      <w:pPr>
        <w:widowControl/>
        <w:jc w:val="left"/>
        <w:rPr>
          <w:rFonts w:hint="eastAsia" w:ascii="宋体" w:hAnsi="宋体" w:cs="宋体"/>
          <w:kern w:val="0"/>
          <w:sz w:val="24"/>
          <w:szCs w:val="24"/>
        </w:rPr>
      </w:pPr>
    </w:p>
    <w:p>
      <w:pPr>
        <w:pStyle w:val="15"/>
        <w:rPr>
          <w:rFonts w:hint="eastAsia"/>
        </w:rPr>
      </w:pPr>
      <w:r>
        <w:rPr>
          <w:rFonts w:hint="eastAsia"/>
          <w:b/>
          <w:bCs/>
        </w:rPr>
        <w:t>7.4.4.3 金融资产和金融负债的分类</w:t>
      </w:r>
    </w:p>
    <w:p>
      <w:pPr>
        <w:pStyle w:val="20"/>
        <w:spacing w:before="0"/>
        <w:ind w:left="0" w:firstLine="480"/>
        <w:rPr>
          <w:rFonts w:hint="eastAsia"/>
        </w:rPr>
      </w:pPr>
      <w:r>
        <w:rPr>
          <w:rFonts w:hint="eastAsia"/>
        </w:rPr>
        <w:t>(1)金融资产的分类</w:t>
      </w:r>
    </w:p>
    <w:p>
      <w:pPr>
        <w:pStyle w:val="20"/>
        <w:spacing w:before="0"/>
        <w:ind w:left="0" w:firstLine="480"/>
        <w:rPr>
          <w:rFonts w:hint="eastAsia"/>
        </w:rPr>
      </w:pPr>
      <w:r>
        <w:rPr>
          <w:rFonts w:hint="eastAsia"/>
        </w:rPr>
        <w:t>金融资产于初始确认时分类为：以公允价值计量且其变动计入当期损益的金融资产、应收款项、可供出售金融资产及持有至到期投资。金融资产的分类取决于本基金对金融资产的持有意图和持有能力。本基金现无金融资产分类为可供出售金融资产及持有至到期投资。</w:t>
      </w:r>
    </w:p>
    <w:p>
      <w:pPr>
        <w:pStyle w:val="20"/>
        <w:spacing w:before="0"/>
        <w:ind w:left="0" w:firstLine="480"/>
        <w:rPr>
          <w:rFonts w:hint="eastAsia"/>
        </w:rPr>
      </w:pPr>
      <w:r>
        <w:rPr>
          <w:rFonts w:hint="eastAsia"/>
        </w:rPr>
        <w:t>本基金目前以交易目的持有的股票投资、债券投资和衍生工具分类为以公允价值计量且其变动计入当期损益的金融资产。除衍生工具所产生的金融资产在资产负债表中以衍生金融资产列示外，以公允价值计量且其变动计入当期损益的金融资产在资产负债表中以交易性金融资产列示。</w:t>
      </w:r>
    </w:p>
    <w:p>
      <w:pPr>
        <w:pStyle w:val="20"/>
        <w:spacing w:before="0"/>
        <w:ind w:left="0" w:firstLine="480"/>
        <w:rPr>
          <w:rFonts w:hint="eastAsia"/>
        </w:rPr>
      </w:pPr>
      <w:r>
        <w:rPr>
          <w:rFonts w:hint="eastAsia"/>
        </w:rPr>
        <w:t>本基金持有的其他金融资产分类为应收款项，包括银行存款和其他各类应收款项等。应收款项是指在活跃市场中没有报价、回收金额固定或可确定的非衍生金融资产。</w:t>
      </w:r>
    </w:p>
    <w:p>
      <w:pPr>
        <w:pStyle w:val="20"/>
        <w:spacing w:before="0"/>
        <w:ind w:left="0" w:firstLine="480"/>
        <w:rPr>
          <w:rFonts w:hint="eastAsia"/>
        </w:rPr>
      </w:pPr>
      <w:r>
        <w:rPr>
          <w:rFonts w:hint="eastAsia"/>
        </w:rPr>
        <w:t>(2)金融负债的分类</w:t>
      </w:r>
    </w:p>
    <w:p>
      <w:pPr>
        <w:pStyle w:val="20"/>
        <w:spacing w:before="0"/>
        <w:ind w:left="0" w:firstLine="480"/>
        <w:rPr>
          <w:rFonts w:hint="eastAsia"/>
        </w:rPr>
      </w:pPr>
      <w:r>
        <w:rPr>
          <w:rFonts w:hint="eastAsia"/>
        </w:rPr>
        <w:t>金融负债于初始确认时分类为：以公允价值计量且其变动计入当期损益的金融负债及其他金融负债。本基金目前暂无金融负债分类为以公允价值计量且其变动计入当期损益的金融负债。本基金持有的其他金融负债包括其他各类应付款项等。</w:t>
      </w:r>
    </w:p>
    <w:p>
      <w:pPr>
        <w:widowControl/>
        <w:jc w:val="left"/>
        <w:rPr>
          <w:rFonts w:hint="eastAsia" w:ascii="宋体" w:hAnsi="宋体" w:cs="宋体"/>
          <w:kern w:val="0"/>
          <w:sz w:val="24"/>
          <w:szCs w:val="24"/>
        </w:rPr>
      </w:pPr>
    </w:p>
    <w:p>
      <w:pPr>
        <w:pStyle w:val="15"/>
        <w:rPr>
          <w:rFonts w:hint="eastAsia"/>
        </w:rPr>
      </w:pPr>
      <w:r>
        <w:rPr>
          <w:rFonts w:hint="eastAsia"/>
          <w:b/>
          <w:bCs/>
        </w:rPr>
        <w:t>7.4.4.4 金融资产和金融负债的初始确认、后续计量和终止确认</w:t>
      </w:r>
    </w:p>
    <w:p>
      <w:pPr>
        <w:pStyle w:val="20"/>
        <w:spacing w:before="0"/>
        <w:ind w:left="0" w:firstLine="480"/>
        <w:rPr>
          <w:rFonts w:hint="eastAsia"/>
        </w:rPr>
      </w:pPr>
      <w:r>
        <w:rPr>
          <w:rFonts w:hint="eastAsia"/>
        </w:rPr>
        <w:t>金融资产或金融负债于本基金成为金融工具合同的一方时，按公允价值在资产负债表内确认。以公允价值计量且其变动计入当期损益的金融资产，取得时发生的相关交易费用计入当期损益；对于支付的价款中包含的债券起息日或上次除息日至购买日止的利息，单独确认为应收项目。应收款项和其他金融负债的相关交易费用计入初始确认金额。</w:t>
      </w:r>
    </w:p>
    <w:p>
      <w:pPr>
        <w:pStyle w:val="20"/>
        <w:spacing w:before="0"/>
        <w:ind w:left="0" w:firstLine="480"/>
        <w:rPr>
          <w:rFonts w:hint="eastAsia"/>
        </w:rPr>
      </w:pPr>
      <w:r>
        <w:rPr>
          <w:rFonts w:hint="eastAsia"/>
        </w:rPr>
        <w:t>对于以公允价值计量且其变动计入当期损益的金融资产，按照公允价值进行后续计量；对于应收款项和其他金融负债采用实际利率法，以摊余成本进行后续计量。</w:t>
      </w:r>
    </w:p>
    <w:p>
      <w:pPr>
        <w:pStyle w:val="20"/>
        <w:spacing w:before="0"/>
        <w:ind w:left="0" w:firstLine="480"/>
        <w:rPr>
          <w:rFonts w:hint="eastAsia"/>
        </w:rPr>
      </w:pPr>
      <w:r>
        <w:rPr>
          <w:rFonts w:hint="eastAsia"/>
        </w:rPr>
        <w:t>金融资产满足下列条件之一的，予以终止确认：(1) 收取该金融资产现金流量的合同权利终止；(2) 该金融资产已转移，且本基金将金融资产所有权上几乎所有的风险和报酬转移给转入方；或者(3) 该金融资产已转移，虽然本基金既没有转移也没有保留金融资产所有权上几乎所有的风险和报酬，但是放弃了对该金融资产控制。</w:t>
      </w:r>
    </w:p>
    <w:p>
      <w:pPr>
        <w:pStyle w:val="20"/>
        <w:spacing w:before="0"/>
        <w:ind w:left="0" w:firstLine="480"/>
        <w:rPr>
          <w:rFonts w:hint="eastAsia"/>
        </w:rPr>
      </w:pPr>
      <w:r>
        <w:rPr>
          <w:rFonts w:hint="eastAsia"/>
        </w:rPr>
        <w:t>金融资产终止确认时，其账面价值与收到的对价的差额，计入当期损益。</w:t>
      </w:r>
    </w:p>
    <w:p>
      <w:pPr>
        <w:pStyle w:val="20"/>
        <w:spacing w:before="0"/>
        <w:ind w:left="0" w:firstLine="480"/>
        <w:rPr>
          <w:rFonts w:hint="eastAsia"/>
        </w:rPr>
      </w:pPr>
      <w:r>
        <w:rPr>
          <w:rFonts w:hint="eastAsia"/>
        </w:rPr>
        <w:t>当金融负债的现时义务全部或部分已经解除时，终止确认该金融负债或义务已解除的部分。终止确认部分的账面价值与支付的对价之间的差额，计入当期损益。</w:t>
      </w:r>
    </w:p>
    <w:p>
      <w:pPr>
        <w:widowControl/>
        <w:jc w:val="left"/>
        <w:rPr>
          <w:rFonts w:hint="eastAsia" w:ascii="宋体" w:hAnsi="宋体" w:cs="宋体"/>
          <w:kern w:val="0"/>
          <w:sz w:val="24"/>
          <w:szCs w:val="24"/>
        </w:rPr>
      </w:pPr>
    </w:p>
    <w:p>
      <w:pPr>
        <w:pStyle w:val="15"/>
        <w:rPr>
          <w:rFonts w:hint="eastAsia"/>
        </w:rPr>
      </w:pPr>
      <w:r>
        <w:rPr>
          <w:rFonts w:hint="eastAsia"/>
          <w:b/>
          <w:bCs/>
        </w:rPr>
        <w:t>7.4.4.5 金融资产和金融负债的估值原则</w:t>
      </w:r>
    </w:p>
    <w:p>
      <w:pPr>
        <w:pStyle w:val="20"/>
        <w:spacing w:before="0"/>
        <w:ind w:left="0" w:firstLine="480"/>
        <w:rPr>
          <w:rFonts w:hint="eastAsia"/>
        </w:rPr>
      </w:pPr>
      <w:r>
        <w:rPr>
          <w:rFonts w:hint="eastAsia"/>
        </w:rPr>
        <w:t>本基金持有的股票投资、债券投资和衍生工具按如下原则确定公允价值并进行估值：</w:t>
      </w:r>
    </w:p>
    <w:p>
      <w:pPr>
        <w:pStyle w:val="20"/>
        <w:spacing w:before="0"/>
        <w:ind w:left="0" w:firstLine="480"/>
        <w:rPr>
          <w:rFonts w:hint="eastAsia"/>
        </w:rPr>
      </w:pPr>
      <w:r>
        <w:rPr>
          <w:rFonts w:hint="eastAsia"/>
        </w:rPr>
        <w:t>(1) 存在活跃市场的金融工具按其估值日的市场交易价格确定公允价值；估值日无交易且最近交易日后未发生影响公允价值计量的重大事件的，按最近交易日的市场交易价格确定公允价值。有充足证据表明估值日或最近交易日的市场交易价格不能真实反映公允价值的，应对市场交易价格进行调整，确定公允价值。与上述投资品种相同，但具有不同特征的，应以相同资产或负债的公允价值为基础，并在估值技术中考虑不同特征因素的影响。特征是指对资产出售或使用的限制等，如果该限制是针对资产持有者的，那么在估值技术中不应将该限制作为特征考虑。此外，基金管理人不应考虑因大量持有相关资产或负债所产生的溢价或折价。</w:t>
      </w:r>
    </w:p>
    <w:p>
      <w:pPr>
        <w:pStyle w:val="20"/>
        <w:spacing w:before="0"/>
        <w:ind w:left="0" w:firstLine="480"/>
        <w:rPr>
          <w:rFonts w:hint="eastAsia"/>
        </w:rPr>
      </w:pPr>
      <w:r>
        <w:rPr>
          <w:rFonts w:hint="eastAsia"/>
        </w:rPr>
        <w:t>(2) 当金融工具不存在活跃市场，采用在当前情况下适用并且有足够可利用数据和其他信息支持的估值技术确定公允价值。采用估值技术时，优先使用可观察输入值，只有在无法取得相关资产或负债可观察输入值或取得不切实可行的情况下，才可以使用不可观察输入值。</w:t>
      </w:r>
    </w:p>
    <w:p>
      <w:pPr>
        <w:pStyle w:val="20"/>
        <w:spacing w:before="0"/>
        <w:ind w:left="0" w:firstLine="480"/>
        <w:rPr>
          <w:rFonts w:hint="eastAsia"/>
        </w:rPr>
      </w:pPr>
      <w:r>
        <w:rPr>
          <w:rFonts w:hint="eastAsia"/>
        </w:rPr>
        <w:t>(3) 如经济环境发生重大变化或证券发行人发生影响金融工具价格的重大事件，应对估值进行调整并确定公允价值。</w:t>
      </w:r>
    </w:p>
    <w:p>
      <w:pPr>
        <w:widowControl/>
        <w:jc w:val="left"/>
        <w:rPr>
          <w:rFonts w:hint="eastAsia" w:ascii="宋体" w:hAnsi="宋体" w:cs="宋体"/>
          <w:kern w:val="0"/>
          <w:sz w:val="24"/>
          <w:szCs w:val="24"/>
        </w:rPr>
      </w:pPr>
    </w:p>
    <w:p>
      <w:pPr>
        <w:pStyle w:val="15"/>
        <w:rPr>
          <w:rFonts w:hint="eastAsia"/>
        </w:rPr>
      </w:pPr>
      <w:r>
        <w:rPr>
          <w:rFonts w:hint="eastAsia"/>
          <w:b/>
          <w:bCs/>
        </w:rPr>
        <w:t>7.4.4.6 金融资产和金融负债的抵销</w:t>
      </w:r>
    </w:p>
    <w:p>
      <w:pPr>
        <w:pStyle w:val="20"/>
        <w:spacing w:before="0"/>
        <w:ind w:left="0" w:firstLine="480"/>
        <w:rPr>
          <w:rFonts w:hint="eastAsia"/>
        </w:rPr>
      </w:pPr>
      <w:r>
        <w:rPr>
          <w:rFonts w:hint="eastAsia"/>
        </w:rPr>
        <w:t>本基金持有的资产和承担的负债基本为金融资产和金融负债。当本基金1) 具有抵销已确认金额的法定权利且该种法定权利现在是可执行的；且2) 交易双方准备按净额结算时，金融资产与金融负债按抵销后的净额在资产负债表中列示。</w:t>
      </w:r>
    </w:p>
    <w:p>
      <w:pPr>
        <w:widowControl/>
        <w:jc w:val="left"/>
        <w:rPr>
          <w:rFonts w:hint="eastAsia" w:ascii="宋体" w:hAnsi="宋体" w:cs="宋体"/>
          <w:kern w:val="0"/>
          <w:sz w:val="24"/>
          <w:szCs w:val="24"/>
        </w:rPr>
      </w:pPr>
    </w:p>
    <w:p>
      <w:pPr>
        <w:pStyle w:val="15"/>
        <w:rPr>
          <w:rFonts w:hint="eastAsia"/>
        </w:rPr>
      </w:pPr>
      <w:r>
        <w:rPr>
          <w:rFonts w:hint="eastAsia"/>
          <w:b/>
          <w:bCs/>
        </w:rPr>
        <w:t>7.4.4.7 实收基金</w:t>
      </w:r>
    </w:p>
    <w:p>
      <w:pPr>
        <w:pStyle w:val="20"/>
        <w:spacing w:before="0"/>
        <w:ind w:left="0" w:firstLine="480"/>
        <w:rPr>
          <w:rFonts w:hint="eastAsia"/>
        </w:rPr>
      </w:pPr>
      <w:r>
        <w:rPr>
          <w:rFonts w:hint="eastAsia"/>
        </w:rPr>
        <w:t>实收基金为对外发行基金份额所募集的总金额在扣除损益平准金分摊部分后的余额。由于申购和赎回引起的实收基金变动分别于基金申购确认日及基金赎回确认日认列。上述申购和赎回分别包括基金转换所引起的转入基金的实收基金增加和转出基金的实收基金减少。</w:t>
      </w:r>
    </w:p>
    <w:p>
      <w:pPr>
        <w:widowControl/>
        <w:jc w:val="left"/>
        <w:rPr>
          <w:rFonts w:hint="eastAsia" w:ascii="宋体" w:hAnsi="宋体" w:cs="宋体"/>
          <w:kern w:val="0"/>
          <w:sz w:val="24"/>
          <w:szCs w:val="24"/>
        </w:rPr>
      </w:pPr>
    </w:p>
    <w:p>
      <w:pPr>
        <w:pStyle w:val="15"/>
        <w:rPr>
          <w:rFonts w:hint="eastAsia"/>
        </w:rPr>
      </w:pPr>
      <w:r>
        <w:rPr>
          <w:rFonts w:hint="eastAsia"/>
          <w:b/>
          <w:bCs/>
        </w:rPr>
        <w:t>7.4.4.8 损益平准金</w:t>
      </w:r>
    </w:p>
    <w:p>
      <w:pPr>
        <w:pStyle w:val="20"/>
        <w:spacing w:before="0"/>
        <w:ind w:left="0" w:firstLine="480"/>
        <w:rPr>
          <w:rFonts w:hint="eastAsia"/>
        </w:rPr>
      </w:pPr>
      <w:r>
        <w:rPr>
          <w:rFonts w:hint="eastAsia"/>
        </w:rPr>
        <w:t>损益平准金包括已实现平准金和未实现平准金。已实现平准金指在申购或赎回基金份额时，申购或赎回款项中包含的按累计未分配的已实现损益占基金净值比例计算的金额。未实现平准金指在申购或赎回基金份额时，申购或赎回款项中包含的按累计未实现损益占基金净值比例计算的金额。损益平准金于基金申购确认日或基金赎回确认日认列，并于期末全额转入未分配利润/(累计亏损)。</w:t>
      </w:r>
    </w:p>
    <w:p>
      <w:pPr>
        <w:widowControl/>
        <w:jc w:val="left"/>
        <w:rPr>
          <w:rFonts w:hint="eastAsia" w:ascii="宋体" w:hAnsi="宋体" w:cs="宋体"/>
          <w:kern w:val="0"/>
          <w:sz w:val="24"/>
          <w:szCs w:val="24"/>
        </w:rPr>
      </w:pPr>
    </w:p>
    <w:p>
      <w:pPr>
        <w:pStyle w:val="15"/>
        <w:rPr>
          <w:rFonts w:hint="eastAsia"/>
        </w:rPr>
      </w:pPr>
      <w:r>
        <w:rPr>
          <w:rFonts w:hint="eastAsia"/>
          <w:b/>
          <w:bCs/>
        </w:rPr>
        <w:t>7.4.4.9 收入/（损失）的确认和计量</w:t>
      </w:r>
    </w:p>
    <w:p>
      <w:pPr>
        <w:pStyle w:val="20"/>
        <w:spacing w:before="0"/>
        <w:ind w:left="0" w:firstLine="480"/>
        <w:rPr>
          <w:rFonts w:hint="eastAsia"/>
        </w:rPr>
      </w:pPr>
      <w:r>
        <w:rPr>
          <w:rFonts w:hint="eastAsia"/>
        </w:rPr>
        <w:t>股票投资在持有期间应取得的现金股利扣除由上市公司代扣代缴的个人所得税后的净额确认为投资收益。债券投资在持有期间应取得的按票面利率或者发行价计算的利息扣除在适用情况下由债券发行企业代扣代缴的个人所得税及由基金管理人缴纳的增值税后的净额确认为利息收入。</w:t>
      </w:r>
    </w:p>
    <w:p>
      <w:pPr>
        <w:pStyle w:val="20"/>
        <w:spacing w:before="0"/>
        <w:ind w:left="0" w:firstLine="480"/>
        <w:rPr>
          <w:rFonts w:hint="eastAsia"/>
        </w:rPr>
      </w:pPr>
      <w:r>
        <w:rPr>
          <w:rFonts w:hint="eastAsia"/>
        </w:rPr>
        <w:t>以公允价值计量且其变动计入当期损益的金融资产在持有期间的公允价值变动确认为公允价值变动损益；于处置时，其处置价格与初始确认金额之间的差额确认为投资收益，其中包括从公允价值变动损益结转的公允价值累计变动额。</w:t>
      </w:r>
    </w:p>
    <w:p>
      <w:pPr>
        <w:pStyle w:val="20"/>
        <w:spacing w:before="0"/>
        <w:ind w:left="0" w:firstLine="480"/>
        <w:rPr>
          <w:rFonts w:hint="eastAsia"/>
        </w:rPr>
      </w:pPr>
      <w:r>
        <w:rPr>
          <w:rFonts w:hint="eastAsia"/>
        </w:rPr>
        <w:t>应收款项在持有期间确认的利息收入按实际利率法计算，实际利率法与直线法差异较小的则按直线法计算。</w:t>
      </w:r>
    </w:p>
    <w:p>
      <w:pPr>
        <w:widowControl/>
        <w:jc w:val="left"/>
        <w:rPr>
          <w:rFonts w:hint="eastAsia" w:ascii="宋体" w:hAnsi="宋体" w:cs="宋体"/>
          <w:kern w:val="0"/>
          <w:sz w:val="24"/>
          <w:szCs w:val="24"/>
        </w:rPr>
      </w:pPr>
    </w:p>
    <w:p>
      <w:pPr>
        <w:pStyle w:val="15"/>
        <w:rPr>
          <w:rFonts w:hint="eastAsia"/>
        </w:rPr>
      </w:pPr>
      <w:r>
        <w:rPr>
          <w:rFonts w:hint="eastAsia"/>
          <w:b/>
          <w:bCs/>
        </w:rPr>
        <w:t>7.4.4.10 费用的确认和计量</w:t>
      </w:r>
    </w:p>
    <w:p>
      <w:pPr>
        <w:pStyle w:val="20"/>
        <w:spacing w:before="0"/>
        <w:ind w:left="0" w:firstLine="480"/>
        <w:rPr>
          <w:rFonts w:hint="eastAsia"/>
        </w:rPr>
      </w:pPr>
      <w:r>
        <w:rPr>
          <w:rFonts w:hint="eastAsia"/>
        </w:rPr>
        <w:t>本基金的管理人报酬、托管费和销售服务费在费用涵盖期间按基金合同约定的费率和计算方法逐日确认。</w:t>
      </w:r>
    </w:p>
    <w:p>
      <w:pPr>
        <w:pStyle w:val="20"/>
        <w:spacing w:before="0"/>
        <w:ind w:left="0" w:firstLine="480"/>
        <w:rPr>
          <w:rFonts w:hint="eastAsia"/>
        </w:rPr>
      </w:pPr>
      <w:r>
        <w:rPr>
          <w:rFonts w:hint="eastAsia"/>
        </w:rPr>
        <w:t>其他金融负债在持有期间确认的利息支出按实际利率法计算，实际利率法与直线法差异较小的则按直线法计算。</w:t>
      </w:r>
    </w:p>
    <w:p>
      <w:pPr>
        <w:widowControl/>
        <w:jc w:val="left"/>
        <w:rPr>
          <w:rFonts w:hint="eastAsia" w:ascii="宋体" w:hAnsi="宋体" w:cs="宋体"/>
          <w:kern w:val="0"/>
          <w:sz w:val="24"/>
          <w:szCs w:val="24"/>
        </w:rPr>
      </w:pPr>
    </w:p>
    <w:p>
      <w:pPr>
        <w:pStyle w:val="15"/>
        <w:rPr>
          <w:rFonts w:hint="eastAsia"/>
        </w:rPr>
      </w:pPr>
      <w:r>
        <w:rPr>
          <w:rFonts w:hint="eastAsia"/>
          <w:b/>
          <w:bCs/>
        </w:rPr>
        <w:t>7.4.4.11 基金的收益分配政策</w:t>
      </w:r>
    </w:p>
    <w:p>
      <w:pPr>
        <w:pStyle w:val="20"/>
        <w:spacing w:before="0"/>
        <w:ind w:left="0" w:firstLine="480"/>
        <w:rPr>
          <w:rFonts w:hint="eastAsia"/>
        </w:rPr>
      </w:pPr>
      <w:r>
        <w:rPr>
          <w:rFonts w:hint="eastAsia"/>
        </w:rPr>
        <w:t>本基金的收益分配政策为：(1) 在符合有关基金分红条件的前提下，本基金每年收益分配次数最多为12次，每份基金份额每次收益分配比例不得低于收益分配基准日每份基金份额该次可供分配利润的10%，若《基金合同》生效不满3个月可不进行收益分配；(2) 本基金收益分配方式分两种：现金分红与红利再投资，投资者可选择现金红利或将现金红利自动转为基金份额进行再投资；若投资者不选择，本基金默认的收益分配方式是现金分红；(3) 基金收益分配后基金份额净值不能低于面值，即基金收益分配基准日的基金份额净值减去每单位基金份额收益分配金额后不能低于面值；(4) 同一类别的每一基金份额享有同等分配权。由于本基金A类基金份额与C类基金份额的基金费用不同，不同类别的基金份额对应的可供分配利润或将不同；(5) 在对基金份额持有人利益无实质不利影响的前提下，基金管理人与基金托管人协商一致后，可调整基金收益的分配原则和支付方式，不需召开基金份额持有人大会审议；(6) 法律法规或监管机关另有规定的，从其规定。</w:t>
      </w:r>
    </w:p>
    <w:p>
      <w:pPr>
        <w:widowControl/>
        <w:jc w:val="left"/>
        <w:rPr>
          <w:rFonts w:hint="eastAsia" w:ascii="宋体" w:hAnsi="宋体" w:cs="宋体"/>
          <w:kern w:val="0"/>
          <w:sz w:val="24"/>
          <w:szCs w:val="24"/>
        </w:rPr>
      </w:pPr>
    </w:p>
    <w:p>
      <w:pPr>
        <w:pStyle w:val="15"/>
        <w:rPr>
          <w:rFonts w:hint="eastAsia"/>
        </w:rPr>
      </w:pPr>
      <w:r>
        <w:rPr>
          <w:rFonts w:hint="eastAsia"/>
          <w:b/>
          <w:bCs/>
        </w:rPr>
        <w:t>7.4.4.12 分部报告</w:t>
      </w:r>
    </w:p>
    <w:p>
      <w:pPr>
        <w:pStyle w:val="20"/>
        <w:spacing w:before="0"/>
        <w:ind w:left="0" w:firstLine="480"/>
        <w:rPr>
          <w:rFonts w:hint="eastAsia"/>
        </w:rPr>
      </w:pPr>
      <w:r>
        <w:rPr>
          <w:rFonts w:hint="eastAsia"/>
        </w:rPr>
        <w:t>本基金以内部组织结构、管理要求、内部报告制度为依据确定经营分部，以经营分部为基础确定报告分部并披露分部信息。经营分部是指本基金内同时满足下列条件的组成部分：(1) 该组成部分能够在日常活动中产生收入、发生费用；(2) 本基金的基金管理人能够定期评价该组成部分的经营成果，以决定向其配置资源、评价其业绩；(3) 本基金能够取得该组成部分的财务状况、经营成果和现金流量等有关会计信息。如果两个或多个经营分部具有相似的经济特征，并且满足一定条件的，则合并为一个经营分部。</w:t>
      </w:r>
    </w:p>
    <w:p>
      <w:pPr>
        <w:pStyle w:val="20"/>
        <w:spacing w:before="0"/>
        <w:ind w:left="0" w:firstLine="480"/>
        <w:rPr>
          <w:rFonts w:hint="eastAsia"/>
        </w:rPr>
      </w:pPr>
      <w:r>
        <w:rPr>
          <w:rFonts w:hint="eastAsia"/>
        </w:rPr>
        <w:t>本基金目前以一个单一的经营分部运作，不需要披露分部信息。</w:t>
      </w:r>
    </w:p>
    <w:p>
      <w:pPr>
        <w:widowControl/>
        <w:jc w:val="left"/>
        <w:rPr>
          <w:rFonts w:hint="eastAsia" w:ascii="宋体" w:hAnsi="宋体" w:cs="宋体"/>
          <w:kern w:val="0"/>
          <w:sz w:val="24"/>
          <w:szCs w:val="24"/>
        </w:rPr>
      </w:pPr>
    </w:p>
    <w:p>
      <w:pPr>
        <w:pStyle w:val="15"/>
        <w:rPr>
          <w:rFonts w:hint="eastAsia"/>
        </w:rPr>
      </w:pPr>
      <w:r>
        <w:rPr>
          <w:rFonts w:hint="eastAsia"/>
          <w:b/>
          <w:bCs/>
        </w:rPr>
        <w:t>7.4.4.13 其他重要的会计政策和会计估计</w:t>
      </w:r>
    </w:p>
    <w:p>
      <w:pPr>
        <w:pStyle w:val="20"/>
        <w:spacing w:before="0"/>
        <w:ind w:left="0" w:firstLine="480"/>
        <w:rPr>
          <w:rFonts w:hint="eastAsia"/>
        </w:rPr>
      </w:pPr>
      <w:r>
        <w:rPr>
          <w:rFonts w:hint="eastAsia"/>
        </w:rPr>
        <w:t>根据本基金的估值原则和中国证监会允许的基金行业估值实务操作，本基金确定以下类别股票投资和债券投资的公允价值时采用的估值方法及其关键假设如下：</w:t>
      </w:r>
    </w:p>
    <w:p>
      <w:pPr>
        <w:pStyle w:val="20"/>
        <w:spacing w:before="0"/>
        <w:ind w:left="0" w:firstLine="480"/>
        <w:rPr>
          <w:rFonts w:hint="eastAsia"/>
        </w:rPr>
      </w:pPr>
      <w:r>
        <w:rPr>
          <w:rFonts w:hint="eastAsia"/>
        </w:rPr>
        <w:t>(1)对于证券交易所上市的股票和债券，若出现重大事项停牌或交易不活跃(包括涨跌停时的交易不活跃)等情况，本基金根据中国证监会公告[2017]13号《中国证监会关于证券投资基金估值业务的指导意见》，根据具体情况采用《关于发布中基协(AMAC)基金行业股票估值指数的通知》提供的指数收益法等估值技术进行估值。</w:t>
      </w:r>
    </w:p>
    <w:p>
      <w:pPr>
        <w:pStyle w:val="20"/>
        <w:spacing w:before="0"/>
        <w:ind w:left="0" w:firstLine="480"/>
        <w:rPr>
          <w:rFonts w:hint="eastAsia"/>
        </w:rPr>
      </w:pPr>
      <w:r>
        <w:rPr>
          <w:rFonts w:hint="eastAsia"/>
        </w:rPr>
        <w:t>(2)对于在证券交易所上市或挂牌转让的固定收益品种(可转换债券、资产支持证券和私募债券除外)及在银行间同业市场交易的固定收益品种，根据中国证监会公告[2017]13号《中国证监会关于证券投资基金估值业务的指导意见》及《中国证券投资基金业协会估值核算工作小组关于2015年1季度固定收益品种的估值处理标准》采用估值技术确定公允价值。本基金持有的证券交易所上市或挂牌转让的固定收益品种(可转换债券、资产支持证券和私募债券除外)，按照中证指数有限公司所独立提供的估值结果确定公允价值。本基金持有的银行间同业市场固定收益品种按照中债金融估值中心有限公司所独立提供的估值结果确定公允价值。</w:t>
      </w:r>
    </w:p>
    <w:p>
      <w:pPr>
        <w:widowControl/>
        <w:jc w:val="left"/>
        <w:rPr>
          <w:rFonts w:hint="eastAsia" w:ascii="宋体" w:hAnsi="宋体" w:cs="宋体"/>
          <w:kern w:val="0"/>
          <w:sz w:val="24"/>
          <w:szCs w:val="24"/>
        </w:rPr>
      </w:pPr>
    </w:p>
    <w:p>
      <w:pPr>
        <w:pStyle w:val="15"/>
        <w:rPr>
          <w:rFonts w:hint="eastAsia"/>
        </w:rPr>
      </w:pPr>
      <w:r>
        <w:rPr>
          <w:rFonts w:hint="eastAsia"/>
          <w:b/>
          <w:bCs/>
        </w:rPr>
        <w:t>7.4.5 会计政策和会计估计变更以及差错更正的说明</w:t>
      </w:r>
    </w:p>
    <w:p>
      <w:pPr>
        <w:pStyle w:val="15"/>
        <w:rPr>
          <w:rFonts w:hint="eastAsia"/>
        </w:rPr>
      </w:pPr>
      <w:r>
        <w:rPr>
          <w:rFonts w:hint="eastAsia"/>
          <w:b/>
          <w:bCs/>
        </w:rPr>
        <w:t>7.4.5.1 会计政策变更的说明</w:t>
      </w:r>
    </w:p>
    <w:p>
      <w:pPr>
        <w:pStyle w:val="20"/>
        <w:spacing w:before="0"/>
        <w:ind w:left="0" w:firstLine="480"/>
        <w:rPr>
          <w:rFonts w:hint="eastAsia"/>
        </w:rPr>
      </w:pPr>
      <w:r>
        <w:rPr>
          <w:rFonts w:hint="eastAsia"/>
        </w:rPr>
        <w:t>本基金本报告期未发生会计政策变更。</w:t>
      </w:r>
    </w:p>
    <w:p>
      <w:pPr>
        <w:widowControl/>
        <w:jc w:val="left"/>
        <w:rPr>
          <w:rFonts w:hint="eastAsia" w:ascii="宋体" w:hAnsi="宋体" w:cs="宋体"/>
          <w:kern w:val="0"/>
          <w:sz w:val="24"/>
          <w:szCs w:val="24"/>
        </w:rPr>
      </w:pPr>
    </w:p>
    <w:p>
      <w:pPr>
        <w:pStyle w:val="15"/>
        <w:rPr>
          <w:rFonts w:hint="eastAsia"/>
        </w:rPr>
      </w:pPr>
      <w:r>
        <w:rPr>
          <w:rFonts w:hint="eastAsia"/>
          <w:b/>
          <w:bCs/>
        </w:rPr>
        <w:t>7.4.5.2 会计估计变更的说明</w:t>
      </w:r>
    </w:p>
    <w:p>
      <w:pPr>
        <w:pStyle w:val="20"/>
        <w:spacing w:before="0"/>
        <w:ind w:left="0" w:firstLine="480"/>
        <w:rPr>
          <w:rFonts w:hint="eastAsia"/>
        </w:rPr>
      </w:pPr>
      <w:r>
        <w:rPr>
          <w:rFonts w:hint="eastAsia"/>
        </w:rPr>
        <w:t>本基金本报告期未发生会计估计变更。</w:t>
      </w:r>
    </w:p>
    <w:p>
      <w:pPr>
        <w:widowControl/>
        <w:jc w:val="left"/>
        <w:rPr>
          <w:rFonts w:hint="eastAsia" w:ascii="宋体" w:hAnsi="宋体" w:cs="宋体"/>
          <w:kern w:val="0"/>
          <w:sz w:val="24"/>
          <w:szCs w:val="24"/>
        </w:rPr>
      </w:pPr>
    </w:p>
    <w:p>
      <w:pPr>
        <w:pStyle w:val="15"/>
        <w:rPr>
          <w:rFonts w:hint="eastAsia"/>
        </w:rPr>
      </w:pPr>
      <w:r>
        <w:rPr>
          <w:rFonts w:hint="eastAsia"/>
          <w:b/>
          <w:bCs/>
        </w:rPr>
        <w:t>7.4.5.3 差错更正的说明</w:t>
      </w:r>
    </w:p>
    <w:p>
      <w:pPr>
        <w:pStyle w:val="20"/>
        <w:spacing w:before="0"/>
        <w:ind w:left="0" w:firstLine="480"/>
        <w:rPr>
          <w:rFonts w:hint="eastAsia"/>
        </w:rPr>
      </w:pPr>
      <w:r>
        <w:rPr>
          <w:rFonts w:hint="eastAsia"/>
        </w:rPr>
        <w:t>本基金在本报告期间无须说明的会计差错更正。</w:t>
      </w:r>
    </w:p>
    <w:p>
      <w:pPr>
        <w:widowControl/>
        <w:jc w:val="left"/>
        <w:rPr>
          <w:rFonts w:hint="eastAsia" w:ascii="宋体" w:hAnsi="宋体" w:cs="宋体"/>
          <w:kern w:val="0"/>
          <w:sz w:val="24"/>
          <w:szCs w:val="24"/>
        </w:rPr>
      </w:pPr>
    </w:p>
    <w:p>
      <w:pPr>
        <w:pStyle w:val="15"/>
        <w:rPr>
          <w:rFonts w:hint="eastAsia"/>
        </w:rPr>
      </w:pPr>
      <w:r>
        <w:rPr>
          <w:rFonts w:hint="eastAsia"/>
          <w:b/>
          <w:bCs/>
        </w:rPr>
        <w:t>7.4.6 税项</w:t>
      </w:r>
    </w:p>
    <w:p>
      <w:pPr>
        <w:pStyle w:val="20"/>
        <w:spacing w:before="0"/>
        <w:ind w:left="0" w:firstLine="480"/>
        <w:rPr>
          <w:rFonts w:hint="eastAsia"/>
        </w:rPr>
      </w:pPr>
      <w:r>
        <w:rPr>
          <w:rFonts w:hint="eastAsia"/>
        </w:rPr>
        <w:t>根据财政部、国家税务总局财税[2008]1号《关于企业所得税若干优惠政策的通知》、财税[2012]85号《关于实施上市公司股息红利差别化个人所得税政策有关问题的通知》、财税[2015]101号《关于上市公司股息红利差别化个人所得税政策有关问题的通知》、财税[2016]36号《关于全面推开营业税改征增值税试点的通知》、财税[2016]46号《关于进一步明确全面推开营改增试点金融业有关政策的通知》、财税[2016]70号《关于金融机构同业往来等增值税政策的补充通知》、财税[2016]140号《关于明确金融 房地产开发 教育辅助服务等增值税政策的通知》、财税[2017]2号《关于资管产品增值税政策有关问题的补充通知》、财税[2017]56号《关于资管产品增值税有关问题的通知》、财税[2017]90号《关于租入固定资产进项税额抵扣等增值税政策的通知》及其他相关财税法规和实务操作，主要税项列示如下：</w:t>
      </w:r>
    </w:p>
    <w:p>
      <w:pPr>
        <w:pStyle w:val="20"/>
        <w:spacing w:before="0"/>
        <w:ind w:left="0" w:firstLine="480"/>
        <w:rPr>
          <w:rFonts w:hint="eastAsia"/>
        </w:rPr>
      </w:pPr>
      <w:r>
        <w:rPr>
          <w:rFonts w:hint="eastAsia"/>
        </w:rPr>
        <w:t>(1) 资管产品运营过程中发生的增值税应税行为，以资管产品管理人为增值税纳税人。资管产品管理人运营资管产品过程中发生的增值税应税行为，暂适用简易计税方法，按照3%的征收率缴纳增值税。</w:t>
      </w:r>
    </w:p>
    <w:p>
      <w:pPr>
        <w:pStyle w:val="20"/>
        <w:spacing w:before="0"/>
        <w:ind w:left="0" w:firstLine="480"/>
        <w:rPr>
          <w:rFonts w:hint="eastAsia"/>
        </w:rPr>
      </w:pPr>
      <w:r>
        <w:rPr>
          <w:rFonts w:hint="eastAsia"/>
        </w:rPr>
        <w:t>对证券投资基金管理人运用基金买卖股票、债券的转让收入免征增值税，对国债、地方政府债以及金融同业往来利息收入亦免征增值税。资管产品管理人运营资管产品提供的贷款服务，以产生的利息及利息性质的收入为销售额。</w:t>
      </w:r>
    </w:p>
    <w:p>
      <w:pPr>
        <w:pStyle w:val="20"/>
        <w:spacing w:before="0"/>
        <w:ind w:left="0" w:firstLine="480"/>
        <w:rPr>
          <w:rFonts w:hint="eastAsia"/>
        </w:rPr>
      </w:pPr>
      <w:r>
        <w:rPr>
          <w:rFonts w:hint="eastAsia"/>
        </w:rPr>
        <w:t>(2) 对基金从证券市场中取得的收入，包括买卖股票、债券的差价收入，股票的股息、红利收入，债券的利息收入及其他收入，暂不征收企业所得税。</w:t>
      </w:r>
    </w:p>
    <w:p>
      <w:pPr>
        <w:pStyle w:val="20"/>
        <w:spacing w:before="0"/>
        <w:ind w:left="0" w:firstLine="480"/>
        <w:rPr>
          <w:rFonts w:hint="eastAsia"/>
        </w:rPr>
      </w:pPr>
      <w:r>
        <w:rPr>
          <w:rFonts w:hint="eastAsia"/>
        </w:rPr>
        <w:t>(3) 对基金取得的企业债券利息收入，应由发行债券的企业在向基金支付利息时代扣代缴20%的个人所得税。对基金从上市公司取得的股息红利所得，持股期限在1个月以内(含1个月)的，其股息红利所得全额计入应纳税所得额；持股期限在1个月以上至1年(含1年)的，暂减按50%计入应纳税所得额；持股期限超过1年的，暂免征收个人所得税。对基金持有的上市公司限售股，解禁后取得的股息、红利收入，按照上述规定计算纳税，持股时间自解禁日起计算；解禁前取得的股息、红利收入继续暂减按50%计入应纳税所得额。上述所得统一适用20%的税率计征个人所得税。</w:t>
      </w:r>
    </w:p>
    <w:p>
      <w:pPr>
        <w:pStyle w:val="20"/>
        <w:spacing w:before="0"/>
        <w:ind w:left="0" w:firstLine="480"/>
        <w:rPr>
          <w:rFonts w:hint="eastAsia"/>
        </w:rPr>
      </w:pPr>
      <w:r>
        <w:rPr>
          <w:rFonts w:hint="eastAsia"/>
        </w:rPr>
        <w:t>(4) 基金卖出股票按0.1%的税率缴纳股票交易印花税，买入股票不征收股票交易印花税。</w:t>
      </w:r>
    </w:p>
    <w:p>
      <w:pPr>
        <w:pStyle w:val="20"/>
        <w:spacing w:before="0"/>
        <w:ind w:left="0" w:firstLine="480"/>
        <w:rPr>
          <w:rFonts w:hint="eastAsia"/>
        </w:rPr>
      </w:pPr>
      <w:r>
        <w:rPr>
          <w:rFonts w:hint="eastAsia"/>
        </w:rPr>
        <w:t>(5) 本基金的城市维护建设税、教育费附加和地方教育费附加等税费按照实际缴纳增值税额的适用比例计算缴纳。</w:t>
      </w:r>
    </w:p>
    <w:p>
      <w:pPr>
        <w:widowControl/>
        <w:jc w:val="left"/>
        <w:rPr>
          <w:rFonts w:hint="eastAsia" w:ascii="宋体" w:hAnsi="宋体" w:cs="宋体"/>
          <w:kern w:val="0"/>
          <w:sz w:val="24"/>
          <w:szCs w:val="24"/>
        </w:rPr>
      </w:pPr>
    </w:p>
    <w:p>
      <w:pPr>
        <w:pStyle w:val="15"/>
        <w:rPr>
          <w:rFonts w:hint="eastAsia"/>
        </w:rPr>
      </w:pPr>
      <w:r>
        <w:rPr>
          <w:rFonts w:hint="eastAsia"/>
          <w:b/>
          <w:bCs/>
        </w:rPr>
        <w:t>7.4.7 重要财务报表项目的说明</w:t>
      </w:r>
    </w:p>
    <w:p>
      <w:pPr>
        <w:pStyle w:val="15"/>
        <w:rPr>
          <w:rFonts w:hint="eastAsia"/>
        </w:rPr>
      </w:pPr>
      <w:r>
        <w:rPr>
          <w:rFonts w:hint="eastAsia"/>
          <w:b/>
          <w:bCs/>
        </w:rPr>
        <w:t>7.4.7.1 银行存款</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3075"/>
        <w:gridCol w:w="5970"/>
      </w:tblGrid>
      <w:tr>
        <w:tblPrEx>
          <w:tblCellMar>
            <w:top w:w="0" w:type="dxa"/>
            <w:left w:w="108" w:type="dxa"/>
            <w:bottom w:w="0" w:type="dxa"/>
            <w:right w:w="108" w:type="dxa"/>
          </w:tblCellMar>
        </w:tblPrEx>
        <w:trPr>
          <w:wBefore w:w="0" w:type="auto"/>
        </w:trPr>
        <w:tc>
          <w:tcPr>
            <w:tcW w:w="17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3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w:t>
            </w:r>
          </w:p>
          <w:p>
            <w:pPr>
              <w:pStyle w:val="18"/>
              <w:wordWrap w:val="0"/>
              <w:rPr>
                <w:rFonts w:hint="eastAsia"/>
              </w:rPr>
            </w:pPr>
            <w:r>
              <w:rPr>
                <w:rFonts w:hint="eastAsia" w:hAnsi="Calibri"/>
                <w:color w:val="000000"/>
              </w:rPr>
              <w:t>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活期存款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1,865,175.94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定期存款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其中：存款期限1个月以内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存款期限1-3个月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存款期限3个月以上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1,865,175.94</w:t>
            </w:r>
          </w:p>
        </w:tc>
      </w:tr>
    </w:tbl>
    <w:p>
      <w:pPr>
        <w:widowControl/>
        <w:jc w:val="left"/>
        <w:rPr>
          <w:rFonts w:hint="eastAsia" w:ascii="宋体" w:hAnsi="宋体" w:cs="宋体"/>
          <w:kern w:val="0"/>
          <w:sz w:val="24"/>
          <w:szCs w:val="24"/>
        </w:rPr>
      </w:pPr>
    </w:p>
    <w:p>
      <w:pPr>
        <w:pStyle w:val="15"/>
        <w:rPr>
          <w:rFonts w:hint="eastAsia"/>
        </w:rPr>
      </w:pPr>
      <w:r>
        <w:rPr>
          <w:rFonts w:hint="eastAsia"/>
          <w:b/>
          <w:bCs/>
        </w:rPr>
        <w:t>7.4.7.2 交易性金融资产</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20"/>
        <w:gridCol w:w="1806"/>
        <w:gridCol w:w="2168"/>
        <w:gridCol w:w="2167"/>
        <w:gridCol w:w="2167"/>
      </w:tblGrid>
      <w:tr>
        <w:tblPrEx>
          <w:tblCellMar>
            <w:top w:w="0" w:type="dxa"/>
            <w:left w:w="108" w:type="dxa"/>
            <w:bottom w:w="0" w:type="dxa"/>
            <w:right w:w="108" w:type="dxa"/>
          </w:tblCellMar>
        </w:tblPrEx>
        <w:trPr>
          <w:wBefore w:w="0" w:type="auto"/>
        </w:trPr>
        <w:tc>
          <w:tcPr>
            <w:tcW w:w="1350"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本期末2018年12月31日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76,490,056.55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60,133,840.42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-16,356,216.13</w:t>
            </w:r>
          </w:p>
        </w:tc>
      </w:tr>
      <w:tr>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3,008,395.80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3,013,200.00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4,804.20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3,008,395.80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3,013,200.00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4,804.20</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79,498,452.35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63,147,040.42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-16,351,411.93</w:t>
            </w:r>
          </w:p>
        </w:tc>
      </w:tr>
    </w:tbl>
    <w:p>
      <w:pPr>
        <w:widowControl/>
        <w:jc w:val="left"/>
        <w:rPr>
          <w:rFonts w:hint="eastAsia" w:ascii="宋体" w:hAnsi="宋体" w:cs="宋体"/>
          <w:kern w:val="0"/>
          <w:sz w:val="24"/>
          <w:szCs w:val="24"/>
        </w:rPr>
      </w:pPr>
    </w:p>
    <w:p>
      <w:pPr>
        <w:pStyle w:val="15"/>
        <w:rPr>
          <w:rFonts w:hint="eastAsia"/>
        </w:rPr>
      </w:pPr>
      <w:r>
        <w:rPr>
          <w:rFonts w:hint="eastAsia"/>
          <w:b/>
          <w:bCs/>
        </w:rPr>
        <w:t>7.4.7.3 衍生金融资产/负债</w:t>
      </w:r>
    </w:p>
    <w:p>
      <w:pPr>
        <w:pStyle w:val="19"/>
        <w:rPr>
          <w:rFonts w:hint="eastAsia"/>
        </w:rPr>
      </w:pPr>
      <w:r>
        <w:rPr>
          <w:rFonts w:hint="eastAsia" w:hAnsi="Calibri"/>
          <w:color w:val="000000"/>
        </w:rPr>
        <w:t>单位：人民币元</w:t>
      </w:r>
    </w:p>
    <w:tbl>
      <w:tblPr>
        <w:tblStyle w:val="7"/>
        <w:tblW w:w="0" w:type="auto"/>
        <w:tblInd w:w="108" w:type="dxa"/>
        <w:tblLayout w:type="autofit"/>
        <w:tblCellMar>
          <w:top w:w="0" w:type="dxa"/>
          <w:left w:w="108" w:type="dxa"/>
          <w:bottom w:w="0" w:type="dxa"/>
          <w:right w:w="108" w:type="dxa"/>
        </w:tblCellMar>
      </w:tblPr>
      <w:tblGrid>
        <w:gridCol w:w="2514"/>
        <w:gridCol w:w="2159"/>
        <w:gridCol w:w="1084"/>
        <w:gridCol w:w="1283"/>
        <w:gridCol w:w="2158"/>
      </w:tblGrid>
      <w:tr>
        <w:tblPrEx>
          <w:tblCellMar>
            <w:top w:w="0" w:type="dxa"/>
            <w:left w:w="108" w:type="dxa"/>
            <w:bottom w:w="0" w:type="dxa"/>
            <w:right w:w="108" w:type="dxa"/>
          </w:tblCellMar>
        </w:tblPrEx>
        <w:trPr>
          <w:wBefore w:w="0" w:type="auto"/>
        </w:trPr>
        <w:tc>
          <w:tcPr>
            <w:tcW w:w="2526"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6502" w:type="dxa"/>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合同/名义金额 </w:t>
            </w:r>
          </w:p>
        </w:tc>
        <w:tc>
          <w:tcPr>
            <w:tcW w:w="2167"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2167"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备注</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08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资产</w:t>
            </w:r>
          </w:p>
        </w:tc>
        <w:tc>
          <w:tcPr>
            <w:tcW w:w="128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负债</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利率衍生工具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货币衍生工具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权益衍生工具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949,020.00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--股指期货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949,020.00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949,020.00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bl>
    <w:p>
      <w:pPr>
        <w:pStyle w:val="20"/>
        <w:rPr>
          <w:rFonts w:hint="eastAsia"/>
        </w:rPr>
      </w:pPr>
      <w:r>
        <w:rPr>
          <w:rFonts w:hint="eastAsia"/>
        </w:rPr>
        <w:t>注：衍生金融资产项下的权益衍生工具为股指期货投资，净额为0。在当日无负债结算制度下，结算准备金已包括所持期货投资产生的持仓损益，则衍生金融资产项下的期货投资与相关的期货暂收款(结算所得的持仓损益)之间按抵销后的净额为0。</w:t>
      </w:r>
    </w:p>
    <w:p>
      <w:pPr>
        <w:widowControl/>
        <w:jc w:val="left"/>
        <w:rPr>
          <w:rFonts w:hint="eastAsia" w:ascii="宋体" w:hAnsi="宋体" w:cs="宋体"/>
          <w:kern w:val="0"/>
          <w:sz w:val="24"/>
          <w:szCs w:val="24"/>
        </w:rPr>
      </w:pPr>
    </w:p>
    <w:p>
      <w:pPr>
        <w:pStyle w:val="15"/>
        <w:rPr>
          <w:rFonts w:hint="eastAsia"/>
        </w:rPr>
      </w:pPr>
      <w:r>
        <w:rPr>
          <w:rFonts w:hint="eastAsia"/>
          <w:b/>
          <w:bCs/>
        </w:rPr>
        <w:t>7.4.7.4 买入返售金融资产</w:t>
      </w:r>
    </w:p>
    <w:p>
      <w:pPr>
        <w:pStyle w:val="15"/>
        <w:rPr>
          <w:rFonts w:hint="eastAsia"/>
        </w:rPr>
      </w:pPr>
      <w:r>
        <w:rPr>
          <w:rFonts w:hint="eastAsia"/>
          <w:b/>
          <w:bCs/>
        </w:rPr>
        <w:t>7.4.7.4.1 各项买入返售金融资产期末余额</w:t>
      </w:r>
    </w:p>
    <w:p>
      <w:pPr>
        <w:pStyle w:val="20"/>
        <w:rPr>
          <w:rFonts w:hint="eastAsia"/>
        </w:rPr>
      </w:pPr>
      <w:r>
        <w:rPr>
          <w:rFonts w:hint="eastAsia"/>
        </w:rPr>
        <w:t>本基金本报告期末未持有买入返售金融资产。</w:t>
      </w:r>
    </w:p>
    <w:p>
      <w:pPr>
        <w:widowControl/>
        <w:jc w:val="left"/>
        <w:rPr>
          <w:rFonts w:hint="eastAsia" w:ascii="宋体" w:hAnsi="宋体" w:cs="宋体"/>
          <w:kern w:val="0"/>
          <w:sz w:val="24"/>
          <w:szCs w:val="24"/>
        </w:rPr>
      </w:pPr>
    </w:p>
    <w:p>
      <w:pPr>
        <w:pStyle w:val="15"/>
        <w:rPr>
          <w:rFonts w:hint="eastAsia"/>
        </w:rPr>
      </w:pPr>
      <w:r>
        <w:rPr>
          <w:rFonts w:hint="eastAsia"/>
          <w:b/>
          <w:bCs/>
        </w:rPr>
        <w:t>7.4.7.4.2 期末买断式逆回购交易中取得的债券</w:t>
      </w:r>
    </w:p>
    <w:p>
      <w:pPr>
        <w:pStyle w:val="20"/>
        <w:rPr>
          <w:rFonts w:hint="eastAsia"/>
        </w:rPr>
      </w:pPr>
      <w:r>
        <w:rPr>
          <w:rFonts w:hint="eastAsia"/>
        </w:rPr>
        <w:t>本基金本报告期末未持有买断式逆回购交易中取得的债券。</w:t>
      </w:r>
    </w:p>
    <w:p>
      <w:pPr>
        <w:widowControl/>
        <w:jc w:val="left"/>
        <w:rPr>
          <w:rFonts w:hint="eastAsia" w:ascii="宋体" w:hAnsi="宋体" w:cs="宋体"/>
          <w:kern w:val="0"/>
          <w:sz w:val="24"/>
          <w:szCs w:val="24"/>
        </w:rPr>
      </w:pPr>
    </w:p>
    <w:p>
      <w:pPr>
        <w:pStyle w:val="15"/>
        <w:rPr>
          <w:rFonts w:hint="eastAsia"/>
        </w:rPr>
      </w:pPr>
      <w:r>
        <w:rPr>
          <w:rFonts w:hint="eastAsia"/>
          <w:b/>
          <w:bCs/>
        </w:rPr>
        <w:t>7.4.7.5 应收利息</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应收活期存款利息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398.17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应收定期存款利息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应收其他存款利息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应收结算备付金利息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69.64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应收债券利息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83,884.93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应收资产支持证券利息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应收买入返售证券利息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应收黄金合约拆借孳息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84,355.38</w:t>
            </w:r>
          </w:p>
        </w:tc>
      </w:tr>
    </w:tbl>
    <w:p>
      <w:pPr>
        <w:widowControl/>
        <w:jc w:val="left"/>
        <w:rPr>
          <w:rFonts w:hint="eastAsia" w:ascii="宋体" w:hAnsi="宋体" w:cs="宋体"/>
          <w:kern w:val="0"/>
          <w:sz w:val="24"/>
          <w:szCs w:val="24"/>
        </w:rPr>
      </w:pPr>
    </w:p>
    <w:p>
      <w:pPr>
        <w:pStyle w:val="15"/>
        <w:rPr>
          <w:rFonts w:hint="eastAsia"/>
        </w:rPr>
      </w:pPr>
      <w:r>
        <w:rPr>
          <w:rFonts w:hint="eastAsia"/>
          <w:b/>
          <w:bCs/>
        </w:rPr>
        <w:t>7.4.7.6 其他资产</w:t>
      </w:r>
    </w:p>
    <w:p>
      <w:pPr>
        <w:pStyle w:val="20"/>
        <w:rPr>
          <w:rFonts w:hint="eastAsia"/>
        </w:rPr>
      </w:pPr>
      <w:r>
        <w:rPr>
          <w:rFonts w:hint="eastAsia"/>
        </w:rPr>
        <w:t>本基金本报告期末未持有其他资产。</w:t>
      </w:r>
    </w:p>
    <w:p>
      <w:pPr>
        <w:widowControl/>
        <w:jc w:val="left"/>
        <w:rPr>
          <w:rFonts w:hint="eastAsia" w:ascii="宋体" w:hAnsi="宋体" w:cs="宋体"/>
          <w:kern w:val="0"/>
          <w:sz w:val="24"/>
          <w:szCs w:val="24"/>
        </w:rPr>
      </w:pPr>
    </w:p>
    <w:p>
      <w:pPr>
        <w:pStyle w:val="15"/>
        <w:rPr>
          <w:rFonts w:hint="eastAsia"/>
        </w:rPr>
      </w:pPr>
      <w:r>
        <w:rPr>
          <w:rFonts w:hint="eastAsia"/>
          <w:b/>
          <w:bCs/>
        </w:rPr>
        <w:t>7.4.7.7 应付交易费用</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5796"/>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2,515.35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2,515.35</w:t>
            </w:r>
          </w:p>
        </w:tc>
      </w:tr>
    </w:tbl>
    <w:p>
      <w:pPr>
        <w:widowControl/>
        <w:jc w:val="left"/>
        <w:rPr>
          <w:rFonts w:hint="eastAsia" w:ascii="宋体" w:hAnsi="宋体" w:cs="宋体"/>
          <w:kern w:val="0"/>
          <w:sz w:val="24"/>
          <w:szCs w:val="24"/>
        </w:rPr>
      </w:pPr>
    </w:p>
    <w:p>
      <w:pPr>
        <w:pStyle w:val="15"/>
        <w:rPr>
          <w:rFonts w:hint="eastAsia"/>
        </w:rPr>
      </w:pPr>
      <w:r>
        <w:rPr>
          <w:rFonts w:hint="eastAsia"/>
          <w:b/>
          <w:bCs/>
        </w:rPr>
        <w:t>7.4.7.8 其他负债</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应付券商交易单元保证金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预提费用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201,942.84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201,951.22</w:t>
            </w:r>
          </w:p>
        </w:tc>
      </w:tr>
    </w:tbl>
    <w:p>
      <w:pPr>
        <w:widowControl/>
        <w:jc w:val="left"/>
        <w:rPr>
          <w:rFonts w:hint="eastAsia" w:ascii="宋体" w:hAnsi="宋体" w:cs="宋体"/>
          <w:kern w:val="0"/>
          <w:sz w:val="24"/>
          <w:szCs w:val="24"/>
        </w:rPr>
      </w:pPr>
    </w:p>
    <w:p>
      <w:pPr>
        <w:pStyle w:val="15"/>
        <w:rPr>
          <w:rFonts w:hint="eastAsia"/>
        </w:rPr>
      </w:pPr>
      <w:r>
        <w:rPr>
          <w:rFonts w:hint="eastAsia"/>
          <w:b/>
          <w:bCs/>
        </w:rPr>
        <w:t>7.4.7.9 实收基金</w:t>
      </w:r>
    </w:p>
    <w:p>
      <w:pPr>
        <w:pStyle w:val="15"/>
        <w:rPr>
          <w:rFonts w:hint="eastAsia"/>
        </w:rPr>
      </w:pPr>
      <w:r>
        <w:rPr>
          <w:rFonts w:hint="eastAsia" w:hAnsi="Calibri"/>
          <w:b/>
          <w:color w:val="000000"/>
        </w:rPr>
        <w:t>7.4.7.9.1 创金合信MSCI中国A股国际指数A</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(创金合信MSCI中国A股国际指数A)</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本期2018年02月07日</w:t>
            </w:r>
            <w:r>
              <w:rPr>
                <w:rStyle w:val="27"/>
                <w:rFonts w:hint="eastAsia"/>
              </w:rPr>
              <w:t>（基金合同生效日）</w:t>
            </w:r>
            <w:r>
              <w:rPr>
                <w:rFonts w:hint="eastAsia"/>
              </w:rPr>
              <w:t>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55,960,583.31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55,960,583.31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31,334,686.25</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31,334,686.25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-23,559,672.18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-23,559,672.18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63,735,597.38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63,735,597.38</w:t>
            </w:r>
          </w:p>
        </w:tc>
      </w:tr>
    </w:tbl>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7.4.7.9.2 创金合信MSCI中国A股国际指数C</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(创金合信MSCI中国A股国际指数C)</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本期2018年02月07日</w:t>
            </w:r>
            <w:r>
              <w:rPr>
                <w:rStyle w:val="27"/>
                <w:rFonts w:hint="eastAsia"/>
              </w:rPr>
              <w:t>（基金合同生效日）</w:t>
            </w:r>
            <w:r>
              <w:rPr>
                <w:rFonts w:hint="eastAsia"/>
              </w:rPr>
              <w:t>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12,417,879.67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12,417,879.67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11,564,616.69</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11,564,616.69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-5,411,101.48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-5,411,101.48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18,571,394.88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18,571,394.88</w:t>
            </w:r>
          </w:p>
        </w:tc>
      </w:tr>
    </w:tbl>
    <w:p>
      <w:pPr>
        <w:pStyle w:val="20"/>
        <w:rPr>
          <w:rFonts w:hint="eastAsia"/>
        </w:rPr>
      </w:pPr>
      <w:r>
        <w:rPr>
          <w:rFonts w:hint="eastAsia"/>
        </w:rPr>
        <w:t>注:1、申购含红利再投、转换入份(金)额，赎回含转换出份(金)额。</w:t>
      </w:r>
      <w:r>
        <w:rPr>
          <w:rFonts w:hint="eastAsia"/>
        </w:rPr>
        <w:br w:type="textWrapping"/>
      </w:r>
      <w:r>
        <w:rPr>
          <w:rFonts w:hint="eastAsia"/>
        </w:rPr>
        <w:t>2、本基金自2018年1月9日至2018年1月31日止期间公开发售，共募集有效净认购资金人民币68,365,796.39 元，折合为68,365,796.39 份基金份额(其中A类基金份额55,950,031.83 份，C类基金份额12,415,764.56 份)。根据《创金合信MSCI中国A股国际指数发起式证券投资基金基金合同》的规定，本基金设立募集期内认购资金产生的利息收入人民币12,666.59 元在本基金成立后，折合为12,666.59 份基金份额(其中A类基金份额10,551.48 份，C类基金份额2,115.11 份)，划入基金份额持有人账户。</w:t>
      </w:r>
    </w:p>
    <w:p>
      <w:pPr>
        <w:widowControl/>
        <w:jc w:val="left"/>
        <w:rPr>
          <w:rFonts w:hint="eastAsia" w:ascii="宋体" w:hAnsi="宋体" w:cs="宋体"/>
          <w:kern w:val="0"/>
          <w:sz w:val="24"/>
          <w:szCs w:val="24"/>
        </w:rPr>
      </w:pPr>
    </w:p>
    <w:p>
      <w:pPr>
        <w:pStyle w:val="15"/>
        <w:rPr>
          <w:rFonts w:hint="eastAsia"/>
        </w:rPr>
      </w:pPr>
      <w:r>
        <w:rPr>
          <w:rFonts w:hint="eastAsia"/>
          <w:b/>
          <w:bCs/>
        </w:rPr>
        <w:t>7.4.7.10 未分配利润</w:t>
      </w:r>
    </w:p>
    <w:p>
      <w:pPr>
        <w:pStyle w:val="15"/>
        <w:rPr>
          <w:rFonts w:hint="eastAsia"/>
        </w:rPr>
      </w:pPr>
      <w:r>
        <w:rPr>
          <w:rFonts w:hint="eastAsia" w:hAnsi="Calibri"/>
          <w:b/>
          <w:color w:val="000000"/>
        </w:rPr>
        <w:t>7.4.7.10.1 创金合信MSCI中国A股国际指数A</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(创金合信MSCI中国A股国际指数A)</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-2,398,782.09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-13,230,010.15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-15,628,792.24</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60,602.06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2,119,377.00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2,179,979.06</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-88,399.61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-337,912.99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-426,312.60</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149,001.67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2,457,289.99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2,606,291.66</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-2,338,180.03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-11,110,633.15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-13,448,813.18</w:t>
            </w:r>
          </w:p>
        </w:tc>
      </w:tr>
    </w:tbl>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7.4.7.10.2 创金合信MSCI中国A股国际指数C</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(创金合信MSCI中国A股国际指数C)</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-705,606.51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-3,168,201.78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-3,873,808.29</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-11,192.93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-65,768.82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-76,961.75</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-48,044.65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-408,617.35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-456,662.00</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36,851.72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342,848.53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379,700.25</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-716,799.44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-3,233,970.60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-3,950,770.04</w:t>
            </w:r>
          </w:p>
        </w:tc>
      </w:tr>
    </w:tbl>
    <w:p>
      <w:pPr>
        <w:widowControl/>
        <w:jc w:val="left"/>
        <w:rPr>
          <w:rFonts w:hint="eastAsia" w:ascii="宋体" w:hAnsi="宋体" w:cs="宋体"/>
          <w:kern w:val="0"/>
          <w:sz w:val="24"/>
          <w:szCs w:val="24"/>
        </w:rPr>
      </w:pPr>
    </w:p>
    <w:p>
      <w:pPr>
        <w:pStyle w:val="15"/>
        <w:rPr>
          <w:rFonts w:hint="eastAsia"/>
        </w:rPr>
      </w:pPr>
      <w:r>
        <w:rPr>
          <w:rFonts w:hint="eastAsia"/>
          <w:b/>
          <w:bCs/>
        </w:rPr>
        <w:t>7.4.7.11 存款利息收入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本期2018年02月07日（基金合同生效日）至2018年12月31日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活期存款利息收入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32,420.36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定期存款利息收入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3,002.29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223.74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35,646.39</w:t>
            </w:r>
          </w:p>
        </w:tc>
      </w:tr>
    </w:tbl>
    <w:p>
      <w:pPr>
        <w:widowControl/>
        <w:jc w:val="left"/>
        <w:rPr>
          <w:rFonts w:hint="eastAsia" w:ascii="宋体" w:hAnsi="宋体" w:cs="宋体"/>
          <w:kern w:val="0"/>
          <w:sz w:val="24"/>
          <w:szCs w:val="24"/>
        </w:rPr>
      </w:pPr>
    </w:p>
    <w:p>
      <w:pPr>
        <w:pStyle w:val="15"/>
        <w:rPr>
          <w:rFonts w:hint="eastAsia"/>
        </w:rPr>
      </w:pPr>
      <w:r>
        <w:rPr>
          <w:rFonts w:hint="eastAsia"/>
          <w:b/>
          <w:bCs/>
        </w:rPr>
        <w:t>7.4.7.12 股票投资收益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2018年02月07日（基金合同生效日）至2018年12月31日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卖出股票成交总额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22,275,453.26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减：卖出股票成本总额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26,318,674.97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买卖股票差价收入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-4,043,221.71</w:t>
            </w:r>
          </w:p>
        </w:tc>
      </w:tr>
    </w:tbl>
    <w:p>
      <w:pPr>
        <w:widowControl/>
        <w:jc w:val="left"/>
        <w:rPr>
          <w:rFonts w:hint="eastAsia" w:ascii="宋体" w:hAnsi="宋体" w:cs="宋体"/>
          <w:kern w:val="0"/>
          <w:sz w:val="24"/>
          <w:szCs w:val="24"/>
        </w:rPr>
      </w:pPr>
    </w:p>
    <w:p>
      <w:pPr>
        <w:pStyle w:val="15"/>
        <w:rPr>
          <w:rFonts w:hint="eastAsia"/>
        </w:rPr>
      </w:pPr>
      <w:r>
        <w:rPr>
          <w:rFonts w:hint="eastAsia"/>
          <w:b/>
          <w:bCs/>
        </w:rPr>
        <w:t>7.4.7.13 债券投资收益</w:t>
      </w:r>
    </w:p>
    <w:p>
      <w:pPr>
        <w:pStyle w:val="15"/>
        <w:rPr>
          <w:rFonts w:hint="eastAsia"/>
        </w:rPr>
      </w:pPr>
      <w:r>
        <w:rPr>
          <w:rFonts w:hint="eastAsia"/>
          <w:b/>
          <w:bCs/>
        </w:rPr>
        <w:t>7.4.7.13.1 债券投资收益项目构成</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166"/>
        <w:gridCol w:w="5879"/>
      </w:tblGrid>
      <w:tr>
        <w:tblPrEx>
          <w:tblCellMar>
            <w:top w:w="0" w:type="dxa"/>
            <w:left w:w="108" w:type="dxa"/>
            <w:bottom w:w="0" w:type="dxa"/>
            <w:right w:w="108" w:type="dxa"/>
          </w:tblCellMar>
        </w:tblPrEx>
        <w:trPr>
          <w:wBefore w:w="0" w:type="auto"/>
        </w:trPr>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2018年02月07日（基金合同生效日）至2018年12月31日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债券投资收益——买卖债券（、债转股及债券到期兑付）差价收入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2,001.40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债券投资收益——赎回差价收入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债券投资收益——申购差价收入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2,001.40</w:t>
            </w:r>
          </w:p>
        </w:tc>
      </w:tr>
    </w:tbl>
    <w:p>
      <w:pPr>
        <w:widowControl/>
        <w:jc w:val="left"/>
        <w:rPr>
          <w:rFonts w:hint="eastAsia" w:ascii="宋体" w:hAnsi="宋体" w:cs="宋体"/>
          <w:kern w:val="0"/>
          <w:sz w:val="24"/>
          <w:szCs w:val="24"/>
        </w:rPr>
      </w:pPr>
    </w:p>
    <w:p>
      <w:pPr>
        <w:pStyle w:val="15"/>
        <w:rPr>
          <w:rFonts w:hint="eastAsia"/>
        </w:rPr>
      </w:pPr>
      <w:r>
        <w:rPr>
          <w:rFonts w:hint="eastAsia"/>
          <w:b/>
          <w:bCs/>
        </w:rPr>
        <w:t>7.4.7.13.2 债券投资收益——买卖债券差价收入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261"/>
        <w:gridCol w:w="6784"/>
      </w:tblGrid>
      <w:tr>
        <w:tblPrEx>
          <w:tblCellMar>
            <w:top w:w="0" w:type="dxa"/>
            <w:left w:w="108" w:type="dxa"/>
            <w:bottom w:w="0" w:type="dxa"/>
            <w:right w:w="108" w:type="dxa"/>
          </w:tblCellMar>
        </w:tblPrEx>
        <w:trPr>
          <w:wBefore w:w="0" w:type="auto"/>
        </w:trPr>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2018年02月07日（基金合同生效日）至2018年12月31日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卖出债券（、债转股及债券到期兑付）成交总额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1,024,166.03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减：卖出债券（、债转股及债券到期兑付）成本总额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1,002,798.60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减：应收利息总额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19,366.03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买卖债券差价收入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2,001.40</w:t>
            </w:r>
          </w:p>
        </w:tc>
      </w:tr>
    </w:tbl>
    <w:p>
      <w:pPr>
        <w:widowControl/>
        <w:jc w:val="left"/>
        <w:rPr>
          <w:rFonts w:hint="eastAsia" w:ascii="宋体" w:hAnsi="宋体" w:cs="宋体"/>
          <w:kern w:val="0"/>
          <w:sz w:val="24"/>
          <w:szCs w:val="24"/>
        </w:rPr>
      </w:pPr>
    </w:p>
    <w:p>
      <w:pPr>
        <w:pStyle w:val="15"/>
        <w:rPr>
          <w:rFonts w:hint="eastAsia"/>
        </w:rPr>
      </w:pPr>
      <w:r>
        <w:rPr>
          <w:rFonts w:hint="eastAsia"/>
          <w:b/>
          <w:bCs/>
        </w:rPr>
        <w:t>7.4.7.14 衍生工具收益</w:t>
      </w:r>
    </w:p>
    <w:p>
      <w:pPr>
        <w:pStyle w:val="15"/>
        <w:rPr>
          <w:rFonts w:hint="eastAsia"/>
        </w:rPr>
      </w:pPr>
      <w:r>
        <w:rPr>
          <w:rFonts w:hint="eastAsia"/>
          <w:b/>
          <w:bCs/>
        </w:rPr>
        <w:t>7.4.7.14.1 衍生工具收益——买卖权证差价收入</w:t>
      </w:r>
    </w:p>
    <w:p>
      <w:pPr>
        <w:pStyle w:val="20"/>
        <w:rPr>
          <w:rFonts w:hint="eastAsia"/>
        </w:rPr>
      </w:pPr>
      <w:r>
        <w:rPr>
          <w:rFonts w:hint="eastAsia"/>
        </w:rPr>
        <w:t>本基金本报告期无权证收益。</w:t>
      </w:r>
    </w:p>
    <w:p>
      <w:pPr>
        <w:widowControl/>
        <w:jc w:val="left"/>
        <w:rPr>
          <w:rFonts w:hint="eastAsia" w:ascii="宋体" w:hAnsi="宋体" w:cs="宋体"/>
          <w:kern w:val="0"/>
          <w:sz w:val="24"/>
          <w:szCs w:val="24"/>
        </w:rPr>
      </w:pPr>
    </w:p>
    <w:p>
      <w:pPr>
        <w:pStyle w:val="15"/>
        <w:rPr>
          <w:rFonts w:hint="eastAsia"/>
        </w:rPr>
      </w:pPr>
      <w:r>
        <w:rPr>
          <w:rFonts w:hint="eastAsia"/>
          <w:b/>
          <w:bCs/>
        </w:rPr>
        <w:t>7.4.7.14.2 衍生工具收益——其他投资收益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本期收益金额</w:t>
            </w:r>
          </w:p>
          <w:p>
            <w:pPr>
              <w:pStyle w:val="18"/>
              <w:wordWrap w:val="0"/>
              <w:rPr>
                <w:rFonts w:hint="eastAsia"/>
              </w:rPr>
            </w:pPr>
            <w:r>
              <w:rPr>
                <w:rFonts w:hint="eastAsia"/>
              </w:rPr>
              <w:t>2018年02月07日（基金合同生效日）至2018年12月31日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期货投资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-150,540.00</w:t>
            </w:r>
          </w:p>
        </w:tc>
      </w:tr>
    </w:tbl>
    <w:p>
      <w:pPr>
        <w:widowControl/>
        <w:jc w:val="left"/>
        <w:rPr>
          <w:rFonts w:hint="eastAsia" w:ascii="宋体" w:hAnsi="宋体" w:cs="宋体"/>
          <w:kern w:val="0"/>
          <w:sz w:val="24"/>
          <w:szCs w:val="24"/>
        </w:rPr>
      </w:pPr>
    </w:p>
    <w:p>
      <w:pPr>
        <w:pStyle w:val="15"/>
        <w:rPr>
          <w:rFonts w:hint="eastAsia"/>
        </w:rPr>
      </w:pPr>
      <w:r>
        <w:rPr>
          <w:rFonts w:hint="eastAsia"/>
          <w:b/>
          <w:bCs/>
        </w:rPr>
        <w:t>7.4.7.15 股利收益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2018年02月07日（基金合同生效日）至2018年12月31日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1,681,796.27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1,681,796.27</w:t>
            </w:r>
          </w:p>
        </w:tc>
      </w:tr>
    </w:tbl>
    <w:p>
      <w:pPr>
        <w:widowControl/>
        <w:jc w:val="left"/>
        <w:rPr>
          <w:rFonts w:hint="eastAsia" w:ascii="宋体" w:hAnsi="宋体" w:cs="宋体"/>
          <w:kern w:val="0"/>
          <w:sz w:val="24"/>
          <w:szCs w:val="24"/>
        </w:rPr>
      </w:pPr>
    </w:p>
    <w:p>
      <w:pPr>
        <w:pStyle w:val="15"/>
        <w:rPr>
          <w:rFonts w:hint="eastAsia"/>
        </w:rPr>
      </w:pPr>
      <w:r>
        <w:rPr>
          <w:rFonts w:hint="eastAsia"/>
          <w:b/>
          <w:bCs/>
        </w:rPr>
        <w:t>7.4.7.16 公允价值变动收益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713"/>
        <w:gridCol w:w="6332"/>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2018年02月07日（基金合同生效日）至2018年12月31日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1.交易性金融资产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-16,351,411.93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-16,356,216.13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4,804.20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-46,800.00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——权证投资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——期货投资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-46,800.00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减：应税金融商品公允价值变动产生的预估增值税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-16,398,211.93</w:t>
            </w:r>
          </w:p>
        </w:tc>
      </w:tr>
    </w:tbl>
    <w:p>
      <w:pPr>
        <w:widowControl/>
        <w:jc w:val="left"/>
        <w:rPr>
          <w:rFonts w:hint="eastAsia" w:ascii="宋体" w:hAnsi="宋体" w:cs="宋体"/>
          <w:kern w:val="0"/>
          <w:sz w:val="24"/>
          <w:szCs w:val="24"/>
        </w:rPr>
      </w:pPr>
    </w:p>
    <w:p>
      <w:pPr>
        <w:pStyle w:val="15"/>
        <w:rPr>
          <w:rFonts w:hint="eastAsia"/>
        </w:rPr>
      </w:pPr>
      <w:r>
        <w:rPr>
          <w:rFonts w:hint="eastAsia"/>
          <w:b/>
          <w:bCs/>
        </w:rPr>
        <w:t>7.4.7.17 其他收入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2018年02月07日（基金合同生效日）至2018年12月31日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基金赎回费收入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64,281.14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转换费收入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192.56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64,473.70</w:t>
            </w:r>
          </w:p>
        </w:tc>
      </w:tr>
    </w:tbl>
    <w:p>
      <w:pPr>
        <w:widowControl/>
        <w:jc w:val="left"/>
        <w:rPr>
          <w:rFonts w:hint="eastAsia" w:ascii="宋体" w:hAnsi="宋体" w:cs="宋体"/>
          <w:kern w:val="0"/>
          <w:sz w:val="24"/>
          <w:szCs w:val="24"/>
        </w:rPr>
      </w:pPr>
    </w:p>
    <w:p>
      <w:pPr>
        <w:pStyle w:val="15"/>
        <w:rPr>
          <w:rFonts w:hint="eastAsia"/>
        </w:rPr>
      </w:pPr>
      <w:r>
        <w:rPr>
          <w:rFonts w:hint="eastAsia"/>
          <w:b/>
          <w:bCs/>
        </w:rPr>
        <w:t>7.4.7.18 交易费用</w:t>
      </w:r>
    </w:p>
    <w:p>
      <w:pPr>
        <w:pStyle w:val="19"/>
        <w:rPr>
          <w:rFonts w:hint="eastAsia"/>
        </w:rPr>
      </w:pPr>
      <w:r>
        <w:rPr>
          <w:rFonts w:hint="eastAsia"/>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2018年02月07日（基金合同生效日）至2018年12月31日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110,365.93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期货市场交易费用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75.96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110,441.89</w:t>
            </w:r>
          </w:p>
        </w:tc>
      </w:tr>
    </w:tbl>
    <w:p>
      <w:pPr>
        <w:widowControl/>
        <w:jc w:val="left"/>
        <w:rPr>
          <w:rFonts w:hint="eastAsia" w:ascii="宋体" w:hAnsi="宋体" w:cs="宋体"/>
          <w:kern w:val="0"/>
          <w:sz w:val="24"/>
          <w:szCs w:val="24"/>
        </w:rPr>
      </w:pPr>
    </w:p>
    <w:p>
      <w:pPr>
        <w:pStyle w:val="15"/>
        <w:rPr>
          <w:rFonts w:hint="eastAsia"/>
        </w:rPr>
      </w:pPr>
      <w:r>
        <w:rPr>
          <w:rFonts w:hint="eastAsia"/>
          <w:b/>
          <w:bCs/>
        </w:rPr>
        <w:t>7.4.7.19 其他费用</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2018年02月07日（基金合同生效日）至2018年12月31日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信息披露费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160,000.00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汇划手续费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3,044.71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账户维护费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指数使用费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24,313.19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222,757.90</w:t>
            </w:r>
          </w:p>
        </w:tc>
      </w:tr>
    </w:tbl>
    <w:p>
      <w:pPr>
        <w:widowControl/>
        <w:jc w:val="left"/>
        <w:rPr>
          <w:rFonts w:hint="eastAsia" w:ascii="宋体" w:hAnsi="宋体" w:cs="宋体"/>
          <w:kern w:val="0"/>
          <w:sz w:val="24"/>
          <w:szCs w:val="24"/>
        </w:rPr>
      </w:pPr>
    </w:p>
    <w:p>
      <w:pPr>
        <w:pStyle w:val="15"/>
        <w:rPr>
          <w:rFonts w:hint="eastAsia"/>
        </w:rPr>
      </w:pPr>
      <w:r>
        <w:rPr>
          <w:rFonts w:hint="eastAsia"/>
          <w:b/>
          <w:bCs/>
        </w:rPr>
        <w:t>7.4.8 或有事项、资产负债表日后事项的说明</w:t>
      </w:r>
    </w:p>
    <w:p>
      <w:pPr>
        <w:pStyle w:val="15"/>
        <w:rPr>
          <w:rFonts w:hint="eastAsia"/>
        </w:rPr>
      </w:pPr>
      <w:r>
        <w:rPr>
          <w:rFonts w:hint="eastAsia"/>
          <w:b/>
          <w:bCs/>
        </w:rPr>
        <w:t>7.4.8.1 或有事项</w:t>
      </w:r>
    </w:p>
    <w:p>
      <w:pPr>
        <w:pStyle w:val="20"/>
        <w:spacing w:before="0"/>
        <w:ind w:left="0" w:firstLine="480"/>
        <w:rPr>
          <w:rFonts w:hint="eastAsia"/>
        </w:rPr>
      </w:pPr>
      <w:r>
        <w:rPr>
          <w:rFonts w:hint="eastAsia"/>
        </w:rPr>
        <w:t>截至资产负债表日，本基金无须作披露的或有事项。</w:t>
      </w:r>
    </w:p>
    <w:p>
      <w:pPr>
        <w:widowControl/>
        <w:jc w:val="left"/>
        <w:rPr>
          <w:rFonts w:hint="eastAsia" w:ascii="宋体" w:hAnsi="宋体" w:cs="宋体"/>
          <w:kern w:val="0"/>
          <w:sz w:val="24"/>
          <w:szCs w:val="24"/>
        </w:rPr>
      </w:pPr>
    </w:p>
    <w:p>
      <w:pPr>
        <w:pStyle w:val="15"/>
        <w:rPr>
          <w:rFonts w:hint="eastAsia"/>
        </w:rPr>
      </w:pPr>
      <w:r>
        <w:rPr>
          <w:rFonts w:hint="eastAsia"/>
          <w:b/>
          <w:bCs/>
        </w:rPr>
        <w:t>7.4.8.2 资产负债表日后事项</w:t>
      </w:r>
    </w:p>
    <w:p>
      <w:pPr>
        <w:pStyle w:val="20"/>
        <w:spacing w:before="0"/>
        <w:ind w:left="0" w:firstLine="480"/>
        <w:rPr>
          <w:rFonts w:hint="eastAsia"/>
        </w:rPr>
      </w:pPr>
      <w:r>
        <w:rPr>
          <w:rFonts w:hint="eastAsia"/>
        </w:rPr>
        <w:t>截至本财务报表批准报出日，本基金无须作披露的资产负债表日后事项。</w:t>
      </w:r>
    </w:p>
    <w:p>
      <w:pPr>
        <w:widowControl/>
        <w:jc w:val="left"/>
        <w:rPr>
          <w:rFonts w:hint="eastAsia" w:ascii="宋体" w:hAnsi="宋体" w:cs="宋体"/>
          <w:kern w:val="0"/>
          <w:sz w:val="24"/>
          <w:szCs w:val="24"/>
        </w:rPr>
      </w:pPr>
    </w:p>
    <w:p>
      <w:pPr>
        <w:pStyle w:val="15"/>
        <w:rPr>
          <w:b/>
          <w:bCs/>
        </w:rPr>
      </w:pPr>
      <w:r>
        <w:rPr>
          <w:rFonts w:hint="eastAsia"/>
          <w:b/>
          <w:bCs/>
        </w:rPr>
        <w:t>7.4.9 关联方关系</w:t>
      </w:r>
    </w:p>
    <w:p>
      <w:pPr>
        <w:pStyle w:val="15"/>
        <w:rPr>
          <w:b/>
        </w:rPr>
      </w:pPr>
      <w:r>
        <w:rPr>
          <w:rFonts w:hint="eastAsia"/>
          <w:b/>
          <w:bCs/>
        </w:rPr>
        <w:t>7.4.9.1</w:t>
      </w:r>
      <w:r>
        <w:rPr>
          <w:b/>
          <w:bCs/>
        </w:rPr>
        <w:t xml:space="preserve"> </w:t>
      </w:r>
      <w:r>
        <w:rPr>
          <w:rFonts w:hint="eastAsia"/>
          <w:b/>
        </w:rPr>
        <w:t>本报告期存在控制关系或其他重大利害关系的关联方发生变化的情况</w:t>
      </w:r>
    </w:p>
    <w:p>
      <w:pPr>
        <w:pStyle w:val="15"/>
      </w:pPr>
      <w:r>
        <w:rPr>
          <w:rFonts w:hint="eastAsia"/>
        </w:rPr>
        <w:t>本报告期不存在重大关联方发生变化的情况。</w:t>
      </w:r>
    </w:p>
    <w:p>
      <w:pPr>
        <w:pStyle w:val="15"/>
        <w:rPr>
          <w:rFonts w:hint="eastAsia"/>
        </w:rPr>
      </w:pPr>
      <w:r>
        <w:rPr>
          <w:rFonts w:hint="eastAsia"/>
          <w:b/>
          <w:bCs/>
        </w:rPr>
        <w:t xml:space="preserve">7.4.9.2 </w:t>
      </w:r>
      <w:r>
        <w:rPr>
          <w:rFonts w:hint="eastAsia"/>
          <w:b/>
        </w:rPr>
        <w:t>本报告期与基金发生关联交易的各关联方</w:t>
      </w:r>
    </w:p>
    <w:tbl>
      <w:tblPr>
        <w:tblStyle w:val="7"/>
        <w:tblW w:w="9045" w:type="dxa"/>
        <w:tblInd w:w="108" w:type="dxa"/>
        <w:tblLayout w:type="autofit"/>
        <w:tblCellMar>
          <w:top w:w="0" w:type="dxa"/>
          <w:left w:w="108" w:type="dxa"/>
          <w:bottom w:w="0" w:type="dxa"/>
          <w:right w:w="108" w:type="dxa"/>
        </w:tblCellMar>
      </w:tblPr>
      <w:tblGrid>
        <w:gridCol w:w="4741"/>
        <w:gridCol w:w="4304"/>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关联方名称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与本基金的关系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基金管理人、注册登记机构、基金销售机构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招商银行股份有限公司(“招商银行”)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基金托管人、基金代销机构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第一创业证券股份有限公司(“第一创业证券”)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基金管理人的股东、基金代销机构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深圳市金合信投资合伙企业(有限合伙)</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基金管理人的股东</w:t>
            </w:r>
          </w:p>
        </w:tc>
      </w:tr>
    </w:tbl>
    <w:p>
      <w:pPr>
        <w:pStyle w:val="20"/>
        <w:rPr>
          <w:rFonts w:hint="eastAsia"/>
        </w:rPr>
      </w:pPr>
      <w:r>
        <w:rPr>
          <w:rFonts w:hint="eastAsia"/>
        </w:rPr>
        <w:t>注：下述关联交易均在正常业务范围内按一般商业条款订立。</w:t>
      </w:r>
    </w:p>
    <w:p>
      <w:pPr>
        <w:widowControl/>
        <w:jc w:val="left"/>
        <w:rPr>
          <w:rFonts w:hint="eastAsia" w:ascii="宋体" w:hAnsi="宋体" w:cs="宋体"/>
          <w:kern w:val="0"/>
          <w:sz w:val="24"/>
          <w:szCs w:val="24"/>
        </w:rPr>
      </w:pPr>
    </w:p>
    <w:p>
      <w:pPr>
        <w:pStyle w:val="15"/>
        <w:rPr>
          <w:rFonts w:hint="eastAsia"/>
        </w:rPr>
      </w:pPr>
      <w:r>
        <w:rPr>
          <w:rFonts w:hint="eastAsia"/>
          <w:b/>
          <w:bCs/>
        </w:rPr>
        <w:t>7.4.10 本报告期及上年度可比期间的关联方交易</w:t>
      </w:r>
    </w:p>
    <w:p>
      <w:pPr>
        <w:pStyle w:val="15"/>
        <w:rPr>
          <w:rFonts w:hint="eastAsia"/>
        </w:rPr>
      </w:pPr>
      <w:r>
        <w:rPr>
          <w:rFonts w:hint="eastAsia"/>
          <w:b/>
          <w:bCs/>
        </w:rPr>
        <w:t>7.4.10.1 通过关联方交易单元进行的交易</w:t>
      </w:r>
    </w:p>
    <w:p>
      <w:pPr>
        <w:pStyle w:val="15"/>
        <w:rPr>
          <w:rFonts w:hint="eastAsia"/>
        </w:rPr>
      </w:pPr>
      <w:r>
        <w:rPr>
          <w:rFonts w:hint="eastAsia"/>
          <w:b/>
          <w:bCs/>
        </w:rPr>
        <w:t>7.4.10.1.1 股票交易</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2222"/>
        <w:gridCol w:w="4761"/>
        <w:gridCol w:w="2062"/>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本期（基金合同生效日）</w:t>
            </w:r>
            <w:r>
              <w:rPr>
                <w:rFonts w:hint="eastAsia"/>
              </w:rPr>
              <w:br w:type="textWrapping"/>
            </w:r>
            <w:r>
              <w:rPr>
                <w:rFonts w:hint="eastAsia"/>
              </w:rPr>
              <w:t>2018年02月07日至2018年12月31日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88,882,277.34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71.26%</w:t>
            </w:r>
          </w:p>
        </w:tc>
      </w:tr>
    </w:tbl>
    <w:p>
      <w:pPr>
        <w:widowControl/>
        <w:jc w:val="left"/>
        <w:rPr>
          <w:rFonts w:hint="eastAsia" w:ascii="宋体" w:hAnsi="宋体" w:cs="宋体"/>
          <w:kern w:val="0"/>
          <w:sz w:val="24"/>
          <w:szCs w:val="24"/>
        </w:rPr>
      </w:pPr>
    </w:p>
    <w:p>
      <w:pPr>
        <w:pStyle w:val="15"/>
        <w:rPr>
          <w:rFonts w:hint="eastAsia"/>
        </w:rPr>
      </w:pPr>
      <w:r>
        <w:rPr>
          <w:rFonts w:hint="eastAsia"/>
          <w:b/>
          <w:bCs/>
        </w:rPr>
        <w:t>7.4.10.1.2 权证交易</w:t>
      </w:r>
    </w:p>
    <w:p>
      <w:pPr>
        <w:pStyle w:val="20"/>
        <w:rPr>
          <w:rFonts w:hint="eastAsia"/>
        </w:rPr>
      </w:pPr>
      <w:r>
        <w:rPr>
          <w:rFonts w:hint="eastAsia"/>
        </w:rPr>
        <w:t>本基金于本报告期未通过关联方交易单元进行权证交易。</w:t>
      </w:r>
    </w:p>
    <w:p>
      <w:pPr>
        <w:widowControl/>
        <w:jc w:val="left"/>
        <w:rPr>
          <w:rFonts w:hint="eastAsia" w:ascii="宋体" w:hAnsi="宋体" w:cs="宋体"/>
          <w:kern w:val="0"/>
          <w:sz w:val="24"/>
          <w:szCs w:val="24"/>
        </w:rPr>
      </w:pPr>
    </w:p>
    <w:p>
      <w:pPr>
        <w:pStyle w:val="15"/>
        <w:rPr>
          <w:rFonts w:hint="eastAsia"/>
        </w:rPr>
      </w:pPr>
      <w:r>
        <w:rPr>
          <w:rFonts w:hint="eastAsia"/>
          <w:b/>
          <w:bCs/>
        </w:rPr>
        <w:t>7.4.10.1.3 债券交易</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2222"/>
        <w:gridCol w:w="4761"/>
        <w:gridCol w:w="2062"/>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2018年02月07日（基金合同生效日）至2018年12月31日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占当期债券买卖成交总额的比例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3,010,194.40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60.01%</w:t>
            </w:r>
          </w:p>
        </w:tc>
      </w:tr>
    </w:tbl>
    <w:p>
      <w:pPr>
        <w:widowControl/>
        <w:jc w:val="left"/>
        <w:rPr>
          <w:rFonts w:hint="eastAsia" w:ascii="宋体" w:hAnsi="宋体" w:cs="宋体"/>
          <w:kern w:val="0"/>
          <w:sz w:val="24"/>
          <w:szCs w:val="24"/>
        </w:rPr>
      </w:pPr>
    </w:p>
    <w:p>
      <w:pPr>
        <w:pStyle w:val="15"/>
        <w:rPr>
          <w:rFonts w:hint="eastAsia"/>
        </w:rPr>
      </w:pPr>
      <w:r>
        <w:rPr>
          <w:rFonts w:hint="eastAsia"/>
          <w:b/>
          <w:bCs/>
        </w:rPr>
        <w:t>7.4.10.1.4 应支付关联方的佣金</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1266"/>
        <w:gridCol w:w="2714"/>
        <w:gridCol w:w="1105"/>
        <w:gridCol w:w="2714"/>
        <w:gridCol w:w="1246"/>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本期（基金合同生效日）</w:t>
            </w:r>
            <w:r>
              <w:rPr>
                <w:rFonts w:hint="eastAsia"/>
              </w:rPr>
              <w:br w:type="textWrapping"/>
            </w:r>
            <w:r>
              <w:rPr>
                <w:rFonts w:hint="eastAsia"/>
              </w:rPr>
              <w:t>2018年02月07日至2018年12月31日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当期佣金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期末应付佣金余额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占期末应付佣金总额的比例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64,399.83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bl>
    <w:p>
      <w:pPr>
        <w:pStyle w:val="20"/>
        <w:rPr>
          <w:rFonts w:hint="eastAsia"/>
        </w:rPr>
      </w:pPr>
      <w:r>
        <w:rPr>
          <w:rFonts w:hint="eastAsia"/>
        </w:rPr>
        <w:t>注：1.上述佣金参考市场价格经本基金的基金管理人与对方协商确定,以扣除由中国证券登记结算有限责任公司收取的证管费和经手费的净额列示。2.该类佣金协议的服务范围还包括佣金收取方为本基金提供的证券投资研究成果和市场信息服务等。</w:t>
      </w:r>
    </w:p>
    <w:p>
      <w:pPr>
        <w:widowControl/>
        <w:jc w:val="left"/>
        <w:rPr>
          <w:rFonts w:hint="eastAsia" w:ascii="宋体" w:hAnsi="宋体" w:cs="宋体"/>
          <w:kern w:val="0"/>
          <w:sz w:val="24"/>
          <w:szCs w:val="24"/>
        </w:rPr>
      </w:pPr>
    </w:p>
    <w:p>
      <w:pPr>
        <w:pStyle w:val="15"/>
        <w:rPr>
          <w:rFonts w:hint="eastAsia"/>
        </w:rPr>
      </w:pPr>
      <w:r>
        <w:rPr>
          <w:rFonts w:hint="eastAsia"/>
          <w:b/>
          <w:bCs/>
        </w:rPr>
        <w:t>7.4.10.2 关联方报酬</w:t>
      </w:r>
    </w:p>
    <w:p>
      <w:pPr>
        <w:pStyle w:val="15"/>
        <w:rPr>
          <w:rFonts w:hint="eastAsia"/>
        </w:rPr>
      </w:pPr>
      <w:r>
        <w:rPr>
          <w:rFonts w:hint="eastAsia"/>
          <w:b/>
          <w:bCs/>
        </w:rPr>
        <w:t>7.4.10.2.1 基金管理费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831"/>
        <w:gridCol w:w="5214"/>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2018年02月07日（基金合同生效日）至2018年12月31日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当期发生的基金应支付的管理费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349,445.80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其中：支付销售机构的客户维护费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169,930.37</w:t>
            </w:r>
          </w:p>
        </w:tc>
      </w:tr>
    </w:tbl>
    <w:p>
      <w:pPr>
        <w:pStyle w:val="20"/>
        <w:rPr>
          <w:rFonts w:hint="eastAsia"/>
        </w:rPr>
      </w:pPr>
      <w:r>
        <w:rPr>
          <w:rFonts w:hint="eastAsia"/>
        </w:rPr>
        <w:t>注：本基金的管理费按前一日基金资产净值的0.50%年费率计提。管理费的计算方法如下：</w:t>
      </w:r>
      <w:r>
        <w:rPr>
          <w:rFonts w:hint="eastAsia"/>
        </w:rPr>
        <w:br w:type="textWrapping"/>
      </w:r>
      <w:r>
        <w:rPr>
          <w:rFonts w:hint="eastAsia"/>
        </w:rPr>
        <w:t>H＝E×0.50%÷当年天数</w:t>
      </w:r>
      <w:r>
        <w:rPr>
          <w:rFonts w:hint="eastAsia"/>
        </w:rPr>
        <w:br w:type="textWrapping"/>
      </w:r>
      <w:r>
        <w:rPr>
          <w:rFonts w:hint="eastAsia"/>
        </w:rPr>
        <w:t>H为每日应计提的基金管理费</w:t>
      </w:r>
      <w:r>
        <w:rPr>
          <w:rFonts w:hint="eastAsia"/>
        </w:rPr>
        <w:br w:type="textWrapping"/>
      </w:r>
      <w:r>
        <w:rPr>
          <w:rFonts w:hint="eastAsia"/>
        </w:rPr>
        <w:t>E为前一日的基金资产净值</w:t>
      </w:r>
      <w:r>
        <w:rPr>
          <w:rFonts w:hint="eastAsia"/>
        </w:rPr>
        <w:br w:type="textWrapping"/>
      </w:r>
      <w:r>
        <w:rPr>
          <w:rFonts w:hint="eastAsia"/>
        </w:rPr>
        <w:t>基金管理费每日计算，逐日累计至每月月末，按月支付。经基金管理人与基金托管人双方核对无误后，基金托管人按照与基金管理人协商一致的方式于次月前5个工作日内从基金财产中一次性支付给基金管理人。若遇法定节假日、公休日等，支付日期顺延。</w:t>
      </w:r>
    </w:p>
    <w:p>
      <w:pPr>
        <w:widowControl/>
        <w:jc w:val="left"/>
        <w:rPr>
          <w:rFonts w:hint="eastAsia" w:ascii="宋体" w:hAnsi="宋体" w:cs="宋体"/>
          <w:kern w:val="0"/>
          <w:sz w:val="24"/>
          <w:szCs w:val="24"/>
        </w:rPr>
      </w:pPr>
    </w:p>
    <w:p>
      <w:pPr>
        <w:pStyle w:val="15"/>
        <w:rPr>
          <w:rFonts w:hint="eastAsia"/>
        </w:rPr>
      </w:pPr>
      <w:r>
        <w:rPr>
          <w:rFonts w:hint="eastAsia"/>
          <w:b/>
          <w:bCs/>
        </w:rPr>
        <w:t>7.4.10.2.2 基金托管费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591"/>
        <w:gridCol w:w="5454"/>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2018年02月07日（基金合同生效日）至2018年12月31日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当期发生的基金应支付的托管费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69,889.14</w:t>
            </w:r>
          </w:p>
        </w:tc>
      </w:tr>
    </w:tbl>
    <w:p>
      <w:pPr>
        <w:pStyle w:val="20"/>
        <w:rPr>
          <w:rFonts w:hint="eastAsia"/>
        </w:rPr>
      </w:pPr>
      <w:r>
        <w:rPr>
          <w:rFonts w:hint="eastAsia"/>
        </w:rPr>
        <w:t>注：本基金的托管费按前一日基金资产净值的0.10%的年费率计提。托管费的计算方法如下：</w:t>
      </w:r>
      <w:r>
        <w:rPr>
          <w:rFonts w:hint="eastAsia"/>
        </w:rPr>
        <w:br w:type="textWrapping"/>
      </w:r>
      <w:r>
        <w:rPr>
          <w:rFonts w:hint="eastAsia"/>
        </w:rPr>
        <w:t>H＝E×0.10%÷当年天数</w:t>
      </w:r>
      <w:r>
        <w:rPr>
          <w:rFonts w:hint="eastAsia"/>
        </w:rPr>
        <w:br w:type="textWrapping"/>
      </w:r>
      <w:r>
        <w:rPr>
          <w:rFonts w:hint="eastAsia"/>
        </w:rPr>
        <w:t>H为每日应计提的基金托管费</w:t>
      </w:r>
      <w:r>
        <w:rPr>
          <w:rFonts w:hint="eastAsia"/>
        </w:rPr>
        <w:br w:type="textWrapping"/>
      </w:r>
      <w:r>
        <w:rPr>
          <w:rFonts w:hint="eastAsia"/>
        </w:rPr>
        <w:t>E为前一日的基金资产净值</w:t>
      </w:r>
      <w:r>
        <w:rPr>
          <w:rFonts w:hint="eastAsia"/>
        </w:rPr>
        <w:br w:type="textWrapping"/>
      </w:r>
      <w:r>
        <w:rPr>
          <w:rFonts w:hint="eastAsia"/>
        </w:rPr>
        <w:t>基金托管费每日计算，逐日累计至每月月末，按月支付。经基金管理人与基金托管人双方核对无误后，基金托管人按照与基金管理人协商一致的方式于次月前5个工作日内从基金财产中一次性支取。若遇法定节假日、公休日等，支付日期顺延。</w:t>
      </w:r>
    </w:p>
    <w:p>
      <w:pPr>
        <w:widowControl/>
        <w:jc w:val="left"/>
        <w:rPr>
          <w:rFonts w:hint="eastAsia" w:ascii="宋体" w:hAnsi="宋体" w:cs="宋体"/>
          <w:kern w:val="0"/>
          <w:sz w:val="24"/>
          <w:szCs w:val="24"/>
        </w:rPr>
      </w:pPr>
    </w:p>
    <w:p>
      <w:pPr>
        <w:pStyle w:val="15"/>
        <w:rPr>
          <w:rFonts w:hint="eastAsia"/>
        </w:rPr>
      </w:pPr>
      <w:r>
        <w:rPr>
          <w:rFonts w:hint="eastAsia"/>
          <w:b/>
          <w:bCs/>
        </w:rPr>
        <w:t>7.4.10.2.3 销售服务费</w:t>
      </w:r>
    </w:p>
    <w:p>
      <w:pPr>
        <w:pStyle w:val="19"/>
        <w:rPr>
          <w:rFonts w:hint="eastAsia"/>
        </w:rPr>
      </w:pPr>
      <w:r>
        <w:rPr>
          <w:rFonts w:hint="eastAsia" w:hAnsi="Calibri"/>
          <w:color w:val="000000"/>
        </w:rPr>
        <w:t>单位：人民币元</w:t>
      </w:r>
    </w:p>
    <w:tbl>
      <w:tblPr>
        <w:tblStyle w:val="7"/>
        <w:tblW w:w="9045" w:type="dxa"/>
        <w:tblInd w:w="226" w:type="dxa"/>
        <w:tblLayout w:type="autofit"/>
        <w:tblCellMar>
          <w:top w:w="0" w:type="dxa"/>
          <w:left w:w="108" w:type="dxa"/>
          <w:bottom w:w="0" w:type="dxa"/>
          <w:right w:w="108" w:type="dxa"/>
        </w:tblCellMar>
      </w:tblPr>
      <w:tblGrid>
        <w:gridCol w:w="1358"/>
        <w:gridCol w:w="3236"/>
        <w:gridCol w:w="3236"/>
        <w:gridCol w:w="1215"/>
      </w:tblGrid>
      <w:tr>
        <w:tblPrEx>
          <w:tblCellMar>
            <w:top w:w="0" w:type="dxa"/>
            <w:left w:w="108" w:type="dxa"/>
            <w:bottom w:w="0" w:type="dxa"/>
            <w:right w:w="108" w:type="dxa"/>
          </w:tblCellMar>
        </w:tblPrEx>
        <w:trPr>
          <w:wBefore w:w="0" w:type="auto"/>
        </w:trPr>
        <w:tc>
          <w:tcPr>
            <w:tcW w:w="7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获得销售服务费的各关联方名称</w:t>
            </w: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2018年02月07日（基金合同生效日）至2018年12月31日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当期发生的基金应支付的销售服务费</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创金合信MSCI中国A股国际指数A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创金合信MSCI中国A股国际指数C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6,574.51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6,574.51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创金合信直销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8,117.37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8,117.37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14,692.72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14,692.72</w:t>
            </w:r>
          </w:p>
        </w:tc>
      </w:tr>
    </w:tbl>
    <w:p>
      <w:pPr>
        <w:pStyle w:val="20"/>
        <w:rPr>
          <w:rFonts w:hint="eastAsia"/>
        </w:rPr>
      </w:pPr>
      <w:r>
        <w:rPr>
          <w:rFonts w:hint="eastAsia"/>
        </w:rPr>
        <w:t>注：本基金A类基金份额不收取销售服务费，仅就C类基金份额收取销售服务费。本基金C类基金份额的销售服务费按前一日该类基金份额基金资产净值的0.20%的年费率计提。销售服务费的计算方法如下：</w:t>
      </w:r>
      <w:r>
        <w:rPr>
          <w:rFonts w:hint="eastAsia"/>
        </w:rPr>
        <w:br w:type="textWrapping"/>
      </w:r>
      <w:r>
        <w:rPr>
          <w:rFonts w:hint="eastAsia"/>
        </w:rPr>
        <w:t>H＝E×0.20%÷当年天数</w:t>
      </w:r>
      <w:r>
        <w:rPr>
          <w:rFonts w:hint="eastAsia"/>
        </w:rPr>
        <w:br w:type="textWrapping"/>
      </w:r>
      <w:r>
        <w:rPr>
          <w:rFonts w:hint="eastAsia"/>
        </w:rPr>
        <w:t>H 为C类基金份额每日应计提的销售服务费</w:t>
      </w:r>
      <w:r>
        <w:rPr>
          <w:rFonts w:hint="eastAsia"/>
        </w:rPr>
        <w:br w:type="textWrapping"/>
      </w:r>
      <w:r>
        <w:rPr>
          <w:rFonts w:hint="eastAsia"/>
        </w:rPr>
        <w:t>E 为C类基金份额前一日的基金资产净值</w:t>
      </w:r>
      <w:r>
        <w:rPr>
          <w:rFonts w:hint="eastAsia"/>
        </w:rPr>
        <w:br w:type="textWrapping"/>
      </w:r>
      <w:r>
        <w:rPr>
          <w:rFonts w:hint="eastAsia"/>
        </w:rPr>
        <w:t>销售服务费每日计算，逐日累计至每月月末，按月支付。经基金管理人与基金托管人双方核对无误后，基金托管人按照与基金管理人协商一致的方式于次月前5个工作日内从基金财产中一次性支付，由登记机构代收，登记机构收到后按相关合同规定支付给基金销售机构等。若遇法定节假日、公休日等，支付日期顺延。</w:t>
      </w:r>
      <w:r>
        <w:rPr>
          <w:rFonts w:hint="eastAsia"/>
        </w:rPr>
        <w:br w:type="textWrapping"/>
      </w:r>
      <w:r>
        <w:rPr>
          <w:rFonts w:hint="eastAsia"/>
        </w:rPr>
        <w:t>销售服务费可用于本基金市场推广、销售以及基金份额持有人服务等各项费用。</w:t>
      </w:r>
    </w:p>
    <w:p>
      <w:pPr>
        <w:widowControl/>
        <w:jc w:val="left"/>
        <w:rPr>
          <w:rFonts w:hint="eastAsia" w:ascii="宋体" w:hAnsi="宋体" w:cs="宋体"/>
          <w:kern w:val="0"/>
          <w:sz w:val="24"/>
          <w:szCs w:val="24"/>
        </w:rPr>
      </w:pPr>
    </w:p>
    <w:p>
      <w:pPr>
        <w:pStyle w:val="15"/>
        <w:rPr>
          <w:rFonts w:hint="eastAsia"/>
        </w:rPr>
      </w:pPr>
      <w:r>
        <w:rPr>
          <w:rFonts w:hint="eastAsia"/>
          <w:b/>
          <w:bCs/>
        </w:rPr>
        <w:t>7.4.10.3 与关联方进行银行间同业市场的债券(含回购)交易</w:t>
      </w:r>
    </w:p>
    <w:p>
      <w:pPr>
        <w:pStyle w:val="20"/>
        <w:rPr>
          <w:rFonts w:hint="eastAsia"/>
        </w:rPr>
      </w:pPr>
      <w:r>
        <w:rPr>
          <w:rFonts w:hint="eastAsia"/>
        </w:rPr>
        <w:t>本基金本报告期内未发生与关联方进行银行间同业市场的债券(含回购)交易。</w:t>
      </w:r>
    </w:p>
    <w:p>
      <w:pPr>
        <w:widowControl/>
        <w:jc w:val="left"/>
        <w:rPr>
          <w:rFonts w:hint="eastAsia" w:ascii="宋体" w:hAnsi="宋体" w:cs="宋体"/>
          <w:kern w:val="0"/>
          <w:sz w:val="24"/>
          <w:szCs w:val="24"/>
        </w:rPr>
      </w:pPr>
    </w:p>
    <w:p>
      <w:pPr>
        <w:pStyle w:val="15"/>
        <w:rPr>
          <w:rFonts w:hint="eastAsia"/>
        </w:rPr>
      </w:pPr>
      <w:r>
        <w:rPr>
          <w:rFonts w:hint="eastAsia"/>
          <w:b/>
          <w:bCs/>
        </w:rPr>
        <w:t>7.4.10.4 各关联方投资本基金的情况</w:t>
      </w:r>
    </w:p>
    <w:p>
      <w:pPr>
        <w:pStyle w:val="15"/>
        <w:rPr>
          <w:rFonts w:hint="eastAsia"/>
        </w:rPr>
      </w:pPr>
      <w:r>
        <w:rPr>
          <w:rFonts w:hint="eastAsia"/>
          <w:b/>
          <w:bCs/>
        </w:rPr>
        <w:t>7.4.10.4.1 报告期内基金管理人运用固有资金投资本基金的情况</w:t>
      </w:r>
    </w:p>
    <w:p>
      <w:pPr>
        <w:pStyle w:val="17"/>
        <w:rPr>
          <w:rFonts w:hint="eastAsia"/>
        </w:rPr>
      </w:pPr>
      <w:r>
        <w:rPr>
          <w:rFonts w:hint="eastAsia" w:hAnsi="Calibri"/>
          <w:color w:val="000000"/>
        </w:rPr>
        <w:t>创金合信MSCI中国A股国际指数A</w:t>
      </w:r>
    </w:p>
    <w:p>
      <w:pPr>
        <w:pStyle w:val="19"/>
        <w:rPr>
          <w:rFonts w:hint="eastAsia"/>
        </w:rPr>
      </w:pPr>
      <w:r>
        <w:rPr>
          <w:rFonts w:hint="eastAsia" w:hAnsi="Calibri"/>
          <w:color w:val="000000"/>
        </w:rPr>
        <w:t>份额单位：份</w:t>
      </w:r>
    </w:p>
    <w:tbl>
      <w:tblPr>
        <w:tblStyle w:val="7"/>
        <w:tblW w:w="9045" w:type="dxa"/>
        <w:tblInd w:w="226" w:type="dxa"/>
        <w:tblLayout w:type="autofit"/>
        <w:tblCellMar>
          <w:top w:w="0" w:type="dxa"/>
          <w:left w:w="108" w:type="dxa"/>
          <w:bottom w:w="0" w:type="dxa"/>
          <w:right w:w="108" w:type="dxa"/>
        </w:tblCellMar>
      </w:tblPr>
      <w:tblGrid>
        <w:gridCol w:w="2713"/>
        <w:gridCol w:w="6332"/>
      </w:tblGrid>
      <w:tr>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8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2018年02月07日（基金合同生效日）至2018年12月31日</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基金合同生效日（2018年02月07日）持有的基金份额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5,000,450.09</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报告期初持有的基金份额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报告期间申购/买入总份额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报告期间因拆分变动份额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减：报告期间赎回/卖出总份额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报告期末持有的基金份额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5,000,450.09</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报告期末持有的基金份额占基金总份额比例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7.85%</w:t>
            </w:r>
          </w:p>
        </w:tc>
      </w:tr>
    </w:tbl>
    <w:p>
      <w:pPr>
        <w:pStyle w:val="17"/>
        <w:rPr>
          <w:rFonts w:hint="eastAsia"/>
        </w:rPr>
      </w:pPr>
      <w:r>
        <w:rPr>
          <w:rFonts w:hint="eastAsia" w:hAnsi="Calibri"/>
          <w:color w:val="000000"/>
        </w:rPr>
        <w:t>创金合信MSCI中国A股国际指数C</w:t>
      </w:r>
    </w:p>
    <w:p>
      <w:pPr>
        <w:pStyle w:val="19"/>
        <w:rPr>
          <w:rFonts w:hint="eastAsia"/>
        </w:rPr>
      </w:pPr>
      <w:r>
        <w:rPr>
          <w:rFonts w:hint="eastAsia" w:hAnsi="Calibri"/>
          <w:color w:val="000000"/>
        </w:rPr>
        <w:t>份额单位：份</w:t>
      </w:r>
    </w:p>
    <w:tbl>
      <w:tblPr>
        <w:tblStyle w:val="7"/>
        <w:tblW w:w="9045" w:type="dxa"/>
        <w:tblInd w:w="226" w:type="dxa"/>
        <w:tblLayout w:type="autofit"/>
        <w:tblCellMar>
          <w:top w:w="0" w:type="dxa"/>
          <w:left w:w="108" w:type="dxa"/>
          <w:bottom w:w="0" w:type="dxa"/>
          <w:right w:w="108" w:type="dxa"/>
        </w:tblCellMar>
      </w:tblPr>
      <w:tblGrid>
        <w:gridCol w:w="2713"/>
        <w:gridCol w:w="6332"/>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8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2018年02月07日（基金合同生效日）至2018年12月31日</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基金合同生效日（2018年02月07日）持有的基金份额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5,000,450.00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报告期初持有的基金份额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报告期间申购/买入总份额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报告期间因拆分变动份额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减：报告期间赎回/卖出总份额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报告期末持有的基金份额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5,000,450.00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报告期末持有的基金份额占基金总份额比例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26.93%</w:t>
            </w:r>
          </w:p>
        </w:tc>
      </w:tr>
    </w:tbl>
    <w:p>
      <w:pPr>
        <w:widowControl/>
        <w:jc w:val="left"/>
        <w:rPr>
          <w:rFonts w:hint="eastAsia" w:ascii="宋体" w:hAnsi="宋体" w:cs="宋体"/>
          <w:kern w:val="0"/>
          <w:sz w:val="24"/>
          <w:szCs w:val="24"/>
        </w:rPr>
      </w:pPr>
    </w:p>
    <w:p>
      <w:pPr>
        <w:pStyle w:val="15"/>
        <w:rPr>
          <w:rFonts w:hint="eastAsia"/>
        </w:rPr>
      </w:pPr>
      <w:r>
        <w:rPr>
          <w:rFonts w:hint="eastAsia"/>
          <w:b/>
          <w:bCs/>
        </w:rPr>
        <w:t>7.4.10.4.2 报告期末除基金管理人之外的其他关联方投资本基金的情况</w:t>
      </w:r>
    </w:p>
    <w:p>
      <w:pPr>
        <w:pStyle w:val="20"/>
        <w:rPr>
          <w:rFonts w:hint="eastAsia"/>
        </w:rPr>
      </w:pPr>
      <w:r>
        <w:rPr>
          <w:rFonts w:hint="eastAsia"/>
        </w:rPr>
        <w:t>本报告期末无除基金管理人之外的其他关联方投资本基金的情况。</w:t>
      </w:r>
    </w:p>
    <w:p>
      <w:pPr>
        <w:widowControl/>
        <w:jc w:val="left"/>
        <w:rPr>
          <w:rFonts w:hint="eastAsia" w:ascii="宋体" w:hAnsi="宋体" w:cs="宋体"/>
          <w:kern w:val="0"/>
          <w:sz w:val="24"/>
          <w:szCs w:val="24"/>
        </w:rPr>
      </w:pPr>
    </w:p>
    <w:p>
      <w:pPr>
        <w:pStyle w:val="15"/>
        <w:rPr>
          <w:rFonts w:hint="eastAsia"/>
        </w:rPr>
      </w:pPr>
      <w:r>
        <w:rPr>
          <w:rFonts w:hint="eastAsia"/>
          <w:b/>
          <w:bCs/>
        </w:rPr>
        <w:t>7.4.10.5 由关联方保管的银行存款余额及当期产生的利息收入</w:t>
      </w:r>
    </w:p>
    <w:p>
      <w:pPr>
        <w:pStyle w:val="19"/>
        <w:rPr>
          <w:rFonts w:hint="eastAsia"/>
        </w:rPr>
      </w:pPr>
      <w:r>
        <w:rPr>
          <w:rFonts w:hint="eastAsia" w:hAnsi="Calibri"/>
          <w:color w:val="000000"/>
        </w:rPr>
        <w:t>单位：人民币元</w:t>
      </w:r>
    </w:p>
    <w:tbl>
      <w:tblPr>
        <w:tblStyle w:val="7"/>
        <w:tblW w:w="9045" w:type="dxa"/>
        <w:tblInd w:w="226" w:type="dxa"/>
        <w:tblLayout w:type="autofit"/>
        <w:tblCellMar>
          <w:top w:w="0" w:type="dxa"/>
          <w:left w:w="108" w:type="dxa"/>
          <w:bottom w:w="0" w:type="dxa"/>
          <w:right w:w="108" w:type="dxa"/>
        </w:tblCellMar>
      </w:tblPr>
      <w:tblGrid>
        <w:gridCol w:w="1265"/>
        <w:gridCol w:w="3890"/>
        <w:gridCol w:w="3890"/>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2018年02月07日（基金合同生效日）至2018年12月31日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当期利息收入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招商银行股份有限公司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1,865,175.94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32,420.36</w:t>
            </w:r>
          </w:p>
        </w:tc>
      </w:tr>
    </w:tbl>
    <w:p>
      <w:pPr>
        <w:pStyle w:val="20"/>
        <w:rPr>
          <w:rFonts w:hint="eastAsia"/>
        </w:rPr>
      </w:pPr>
      <w:r>
        <w:rPr>
          <w:rFonts w:hint="eastAsia"/>
        </w:rPr>
        <w:t>注：本基金的银行存款由基金托管人招商银行保管，按银行同业存款利率计息。</w:t>
      </w:r>
    </w:p>
    <w:p>
      <w:pPr>
        <w:widowControl/>
        <w:jc w:val="left"/>
        <w:rPr>
          <w:rFonts w:hint="eastAsia" w:ascii="宋体" w:hAnsi="宋体" w:cs="宋体"/>
          <w:kern w:val="0"/>
          <w:sz w:val="24"/>
          <w:szCs w:val="24"/>
        </w:rPr>
      </w:pPr>
    </w:p>
    <w:p>
      <w:pPr>
        <w:pStyle w:val="15"/>
        <w:rPr>
          <w:rFonts w:hint="eastAsia"/>
        </w:rPr>
      </w:pPr>
      <w:r>
        <w:rPr>
          <w:rFonts w:hint="eastAsia"/>
          <w:b/>
          <w:bCs/>
        </w:rPr>
        <w:t>7.4.10.6 本基金在承销期内参与关联方承销证券的情况</w:t>
      </w:r>
    </w:p>
    <w:p>
      <w:pPr>
        <w:pStyle w:val="20"/>
        <w:rPr>
          <w:rFonts w:hint="eastAsia"/>
        </w:rPr>
      </w:pPr>
      <w:r>
        <w:rPr>
          <w:rFonts w:hint="eastAsia"/>
        </w:rPr>
        <w:t>本基金本报告期未发生在承销期内参与关联方承销证券的情况。</w:t>
      </w:r>
    </w:p>
    <w:p>
      <w:pPr>
        <w:widowControl/>
        <w:jc w:val="left"/>
        <w:rPr>
          <w:rFonts w:hint="eastAsia" w:ascii="宋体" w:hAnsi="宋体" w:cs="宋体"/>
          <w:kern w:val="0"/>
          <w:sz w:val="24"/>
          <w:szCs w:val="24"/>
        </w:rPr>
      </w:pPr>
    </w:p>
    <w:p>
      <w:pPr>
        <w:pStyle w:val="15"/>
        <w:rPr>
          <w:rFonts w:hint="eastAsia"/>
        </w:rPr>
      </w:pPr>
      <w:r>
        <w:rPr>
          <w:rFonts w:hint="eastAsia"/>
          <w:b/>
          <w:bCs/>
        </w:rPr>
        <w:t>7.4.10.7 其他关联交易事项的说明</w:t>
      </w:r>
    </w:p>
    <w:p>
      <w:pPr>
        <w:pStyle w:val="20"/>
        <w:spacing w:before="0"/>
        <w:ind w:left="0" w:firstLine="480"/>
        <w:rPr>
          <w:rFonts w:hint="eastAsia"/>
        </w:rPr>
      </w:pPr>
      <w:r>
        <w:rPr>
          <w:rFonts w:hint="eastAsia"/>
        </w:rPr>
        <w:t>于2018年12月31日，本基金持有66,600.00股招商银行A股普通股，成本总额为人民币1,907,705.23元，估值总额为1,678,320.00元，占基金资产净值比例为2.59%。</w:t>
      </w:r>
    </w:p>
    <w:p>
      <w:pPr>
        <w:widowControl/>
        <w:jc w:val="left"/>
        <w:rPr>
          <w:rFonts w:hint="eastAsia" w:ascii="宋体" w:hAnsi="宋体" w:cs="宋体"/>
          <w:kern w:val="0"/>
          <w:sz w:val="24"/>
          <w:szCs w:val="24"/>
        </w:rPr>
      </w:pPr>
    </w:p>
    <w:p>
      <w:pPr>
        <w:pStyle w:val="15"/>
        <w:rPr>
          <w:rFonts w:hint="eastAsia"/>
        </w:rPr>
      </w:pPr>
      <w:r>
        <w:rPr>
          <w:rFonts w:hint="eastAsia"/>
          <w:b/>
          <w:bCs/>
        </w:rPr>
        <w:t>7.4.11 利润分配情况--非货币市场基金</w:t>
      </w:r>
    </w:p>
    <w:p>
      <w:pPr>
        <w:pStyle w:val="20"/>
        <w:rPr>
          <w:rFonts w:hint="eastAsia"/>
        </w:rPr>
      </w:pPr>
      <w:r>
        <w:rPr>
          <w:rFonts w:hint="eastAsia"/>
        </w:rPr>
        <w:t>本基金于本期未进行利润分配。</w:t>
      </w:r>
    </w:p>
    <w:p>
      <w:pPr>
        <w:widowControl/>
        <w:jc w:val="left"/>
        <w:rPr>
          <w:rFonts w:hint="eastAsia" w:ascii="宋体" w:hAnsi="宋体" w:cs="宋体"/>
          <w:kern w:val="0"/>
          <w:sz w:val="24"/>
          <w:szCs w:val="24"/>
        </w:rPr>
      </w:pPr>
    </w:p>
    <w:p>
      <w:pPr>
        <w:pStyle w:val="15"/>
        <w:rPr>
          <w:rFonts w:hint="eastAsia"/>
        </w:rPr>
      </w:pPr>
      <w:r>
        <w:rPr>
          <w:rFonts w:hint="eastAsia"/>
          <w:b/>
          <w:bCs/>
        </w:rPr>
        <w:t>7.4.12 期末（2018年12月31日）本基金持有的流通受限证券</w:t>
      </w:r>
    </w:p>
    <w:p>
      <w:pPr>
        <w:pStyle w:val="15"/>
        <w:rPr>
          <w:rFonts w:hint="eastAsia"/>
        </w:rPr>
      </w:pPr>
      <w:r>
        <w:rPr>
          <w:rFonts w:hint="eastAsia"/>
          <w:b/>
          <w:bCs/>
        </w:rPr>
        <w:t>7.4.12.1 因认购新发/增发证券而于期末持有的流通受限证券</w:t>
      </w:r>
    </w:p>
    <w:p>
      <w:pPr>
        <w:pStyle w:val="20"/>
        <w:rPr>
          <w:rFonts w:hint="eastAsia"/>
        </w:rPr>
      </w:pPr>
      <w:r>
        <w:rPr>
          <w:rFonts w:hint="eastAsia"/>
        </w:rPr>
        <w:t>本基金本报告期末未持有因认购新发/增发证券而流通受限的证券。</w:t>
      </w:r>
    </w:p>
    <w:p>
      <w:pPr>
        <w:widowControl/>
        <w:jc w:val="left"/>
        <w:rPr>
          <w:rFonts w:hint="eastAsia" w:ascii="宋体" w:hAnsi="宋体" w:cs="宋体"/>
          <w:kern w:val="0"/>
          <w:sz w:val="24"/>
          <w:szCs w:val="24"/>
        </w:rPr>
      </w:pPr>
    </w:p>
    <w:p>
      <w:pPr>
        <w:pStyle w:val="15"/>
        <w:rPr>
          <w:rFonts w:hint="eastAsia"/>
        </w:rPr>
      </w:pPr>
      <w:r>
        <w:rPr>
          <w:rFonts w:hint="eastAsia"/>
          <w:b/>
          <w:bCs/>
        </w:rPr>
        <w:t>7.4.12.2 期末持有的暂时停牌等流通受限股票</w:t>
      </w:r>
    </w:p>
    <w:p>
      <w:pPr>
        <w:pStyle w:val="19"/>
        <w:rPr>
          <w:rFonts w:hint="eastAsia"/>
        </w:rPr>
      </w:pPr>
      <w:r>
        <w:rPr>
          <w:rFonts w:hint="eastAsia" w:hAnsi="Calibri"/>
          <w:color w:val="000000"/>
        </w:rPr>
        <w:t>金额单位：人民币元</w:t>
      </w:r>
    </w:p>
    <w:tbl>
      <w:tblPr>
        <w:tblStyle w:val="7"/>
        <w:tblW w:w="0" w:type="auto"/>
        <w:tblInd w:w="226" w:type="dxa"/>
        <w:tblLayout w:type="autofit"/>
        <w:tblCellMar>
          <w:top w:w="0" w:type="dxa"/>
          <w:left w:w="108" w:type="dxa"/>
          <w:bottom w:w="0" w:type="dxa"/>
          <w:right w:w="108" w:type="dxa"/>
        </w:tblCellMar>
      </w:tblPr>
      <w:tblGrid>
        <w:gridCol w:w="652"/>
        <w:gridCol w:w="651"/>
        <w:gridCol w:w="651"/>
        <w:gridCol w:w="651"/>
        <w:gridCol w:w="651"/>
        <w:gridCol w:w="651"/>
        <w:gridCol w:w="651"/>
        <w:gridCol w:w="1083"/>
        <w:gridCol w:w="1335"/>
        <w:gridCol w:w="1335"/>
        <w:gridCol w:w="651"/>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停牌日期</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停牌原因</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复牌日期</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复牌开盘单价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期末成本总额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备注</w:t>
            </w:r>
          </w:p>
        </w:tc>
      </w:tr>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600030</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中信证券</w:t>
            </w:r>
          </w:p>
        </w:tc>
        <w:tc>
          <w:tcPr>
            <w:tcW w:w="19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2018-12-25</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重大事项停牌</w:t>
            </w:r>
          </w:p>
        </w:tc>
        <w:tc>
          <w:tcPr>
            <w:tcW w:w="19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16.01</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2019-01-10</w:t>
            </w:r>
          </w:p>
        </w:tc>
        <w:tc>
          <w:tcPr>
            <w:tcW w:w="19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17.15</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31,700</w:t>
            </w:r>
          </w:p>
        </w:tc>
        <w:tc>
          <w:tcPr>
            <w:tcW w:w="90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594,963.60</w:t>
            </w:r>
          </w:p>
        </w:tc>
        <w:tc>
          <w:tcPr>
            <w:tcW w:w="90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507,517.00</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002183</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怡亚通</w:t>
            </w:r>
          </w:p>
        </w:tc>
        <w:tc>
          <w:tcPr>
            <w:tcW w:w="19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2018-12-25</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重大事项停牌</w:t>
            </w:r>
          </w:p>
        </w:tc>
        <w:tc>
          <w:tcPr>
            <w:tcW w:w="19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5.01</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2019-01-02</w:t>
            </w:r>
          </w:p>
        </w:tc>
        <w:tc>
          <w:tcPr>
            <w:tcW w:w="19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4.96</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6,800</w:t>
            </w:r>
          </w:p>
        </w:tc>
        <w:tc>
          <w:tcPr>
            <w:tcW w:w="90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45,168.20</w:t>
            </w:r>
          </w:p>
        </w:tc>
        <w:tc>
          <w:tcPr>
            <w:tcW w:w="90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34,068.00</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w:t>
            </w:r>
          </w:p>
        </w:tc>
      </w:tr>
    </w:tbl>
    <w:p>
      <w:pPr>
        <w:widowControl/>
        <w:jc w:val="left"/>
        <w:rPr>
          <w:rFonts w:hint="eastAsia" w:ascii="宋体" w:hAnsi="宋体" w:cs="宋体"/>
          <w:kern w:val="0"/>
          <w:sz w:val="24"/>
          <w:szCs w:val="24"/>
        </w:rPr>
      </w:pPr>
    </w:p>
    <w:p>
      <w:pPr>
        <w:pStyle w:val="15"/>
        <w:rPr>
          <w:rFonts w:hint="eastAsia"/>
        </w:rPr>
      </w:pPr>
      <w:r>
        <w:rPr>
          <w:rFonts w:hint="eastAsia"/>
          <w:b/>
          <w:bCs/>
        </w:rPr>
        <w:t>7.4.12.3 期末债券正回购交易中作为抵押的债券</w:t>
      </w:r>
    </w:p>
    <w:p>
      <w:pPr>
        <w:pStyle w:val="15"/>
        <w:rPr>
          <w:rFonts w:hint="eastAsia"/>
        </w:rPr>
      </w:pPr>
      <w:r>
        <w:rPr>
          <w:rFonts w:hint="eastAsia"/>
          <w:b/>
          <w:bCs/>
        </w:rPr>
        <w:t>7.4.12.3.1 银行间市场债券正回购</w:t>
      </w:r>
    </w:p>
    <w:p>
      <w:pPr>
        <w:pStyle w:val="20"/>
        <w:rPr>
          <w:rFonts w:hint="eastAsia"/>
        </w:rPr>
      </w:pPr>
      <w:r>
        <w:rPr>
          <w:rFonts w:hint="eastAsia"/>
        </w:rPr>
        <w:t>截至本报告期末2018年12月31日止,本基金从事银行间市场债券正回购交易形成的卖出回购证券款余额为0,无抵押债券。</w:t>
      </w:r>
    </w:p>
    <w:p>
      <w:pPr>
        <w:widowControl/>
        <w:jc w:val="left"/>
        <w:rPr>
          <w:rFonts w:hint="eastAsia" w:ascii="宋体" w:hAnsi="宋体" w:cs="宋体"/>
          <w:kern w:val="0"/>
          <w:sz w:val="24"/>
          <w:szCs w:val="24"/>
        </w:rPr>
      </w:pPr>
    </w:p>
    <w:p>
      <w:pPr>
        <w:pStyle w:val="15"/>
        <w:rPr>
          <w:rFonts w:hint="eastAsia"/>
        </w:rPr>
      </w:pPr>
      <w:r>
        <w:rPr>
          <w:rFonts w:hint="eastAsia"/>
          <w:b/>
          <w:bCs/>
        </w:rPr>
        <w:t>7.4.12.3.2 交易所市场债券正回购</w:t>
      </w:r>
    </w:p>
    <w:p>
      <w:pPr>
        <w:pStyle w:val="20"/>
        <w:spacing w:before="0"/>
        <w:ind w:left="0" w:firstLine="480"/>
        <w:rPr>
          <w:rFonts w:hint="eastAsia"/>
        </w:rPr>
      </w:pPr>
      <w:r>
        <w:rPr>
          <w:rFonts w:hint="eastAsia"/>
        </w:rPr>
        <w:t>截至本报告期末2018年12月31日止,本基金从事交易所债券正回购交易形成的卖出回购证券款余额为0,无抵押债券。</w:t>
      </w:r>
    </w:p>
    <w:p>
      <w:pPr>
        <w:widowControl/>
        <w:jc w:val="left"/>
        <w:rPr>
          <w:rFonts w:hint="eastAsia" w:ascii="宋体" w:hAnsi="宋体" w:cs="宋体"/>
          <w:kern w:val="0"/>
          <w:sz w:val="24"/>
          <w:szCs w:val="24"/>
        </w:rPr>
      </w:pPr>
    </w:p>
    <w:p>
      <w:pPr>
        <w:pStyle w:val="15"/>
        <w:rPr>
          <w:rFonts w:hint="eastAsia"/>
        </w:rPr>
      </w:pPr>
      <w:r>
        <w:rPr>
          <w:rFonts w:hint="eastAsia"/>
          <w:b/>
          <w:bCs/>
        </w:rPr>
        <w:t>7.4.13 金融工具风险及管理</w:t>
      </w:r>
    </w:p>
    <w:p>
      <w:pPr>
        <w:pStyle w:val="15"/>
        <w:rPr>
          <w:rFonts w:hint="eastAsia"/>
        </w:rPr>
      </w:pPr>
      <w:r>
        <w:rPr>
          <w:rFonts w:hint="eastAsia"/>
          <w:b/>
          <w:bCs/>
        </w:rPr>
        <w:t>7.4.13.1 风险管理政策和组织架构</w:t>
      </w:r>
    </w:p>
    <w:p>
      <w:pPr>
        <w:pStyle w:val="20"/>
        <w:spacing w:before="0"/>
        <w:ind w:left="0" w:firstLine="480"/>
        <w:rPr>
          <w:rFonts w:hint="eastAsia"/>
        </w:rPr>
      </w:pPr>
      <w:r>
        <w:rPr>
          <w:rFonts w:hint="eastAsia"/>
        </w:rPr>
        <w:t>本基金在日常经营活动中涉及的金融工具风险主要包括信用风险、流动性风险及市场风险。本基金管理人制定了政策和程序来识别及分析这些风险，并设定适当的风险限额及内部控制流程，通过可靠的管理及信息系统持续监控上述各类风险。</w:t>
      </w:r>
    </w:p>
    <w:p>
      <w:pPr>
        <w:pStyle w:val="20"/>
        <w:spacing w:before="0"/>
        <w:ind w:left="0" w:firstLine="480"/>
        <w:rPr>
          <w:rFonts w:hint="eastAsia"/>
        </w:rPr>
      </w:pPr>
      <w:r>
        <w:rPr>
          <w:rFonts w:hint="eastAsia"/>
        </w:rPr>
        <w:t>本基金的基金管理人奉行全面风险管理体系的建设，建立了以风控与审计委员会为核心的、由督察长、风险控制办公会、监察稽核部和相关业务部门构成的四级风险管理架构体系。</w:t>
      </w:r>
    </w:p>
    <w:p>
      <w:pPr>
        <w:widowControl/>
        <w:jc w:val="left"/>
        <w:rPr>
          <w:rFonts w:hint="eastAsia" w:ascii="宋体" w:hAnsi="宋体" w:cs="宋体"/>
          <w:kern w:val="0"/>
          <w:sz w:val="24"/>
          <w:szCs w:val="24"/>
        </w:rPr>
      </w:pPr>
    </w:p>
    <w:p>
      <w:pPr>
        <w:pStyle w:val="15"/>
        <w:rPr>
          <w:rFonts w:hint="eastAsia"/>
        </w:rPr>
      </w:pPr>
      <w:r>
        <w:rPr>
          <w:rFonts w:hint="eastAsia"/>
          <w:b/>
          <w:bCs/>
        </w:rPr>
        <w:t>7.4.13.2 信用风险</w:t>
      </w:r>
    </w:p>
    <w:p>
      <w:pPr>
        <w:pStyle w:val="20"/>
        <w:spacing w:before="0"/>
        <w:ind w:left="0" w:firstLine="480"/>
        <w:rPr>
          <w:rFonts w:hint="eastAsia"/>
        </w:rPr>
      </w:pPr>
      <w:r>
        <w:rPr>
          <w:rFonts w:hint="eastAsia"/>
        </w:rPr>
        <w:t>信用风险是指基金在交易过程中因交易对手未履行合约责任，或者基金所投资证券之发行人出现违约、拒绝支付到期本息等情况，导致基金资产损失和收益变化的风险。</w:t>
      </w:r>
    </w:p>
    <w:p>
      <w:pPr>
        <w:pStyle w:val="20"/>
        <w:spacing w:before="0"/>
        <w:ind w:left="0" w:firstLine="480"/>
        <w:rPr>
          <w:rFonts w:hint="eastAsia"/>
        </w:rPr>
      </w:pPr>
      <w:r>
        <w:rPr>
          <w:rFonts w:hint="eastAsia"/>
        </w:rPr>
        <w:t>本基金的基金管理人在交易前对交易对手和债券的资信状况进行了充分的评估。本基金的活期银行存款存放在本基金的托管行招商银行，因而与银行存款相关的信用风险不重大。本基金在交易所（场内）进行的交易均以中国证券登记结算有限责任公司为交易对手完成证券交收和款项清算，违约风险很小；在银行间同业市场或其他场外市场进行交易前均对交易对手和债券资质进行信用评估并对证券交割方式进行限制以控制相应的信用风险。</w:t>
      </w:r>
    </w:p>
    <w:p>
      <w:pPr>
        <w:pStyle w:val="20"/>
        <w:spacing w:before="0"/>
        <w:ind w:left="0" w:firstLine="480"/>
        <w:rPr>
          <w:rFonts w:hint="eastAsia"/>
        </w:rPr>
      </w:pPr>
      <w:r>
        <w:rPr>
          <w:rFonts w:hint="eastAsia"/>
        </w:rPr>
        <w:t>本基金的基金管理人建立了信用风险管理流程，通过对投资品种信用等级评估来控制证券发行人的信用风险，且通过分散化投资以分散信用风险。</w:t>
      </w:r>
    </w:p>
    <w:p>
      <w:pPr>
        <w:pStyle w:val="20"/>
        <w:spacing w:before="0"/>
        <w:ind w:left="0" w:firstLine="480"/>
        <w:rPr>
          <w:rFonts w:hint="eastAsia"/>
        </w:rPr>
      </w:pPr>
      <w:r>
        <w:rPr>
          <w:rFonts w:hint="eastAsia"/>
        </w:rPr>
        <w:t>本基金债券投资的信用评级情况按《中国人民银行信用评级管理指导意见》设定的标准统计及汇总。</w:t>
      </w:r>
    </w:p>
    <w:p>
      <w:pPr>
        <w:widowControl/>
        <w:jc w:val="left"/>
        <w:rPr>
          <w:rFonts w:hint="eastAsia" w:ascii="宋体" w:hAnsi="宋体" w:cs="宋体"/>
          <w:kern w:val="0"/>
          <w:sz w:val="24"/>
          <w:szCs w:val="24"/>
        </w:rPr>
      </w:pPr>
    </w:p>
    <w:p>
      <w:pPr>
        <w:pStyle w:val="15"/>
        <w:rPr>
          <w:rFonts w:hint="eastAsia"/>
        </w:rPr>
      </w:pPr>
      <w:r>
        <w:rPr>
          <w:rFonts w:hint="eastAsia"/>
          <w:b/>
          <w:bCs/>
        </w:rPr>
        <w:t>7.4.13.2.1 按长期信用评级列示的债券投资</w:t>
      </w:r>
    </w:p>
    <w:p>
      <w:pPr>
        <w:pStyle w:val="19"/>
        <w:rPr>
          <w:rFonts w:hint="eastAsia"/>
        </w:rPr>
      </w:pPr>
      <w:r>
        <w:rPr>
          <w:rFonts w:hint="eastAsia" w:hAnsi="Calibri"/>
          <w:color w:val="000000"/>
        </w:rPr>
        <w:t>单位：人民币元</w:t>
      </w:r>
    </w:p>
    <w:tbl>
      <w:tblPr>
        <w:tblStyle w:val="7"/>
        <w:tblW w:w="9045" w:type="dxa"/>
        <w:tblInd w:w="226" w:type="dxa"/>
        <w:tblLayout w:type="autofit"/>
        <w:tblCellMar>
          <w:top w:w="0" w:type="dxa"/>
          <w:left w:w="108" w:type="dxa"/>
          <w:bottom w:w="0" w:type="dxa"/>
          <w:right w:w="108" w:type="dxa"/>
        </w:tblCellMar>
      </w:tblPr>
      <w:tblGrid>
        <w:gridCol w:w="4788"/>
        <w:gridCol w:w="4257"/>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长期信用评级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AAA</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AAA以下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3,013,200.00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3,013,200.00</w:t>
            </w:r>
          </w:p>
        </w:tc>
      </w:tr>
    </w:tbl>
    <w:p>
      <w:pPr>
        <w:widowControl/>
        <w:jc w:val="left"/>
        <w:rPr>
          <w:rFonts w:hint="eastAsia" w:ascii="宋体" w:hAnsi="宋体" w:cs="宋体"/>
          <w:kern w:val="0"/>
          <w:sz w:val="24"/>
          <w:szCs w:val="24"/>
        </w:rPr>
      </w:pPr>
    </w:p>
    <w:p>
      <w:pPr>
        <w:pStyle w:val="15"/>
        <w:rPr>
          <w:rFonts w:hint="eastAsia"/>
        </w:rPr>
      </w:pPr>
      <w:r>
        <w:rPr>
          <w:rFonts w:hint="eastAsia"/>
          <w:b/>
          <w:bCs/>
        </w:rPr>
        <w:t>7.4.13.3 流动性风险</w:t>
      </w:r>
    </w:p>
    <w:p>
      <w:pPr>
        <w:pStyle w:val="20"/>
        <w:spacing w:before="0"/>
        <w:ind w:left="0" w:firstLine="480"/>
        <w:rPr>
          <w:rFonts w:hint="eastAsia"/>
        </w:rPr>
      </w:pPr>
      <w:r>
        <w:rPr>
          <w:rFonts w:hint="eastAsia"/>
        </w:rPr>
        <w:t>流动性风险是指基金在履行与金融负债有关的义务时遇到资金短缺的风险。本基金的流动性风险一方面来自于基金份额持有人可随时要求赎回其持有的基金份额，另一方面来自于投资品种所处的交易市场不活跃而带来的变现困难或因投资集中而无法在市场出现剧烈波动的情况下以合理的价格变现。</w:t>
      </w:r>
    </w:p>
    <w:p>
      <w:pPr>
        <w:pStyle w:val="20"/>
        <w:spacing w:before="0"/>
        <w:ind w:left="0" w:firstLine="480"/>
        <w:rPr>
          <w:rFonts w:hint="eastAsia"/>
        </w:rPr>
      </w:pPr>
      <w:r>
        <w:rPr>
          <w:rFonts w:hint="eastAsia"/>
        </w:rPr>
        <w:t>针对兑付赎回资金的流动性风险，本基金的基金管理人每日对本基金的申购赎回情况进行严密监控并预测流动性需求，保持基金投资组合中的可用现金头寸与之相匹配。本基金的基金管理人在基金合同中设计了巨额赎回条款，约定在非常情况下赎回申请的处理方式，控制因开放申购赎回模式带来的流动性风险，有效保障基金持有人利益。</w:t>
      </w:r>
    </w:p>
    <w:p>
      <w:pPr>
        <w:pStyle w:val="20"/>
        <w:spacing w:before="0"/>
        <w:ind w:left="0" w:firstLine="480"/>
        <w:rPr>
          <w:rFonts w:hint="eastAsia"/>
        </w:rPr>
      </w:pPr>
      <w:r>
        <w:rPr>
          <w:rFonts w:hint="eastAsia"/>
        </w:rPr>
        <w:t>于2018年12月31日，本基金所承担的全部金融负债的合约约定到期日均为一个月以内且不计息，可赎回基金份额净值(所有者权益)无固定到期日且不计息，因此账面余额约为未折现的合约到期现金流量。</w:t>
      </w:r>
    </w:p>
    <w:p>
      <w:pPr>
        <w:widowControl/>
        <w:jc w:val="left"/>
        <w:rPr>
          <w:rFonts w:hint="eastAsia" w:ascii="宋体" w:hAnsi="宋体" w:cs="宋体"/>
          <w:kern w:val="0"/>
          <w:sz w:val="24"/>
          <w:szCs w:val="24"/>
        </w:rPr>
      </w:pPr>
    </w:p>
    <w:p>
      <w:pPr>
        <w:pStyle w:val="15"/>
        <w:rPr>
          <w:rFonts w:hint="eastAsia"/>
        </w:rPr>
      </w:pPr>
      <w:r>
        <w:rPr>
          <w:rFonts w:hint="eastAsia"/>
          <w:b/>
          <w:bCs/>
        </w:rPr>
        <w:t>7.4.13.3.1 报告期内本基金组合资产的流动性风险分析</w:t>
      </w:r>
    </w:p>
    <w:p>
      <w:pPr>
        <w:pStyle w:val="20"/>
        <w:spacing w:before="0"/>
        <w:ind w:left="0" w:firstLine="480"/>
        <w:rPr>
          <w:rFonts w:hint="eastAsia"/>
        </w:rPr>
      </w:pPr>
      <w:r>
        <w:rPr>
          <w:rFonts w:hint="eastAsia"/>
        </w:rPr>
        <w:t>本基金的基金管理人在基金运作过程中严格按照《公开募集证券投资基金运作管理办法》及《公开募集开放式证券投资基金流动性风险管理规定》(自2017年10月1日起施行)等法规的要求对本基金组合资产的流动性风险进行管理，通过独立的风险管理部门对本基金的组合持仓集中度指标、流通受限制的投资品种比例以及组合在短时间内变现能力的综合指标等流动性指标进行持续的监测和分析。</w:t>
      </w:r>
    </w:p>
    <w:p>
      <w:pPr>
        <w:pStyle w:val="20"/>
        <w:spacing w:before="0"/>
        <w:ind w:left="0" w:firstLine="480"/>
        <w:rPr>
          <w:rFonts w:hint="eastAsia"/>
        </w:rPr>
      </w:pPr>
      <w:r>
        <w:rPr>
          <w:rFonts w:hint="eastAsia"/>
        </w:rPr>
        <w:t>本基金投资于一家公司发行的证券市值不超过基金资产净值的10%，且本基金与由本基金的基金管理人管理的其他基金共同持有一家公司发行的证券不得超过该证券的10%。本基金与由本基金的基金管理人管理的其他开放式基金共同持有一家上市公司发行的可流通股票不得超过该上市公司可流通股票的15%，本基金与由本基金的基金管理人管理的全部投资组合持有一家上市公司发行的可流通股票，不得超过该上市公司可流通股票的30%(完全按照有关指数构成比例进行证券投资的开放式基金及中国证监会认定的特殊投资组合不受该比例限制)。</w:t>
      </w:r>
    </w:p>
    <w:p>
      <w:pPr>
        <w:pStyle w:val="20"/>
        <w:spacing w:before="0"/>
        <w:ind w:left="0" w:firstLine="480"/>
        <w:rPr>
          <w:rFonts w:hint="eastAsia"/>
        </w:rPr>
      </w:pPr>
      <w:r>
        <w:rPr>
          <w:rFonts w:hint="eastAsia"/>
        </w:rPr>
        <w:t>本基金所持部分证券在证券交易所上市，其余亦可在银行间同业市场交易，部分基金资产流通暂时受限制不能自由转让的情况参见附注7.4.12。此外，本基金可通过卖出回购金融资产方式借入短期资金应对流动性需求，其上限一般不超过基金持有的债券投资的公允价值。本基金主动投资于流动性受限资产的市值合计不得超过基金资产净值的15%。于2018年12月31日，本基金持有的流动性受限资产的估值占基金资产净值的比例为0.83%。</w:t>
      </w:r>
    </w:p>
    <w:p>
      <w:pPr>
        <w:pStyle w:val="20"/>
        <w:spacing w:before="0"/>
        <w:ind w:left="0" w:firstLine="480"/>
        <w:rPr>
          <w:rFonts w:hint="eastAsia"/>
        </w:rPr>
      </w:pPr>
      <w:r>
        <w:rPr>
          <w:rFonts w:hint="eastAsia"/>
        </w:rPr>
        <w:t>本基金的基金管理人每日对基金组合资产中7个工作日可变现资产的可变现价值进行审慎评估与测算，确保每日确认的净赎回申请不得超过7个工作日可变现资产的可变现价值。于2018年12月31日，本基金组合资产中7个工作日可变现资产的账面价值为64,588,986.54元，超过经确认的当日净赎回金额。</w:t>
      </w:r>
    </w:p>
    <w:p>
      <w:pPr>
        <w:pStyle w:val="20"/>
        <w:spacing w:before="0"/>
        <w:ind w:left="0" w:firstLine="480"/>
        <w:rPr>
          <w:rFonts w:hint="eastAsia"/>
        </w:rPr>
      </w:pPr>
      <w:r>
        <w:rPr>
          <w:rFonts w:hint="eastAsia"/>
        </w:rPr>
        <w:t>同时，本基金的基金管理人通过合理分散逆回购交易的到期日与交易对手的集中度；按照穿透原则对交易对手的财务状况、偿付能力及杠杆水平等进行必要的尽职调查与严格的准入管理，以及对不同的交易对手实施交易额度管理并进行动态调整等措施严格管理本基金从事逆回购交易的流动性风险和交易对手风险。此外，本基金的基金管理人建立了逆回购交易质押品管理制度：根据质押品的资质确定质押率水平；持续监测质押品的风险状况与价值变动以确保质押品按公允价值计算足额；并在与私募类证券资管产品及中国证监会认定的其他主体为交易对手开展逆回购交易时，可接受质押品的资质要求与基金合同约定的投资范围保持一致。</w:t>
      </w:r>
    </w:p>
    <w:p>
      <w:pPr>
        <w:pStyle w:val="20"/>
        <w:spacing w:before="0"/>
        <w:ind w:left="0" w:firstLine="480"/>
        <w:rPr>
          <w:rFonts w:hint="eastAsia"/>
        </w:rPr>
      </w:pPr>
      <w:r>
        <w:rPr>
          <w:rFonts w:hint="eastAsia"/>
        </w:rPr>
        <w:t>综合上述各项流动性指标的监测结果及流动性风险管理措施的实施，本基金在本报告期内流动性情况良好。</w:t>
      </w:r>
    </w:p>
    <w:p>
      <w:pPr>
        <w:widowControl/>
        <w:jc w:val="left"/>
        <w:rPr>
          <w:rFonts w:hint="eastAsia" w:ascii="宋体" w:hAnsi="宋体" w:cs="宋体"/>
          <w:kern w:val="0"/>
          <w:sz w:val="24"/>
          <w:szCs w:val="24"/>
        </w:rPr>
      </w:pPr>
    </w:p>
    <w:p>
      <w:pPr>
        <w:pStyle w:val="15"/>
        <w:rPr>
          <w:rFonts w:hint="eastAsia"/>
        </w:rPr>
      </w:pPr>
      <w:r>
        <w:rPr>
          <w:rFonts w:hint="eastAsia"/>
          <w:b/>
          <w:bCs/>
        </w:rPr>
        <w:t>7.4.13.4 市场风险</w:t>
      </w:r>
    </w:p>
    <w:p>
      <w:pPr>
        <w:pStyle w:val="20"/>
        <w:spacing w:before="0"/>
        <w:ind w:left="0" w:firstLine="480"/>
        <w:rPr>
          <w:rFonts w:hint="eastAsia"/>
        </w:rPr>
      </w:pPr>
      <w:r>
        <w:rPr>
          <w:rFonts w:hint="eastAsia"/>
        </w:rPr>
        <w:t>市场风险是指基金所持金融工具的公允价值或未来现金流量因所处市场各类价格因素的变动而发生波动的风险，包括利率风险、外汇风险和其他价格风险。</w:t>
      </w:r>
    </w:p>
    <w:p>
      <w:pPr>
        <w:pStyle w:val="15"/>
        <w:rPr>
          <w:rFonts w:hint="eastAsia"/>
        </w:rPr>
      </w:pPr>
      <w:r>
        <w:rPr>
          <w:rFonts w:hint="eastAsia"/>
          <w:b/>
          <w:bCs/>
        </w:rPr>
        <w:t>7.4.13.4.1 利率风险</w:t>
      </w:r>
    </w:p>
    <w:p>
      <w:pPr>
        <w:pStyle w:val="20"/>
        <w:spacing w:before="0"/>
        <w:ind w:left="0" w:firstLine="480"/>
        <w:rPr>
          <w:rFonts w:hint="eastAsia"/>
        </w:rPr>
      </w:pPr>
      <w:r>
        <w:rPr>
          <w:rFonts w:hint="eastAsia"/>
        </w:rPr>
        <w:t>利率风险是指金融工具的公允价值或现金流量受市场利率变动而发生波动的风险。利率敏感性金融工具均面临由于市场利率上升而导致公允价值下降的风险，其中浮动利率类金融工具还面临每个付息期间结束根据市场利率重新定价时对于未来现金流影响的风险。</w:t>
      </w:r>
    </w:p>
    <w:p>
      <w:pPr>
        <w:pStyle w:val="20"/>
        <w:spacing w:before="0"/>
        <w:ind w:left="0" w:firstLine="480"/>
        <w:rPr>
          <w:rFonts w:hint="eastAsia"/>
        </w:rPr>
      </w:pPr>
      <w:r>
        <w:rPr>
          <w:rFonts w:hint="eastAsia"/>
        </w:rPr>
        <w:t>本基金的基金管理人定期对本基金面临的利率敏感性缺口进行监控，并通过调整投资组合的久期等方法对上述利率风险进行管理。</w:t>
      </w:r>
    </w:p>
    <w:p>
      <w:pPr>
        <w:pStyle w:val="20"/>
        <w:spacing w:before="0"/>
        <w:ind w:left="0" w:firstLine="480"/>
        <w:rPr>
          <w:rFonts w:hint="eastAsia"/>
        </w:rPr>
      </w:pPr>
      <w:r>
        <w:rPr>
          <w:rFonts w:hint="eastAsia"/>
        </w:rPr>
        <w:t>本基金持有及承担的大部分金融资产和金融负债不计息，因此本基金的收入及经营活动的现金流量在很大程度上独立于市场利率变化。本基金持有的利率敏感性资产主要为银行存款、结算备付金、存出保证金、债券投资、资产支持证券投资及买入返售金融资产等。</w:t>
      </w:r>
    </w:p>
    <w:p>
      <w:pPr>
        <w:pStyle w:val="15"/>
        <w:rPr>
          <w:rFonts w:hint="eastAsia"/>
        </w:rPr>
      </w:pPr>
      <w:r>
        <w:rPr>
          <w:rFonts w:hint="eastAsia"/>
          <w:b/>
          <w:bCs/>
        </w:rPr>
        <w:t>7.4.13.4.1.1 利率风险敞口</w:t>
      </w:r>
    </w:p>
    <w:p>
      <w:pPr>
        <w:pStyle w:val="19"/>
        <w:rPr>
          <w:rFonts w:hint="eastAsia"/>
        </w:rPr>
      </w:pPr>
      <w:r>
        <w:rPr>
          <w:rFonts w:hint="eastAsia" w:hAnsi="Calibri"/>
          <w:color w:val="000000"/>
        </w:rPr>
        <w:t>单位：人民币元</w:t>
      </w:r>
    </w:p>
    <w:tbl>
      <w:tblPr>
        <w:tblStyle w:val="7"/>
        <w:tblW w:w="10200" w:type="dxa"/>
        <w:tblInd w:w="226" w:type="dxa"/>
        <w:tblLayout w:type="autofit"/>
        <w:tblCellMar>
          <w:top w:w="0" w:type="dxa"/>
          <w:left w:w="108" w:type="dxa"/>
          <w:bottom w:w="0" w:type="dxa"/>
          <w:right w:w="108" w:type="dxa"/>
        </w:tblCellMar>
      </w:tblPr>
      <w:tblGrid>
        <w:gridCol w:w="1020"/>
        <w:gridCol w:w="1930"/>
        <w:gridCol w:w="1559"/>
        <w:gridCol w:w="1559"/>
        <w:gridCol w:w="2066"/>
        <w:gridCol w:w="2066"/>
      </w:tblGrid>
      <w:tr>
        <w:tblPrEx>
          <w:tblCellMar>
            <w:top w:w="0" w:type="dxa"/>
            <w:left w:w="108" w:type="dxa"/>
            <w:bottom w:w="0" w:type="dxa"/>
            <w:right w:w="108" w:type="dxa"/>
          </w:tblCellMar>
        </w:tblPrEx>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本期末2018年12月31日</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1年以内</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1-5年</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5年以上</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不计息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21"/>
                <w:szCs w:val="21"/>
              </w:rPr>
            </w:pPr>
            <w:r>
              <w:rPr>
                <w:rFonts w:hint="eastAsia"/>
                <w:sz w:val="21"/>
                <w:szCs w:val="21"/>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szCs w:val="21"/>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sz w:val="21"/>
                <w:szCs w:val="21"/>
              </w:rPr>
            </w:pPr>
            <w:r>
              <w:rPr>
                <w:rFonts w:hint="eastAsia"/>
                <w:sz w:val="21"/>
                <w:szCs w:val="21"/>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1,865,175.94</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1,865,175.94</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结算备付金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163,034.63</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163,034.63</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存出保证金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95,516.98</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95,516.98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3,013,200.00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60,133,840.42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63,147,040.42</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84,355.38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84,355.38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应收申购款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34,470.25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34,470.25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5,136,927.55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60,252,666.05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65,389,593.60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21"/>
                <w:szCs w:val="21"/>
              </w:rPr>
            </w:pPr>
            <w:r>
              <w:rPr>
                <w:rFonts w:hint="eastAsia"/>
                <w:sz w:val="21"/>
                <w:szCs w:val="21"/>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szCs w:val="21"/>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sz w:val="21"/>
                <w:szCs w:val="21"/>
              </w:rPr>
            </w:pPr>
            <w:r>
              <w:rPr>
                <w:rFonts w:hint="eastAsia"/>
                <w:sz w:val="21"/>
                <w:szCs w:val="21"/>
              </w:rPr>
              <w:t>应付赎回款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241,004.88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241,004.88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28,456.64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28,456.64</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5,691.31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5,691.31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应付销售服务费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2,565.16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2,565.16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应付交易费用</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2,515.35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2,515.35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201,951.22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201,951.22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482,184.56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482,184.56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5,136,927.55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59,770,481.49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64,907,409.04</w:t>
            </w:r>
          </w:p>
        </w:tc>
      </w:tr>
    </w:tbl>
    <w:p>
      <w:pPr>
        <w:pStyle w:val="20"/>
        <w:rPr>
          <w:rFonts w:hint="eastAsia"/>
        </w:rPr>
      </w:pPr>
      <w:r>
        <w:rPr>
          <w:rFonts w:hint="eastAsia"/>
        </w:rPr>
        <w:t>表中所示为本基金资产及负债的账面价值,并按照合约规定的利率重新定价日或到期日孰早者予以分类。</w:t>
      </w:r>
    </w:p>
    <w:p>
      <w:pPr>
        <w:widowControl/>
        <w:jc w:val="left"/>
        <w:rPr>
          <w:rFonts w:hint="eastAsia" w:ascii="宋体" w:hAnsi="宋体" w:cs="宋体"/>
          <w:kern w:val="0"/>
          <w:sz w:val="24"/>
          <w:szCs w:val="24"/>
        </w:rPr>
      </w:pPr>
    </w:p>
    <w:p>
      <w:pPr>
        <w:pStyle w:val="15"/>
        <w:rPr>
          <w:rFonts w:hint="eastAsia"/>
        </w:rPr>
      </w:pPr>
      <w:r>
        <w:rPr>
          <w:rFonts w:hint="eastAsia"/>
          <w:b/>
          <w:bCs/>
        </w:rPr>
        <w:t>7.4.13.4.1.2 利率风险的敏感性分析</w:t>
      </w:r>
    </w:p>
    <w:p>
      <w:pPr>
        <w:pStyle w:val="20"/>
        <w:rPr>
          <w:rFonts w:hint="eastAsia"/>
        </w:rPr>
      </w:pPr>
      <w:r>
        <w:rPr>
          <w:rFonts w:hint="eastAsia"/>
        </w:rPr>
        <w:t>于2018年12月31日，本基金持有的交易性债券投资公允价值占基金资产净值的比例为4.64%，因此市场利率的变动对于本基金资产净值无重大影响。</w:t>
      </w:r>
    </w:p>
    <w:p>
      <w:pPr>
        <w:widowControl/>
        <w:jc w:val="left"/>
        <w:rPr>
          <w:rFonts w:hint="eastAsia" w:ascii="宋体" w:hAnsi="宋体" w:cs="宋体"/>
          <w:kern w:val="0"/>
          <w:sz w:val="24"/>
          <w:szCs w:val="24"/>
        </w:rPr>
      </w:pPr>
    </w:p>
    <w:p>
      <w:pPr>
        <w:pStyle w:val="15"/>
        <w:rPr>
          <w:rFonts w:hint="eastAsia"/>
        </w:rPr>
      </w:pPr>
      <w:r>
        <w:rPr>
          <w:rFonts w:hint="eastAsia"/>
          <w:b/>
          <w:bCs/>
        </w:rPr>
        <w:t>7.4.13.4.2 外汇风险</w:t>
      </w:r>
    </w:p>
    <w:p>
      <w:pPr>
        <w:pStyle w:val="20"/>
        <w:spacing w:before="0"/>
        <w:ind w:left="0" w:firstLine="480"/>
        <w:rPr>
          <w:rFonts w:hint="eastAsia"/>
        </w:rPr>
      </w:pPr>
      <w:r>
        <w:rPr>
          <w:rFonts w:hint="eastAsia"/>
        </w:rPr>
        <w:t>外汇风险是指金融工具的公允价值或未来现金流量因外汇汇率变动而发生波动的风险。本基金的所有资产及负债以人民币计价，因此无重大外汇风险。</w:t>
      </w:r>
    </w:p>
    <w:p>
      <w:pPr>
        <w:widowControl/>
        <w:jc w:val="left"/>
        <w:rPr>
          <w:rFonts w:hint="eastAsia" w:ascii="宋体" w:hAnsi="宋体" w:cs="宋体"/>
          <w:kern w:val="0"/>
          <w:sz w:val="24"/>
          <w:szCs w:val="24"/>
        </w:rPr>
      </w:pPr>
    </w:p>
    <w:p>
      <w:pPr>
        <w:pStyle w:val="15"/>
        <w:rPr>
          <w:rFonts w:hint="eastAsia"/>
        </w:rPr>
      </w:pPr>
      <w:r>
        <w:rPr>
          <w:rFonts w:hint="eastAsia"/>
          <w:b/>
          <w:bCs/>
        </w:rPr>
        <w:t>7.4.13.4.3 其他价格风险</w:t>
      </w:r>
    </w:p>
    <w:p>
      <w:pPr>
        <w:pStyle w:val="20"/>
        <w:spacing w:before="0"/>
        <w:ind w:left="0" w:firstLine="480"/>
        <w:rPr>
          <w:rFonts w:hint="eastAsia"/>
        </w:rPr>
      </w:pPr>
      <w:r>
        <w:rPr>
          <w:rFonts w:hint="eastAsia"/>
        </w:rPr>
        <w:t>其他价格风险是指基金所持金融工具的公允价值或未来现金流量因除市场利率和外汇汇率以外的市场价格因素变动而发生波动的风险。本基金主要投资于证券交易所上市或银行间同业市场交易的股票和债券，所面临的其他价格风险来源于单个证券发行主体自身经营情况或特殊事项的影响，也可能来源于证券市场整体波动的影响。</w:t>
      </w:r>
    </w:p>
    <w:p>
      <w:pPr>
        <w:pStyle w:val="20"/>
        <w:spacing w:before="0"/>
        <w:ind w:left="0" w:firstLine="480"/>
        <w:rPr>
          <w:rFonts w:hint="eastAsia"/>
        </w:rPr>
      </w:pPr>
      <w:r>
        <w:rPr>
          <w:rFonts w:hint="eastAsia"/>
        </w:rPr>
        <w:t>本基金的基金管理人在构建和管理投资组合的过程中，采用"自上而下"的策略，通过对宏观经济情况及政策的分析，结合证券市场运行情况，做出资产配置及组合构建的决定；通过对单个证券的定性分析及定量分析，选择符合基金合同约定范围的投资品种进行投资。本基金的基金管理人定期结合宏观及微观环境的变化，对投资策略、资产配置、投资组合进行修正，来主动应对可能发生的市场价格风险。</w:t>
      </w:r>
    </w:p>
    <w:p>
      <w:pPr>
        <w:pStyle w:val="15"/>
        <w:rPr>
          <w:rFonts w:hint="eastAsia"/>
        </w:rPr>
      </w:pPr>
      <w:r>
        <w:rPr>
          <w:rFonts w:hint="eastAsia"/>
          <w:b/>
          <w:bCs/>
        </w:rPr>
        <w:t>7.4.13.4.3.1 其他价格风险敞口</w:t>
      </w:r>
    </w:p>
    <w:p>
      <w:pPr>
        <w:pStyle w:val="22"/>
        <w:jc w:val="right"/>
        <w:rPr>
          <w:rFonts w:hint="eastAsia"/>
        </w:rPr>
      </w:pPr>
      <w:r>
        <w:rPr>
          <w:rFonts w:hint="eastAsia"/>
        </w:rPr>
        <w:t>金额单位：人民币元</w:t>
      </w:r>
    </w:p>
    <w:tbl>
      <w:tblPr>
        <w:tblStyle w:val="7"/>
        <w:tblW w:w="9045" w:type="dxa"/>
        <w:tblInd w:w="226" w:type="dxa"/>
        <w:tblLayout w:type="autofit"/>
        <w:tblCellMar>
          <w:top w:w="0" w:type="dxa"/>
          <w:left w:w="108" w:type="dxa"/>
          <w:bottom w:w="0" w:type="dxa"/>
          <w:right w:w="108" w:type="dxa"/>
        </w:tblCellMar>
      </w:tblPr>
      <w:tblGrid>
        <w:gridCol w:w="3016"/>
        <w:gridCol w:w="4220"/>
        <w:gridCol w:w="1809"/>
      </w:tblGrid>
      <w:tr>
        <w:tblPrEx>
          <w:tblCellMar>
            <w:top w:w="0" w:type="dxa"/>
            <w:left w:w="108" w:type="dxa"/>
            <w:bottom w:w="0" w:type="dxa"/>
            <w:right w:w="108" w:type="dxa"/>
          </w:tblCellMar>
        </w:tblPrEx>
        <w:trPr>
          <w:wBefore w:w="0" w:type="auto"/>
        </w:trPr>
        <w:tc>
          <w:tcPr>
            <w:tcW w:w="10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交易性金融资产－股票投资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60,133,840.42</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92.65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交易性金融资产－基金投资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交易性金融资产－贵金属投资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衍生金融资产－权证投资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60,133,840.42</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92.65</w:t>
            </w:r>
          </w:p>
        </w:tc>
      </w:tr>
    </w:tbl>
    <w:p>
      <w:pPr>
        <w:widowControl/>
        <w:jc w:val="left"/>
        <w:rPr>
          <w:rFonts w:hint="eastAsia" w:ascii="宋体" w:hAnsi="宋体" w:cs="宋体"/>
          <w:kern w:val="0"/>
          <w:sz w:val="24"/>
          <w:szCs w:val="24"/>
        </w:rPr>
      </w:pPr>
    </w:p>
    <w:p>
      <w:pPr>
        <w:pStyle w:val="15"/>
        <w:rPr>
          <w:rFonts w:hint="eastAsia"/>
        </w:rPr>
      </w:pPr>
      <w:r>
        <w:rPr>
          <w:rFonts w:hint="eastAsia"/>
          <w:b/>
          <w:bCs/>
        </w:rPr>
        <w:t>7.4.13.4.3.2 其他价格风险的敏感性分析</w:t>
      </w:r>
    </w:p>
    <w:tbl>
      <w:tblPr>
        <w:tblStyle w:val="7"/>
        <w:tblW w:w="0" w:type="auto"/>
        <w:tblInd w:w="226" w:type="dxa"/>
        <w:tblLayout w:type="autofit"/>
        <w:tblCellMar>
          <w:top w:w="0" w:type="dxa"/>
          <w:left w:w="108" w:type="dxa"/>
          <w:bottom w:w="0" w:type="dxa"/>
          <w:right w:w="108" w:type="dxa"/>
        </w:tblCellMar>
      </w:tblPr>
      <w:tblGrid>
        <w:gridCol w:w="1106"/>
        <w:gridCol w:w="2689"/>
        <w:gridCol w:w="5167"/>
      </w:tblGrid>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假设</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除业绩比较基准以外的其他市场变量保持不变</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分析</w:t>
            </w:r>
          </w:p>
        </w:tc>
        <w:tc>
          <w:tcPr>
            <w:tcW w:w="1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相关风险变量的变动</w:t>
            </w:r>
          </w:p>
        </w:tc>
        <w:tc>
          <w:tcPr>
            <w:tcW w:w="50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对资产负债表日基金资产净值的影响金额（单位：人民币元）</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w:t>
            </w:r>
          </w:p>
          <w:p>
            <w:pPr>
              <w:pStyle w:val="18"/>
              <w:wordWrap w:val="0"/>
              <w:rPr>
                <w:rFonts w:hint="eastAsia"/>
              </w:rPr>
            </w:pPr>
            <w:r>
              <w:rPr>
                <w:rFonts w:hint="eastAsia" w:hAnsi="Calibri"/>
                <w:color w:val="000000"/>
              </w:rPr>
              <w:t>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比较基准上涨5%资产净值变动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3,063,897.21</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比较基准下降5%资产净值变动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-3,063,897.21</w:t>
            </w:r>
          </w:p>
        </w:tc>
      </w:tr>
    </w:tbl>
    <w:p>
      <w:pPr>
        <w:widowControl/>
        <w:jc w:val="left"/>
        <w:rPr>
          <w:rFonts w:hint="eastAsia" w:ascii="宋体" w:hAnsi="宋体" w:cs="宋体"/>
          <w:kern w:val="0"/>
          <w:sz w:val="24"/>
          <w:szCs w:val="24"/>
        </w:rPr>
      </w:pPr>
    </w:p>
    <w:p>
      <w:pPr>
        <w:pStyle w:val="15"/>
        <w:rPr>
          <w:rFonts w:hint="eastAsia"/>
        </w:rPr>
      </w:pPr>
      <w:r>
        <w:rPr>
          <w:rFonts w:hint="eastAsia"/>
          <w:b/>
          <w:bCs/>
        </w:rPr>
        <w:t>7.4.14 有助于理解和分析会计报表需要说明的其他事项</w:t>
      </w:r>
    </w:p>
    <w:p>
      <w:pPr>
        <w:pStyle w:val="20"/>
        <w:spacing w:before="0"/>
        <w:ind w:left="0" w:firstLine="480"/>
        <w:rPr>
          <w:rFonts w:hint="eastAsia"/>
        </w:rPr>
      </w:pPr>
      <w:r>
        <w:rPr>
          <w:rFonts w:hint="eastAsia"/>
        </w:rPr>
        <w:t>(1)公允价值</w:t>
      </w:r>
    </w:p>
    <w:p>
      <w:pPr>
        <w:pStyle w:val="20"/>
        <w:spacing w:before="0"/>
        <w:ind w:left="0" w:firstLine="480"/>
        <w:rPr>
          <w:rFonts w:hint="eastAsia"/>
        </w:rPr>
      </w:pPr>
      <w:r>
        <w:rPr>
          <w:rFonts w:hint="eastAsia"/>
        </w:rPr>
        <w:t>(a)金融工具公允价值计量的方法</w:t>
      </w:r>
    </w:p>
    <w:p>
      <w:pPr>
        <w:pStyle w:val="20"/>
        <w:spacing w:before="0"/>
        <w:ind w:left="0" w:firstLine="480"/>
        <w:rPr>
          <w:rFonts w:hint="eastAsia"/>
        </w:rPr>
      </w:pPr>
      <w:r>
        <w:rPr>
          <w:rFonts w:hint="eastAsia"/>
        </w:rPr>
        <w:t>公允价值计量结果所属的层次，由对公允价值计量整体而言具有重要意义的输入值所属的最低层次决定：</w:t>
      </w:r>
    </w:p>
    <w:p>
      <w:pPr>
        <w:pStyle w:val="20"/>
        <w:spacing w:before="0"/>
        <w:ind w:left="0" w:firstLine="480"/>
        <w:rPr>
          <w:rFonts w:hint="eastAsia"/>
        </w:rPr>
      </w:pPr>
      <w:r>
        <w:rPr>
          <w:rFonts w:hint="eastAsia"/>
        </w:rPr>
        <w:t>第一层次：相同资产或负债在活跃市场上未经调整的报价。</w:t>
      </w:r>
    </w:p>
    <w:p>
      <w:pPr>
        <w:pStyle w:val="20"/>
        <w:spacing w:before="0"/>
        <w:ind w:left="0" w:firstLine="480"/>
        <w:rPr>
          <w:rFonts w:hint="eastAsia"/>
        </w:rPr>
      </w:pPr>
      <w:r>
        <w:rPr>
          <w:rFonts w:hint="eastAsia"/>
        </w:rPr>
        <w:t>第二层次：除第一层次输入值外相关资产或负债直接或间接可观察的输入值。</w:t>
      </w:r>
    </w:p>
    <w:p>
      <w:pPr>
        <w:pStyle w:val="20"/>
        <w:spacing w:before="0"/>
        <w:ind w:left="0" w:firstLine="480"/>
        <w:rPr>
          <w:rFonts w:hint="eastAsia"/>
        </w:rPr>
      </w:pPr>
      <w:r>
        <w:rPr>
          <w:rFonts w:hint="eastAsia"/>
        </w:rPr>
        <w:t>第三层次：相关资产或负债的不可观察输入值。</w:t>
      </w:r>
    </w:p>
    <w:p>
      <w:pPr>
        <w:pStyle w:val="20"/>
        <w:spacing w:before="0"/>
        <w:ind w:left="0" w:firstLine="480"/>
        <w:rPr>
          <w:rFonts w:hint="eastAsia"/>
        </w:rPr>
      </w:pPr>
      <w:r>
        <w:rPr>
          <w:rFonts w:hint="eastAsia"/>
        </w:rPr>
        <w:t>(b)持续的以公允价值计量的金融工具</w:t>
      </w:r>
    </w:p>
    <w:p>
      <w:pPr>
        <w:pStyle w:val="20"/>
        <w:spacing w:before="0"/>
        <w:ind w:left="0" w:firstLine="480"/>
        <w:rPr>
          <w:rFonts w:hint="eastAsia"/>
        </w:rPr>
      </w:pPr>
      <w:r>
        <w:rPr>
          <w:rFonts w:hint="eastAsia"/>
        </w:rPr>
        <w:t>(i)各层次金融工具公允价值</w:t>
      </w:r>
    </w:p>
    <w:p>
      <w:pPr>
        <w:pStyle w:val="20"/>
        <w:spacing w:before="0"/>
        <w:ind w:left="0" w:firstLine="480"/>
        <w:rPr>
          <w:rFonts w:hint="eastAsia"/>
        </w:rPr>
      </w:pPr>
      <w:r>
        <w:rPr>
          <w:rFonts w:hint="eastAsia"/>
        </w:rPr>
        <w:t>于2018年12月31日，本基金持有的以公允价值计量且其变动计入当期损益的金融资产中属于第一层次的余额为59,592,255.42元，属于第二层次的余额为3,554,785.00元，无属于第三层次的余额。</w:t>
      </w:r>
    </w:p>
    <w:p>
      <w:pPr>
        <w:pStyle w:val="20"/>
        <w:spacing w:before="0"/>
        <w:ind w:left="0" w:firstLine="480"/>
        <w:rPr>
          <w:rFonts w:hint="eastAsia"/>
        </w:rPr>
      </w:pPr>
      <w:r>
        <w:rPr>
          <w:rFonts w:hint="eastAsia"/>
        </w:rPr>
        <w:t>(ii)公允价值所属层次间的重大变动</w:t>
      </w:r>
    </w:p>
    <w:p>
      <w:pPr>
        <w:pStyle w:val="20"/>
        <w:spacing w:before="0"/>
        <w:ind w:left="0" w:firstLine="480"/>
        <w:rPr>
          <w:rFonts w:hint="eastAsia"/>
        </w:rPr>
      </w:pPr>
      <w:r>
        <w:rPr>
          <w:rFonts w:hint="eastAsia"/>
        </w:rPr>
        <w:t>本基金以导致各层次之间转换的事项发生日为确认各层次之间转换的时点。</w:t>
      </w:r>
    </w:p>
    <w:p>
      <w:pPr>
        <w:pStyle w:val="20"/>
        <w:spacing w:before="0"/>
        <w:ind w:left="0" w:firstLine="480"/>
        <w:rPr>
          <w:rFonts w:hint="eastAsia"/>
        </w:rPr>
      </w:pPr>
      <w:r>
        <w:rPr>
          <w:rFonts w:hint="eastAsia"/>
        </w:rPr>
        <w:t>对于证券交易所上市的股票和债券，若出现重大事项停牌、交易不活跃(包括涨跌停时的交易不活跃)、或属于非公开发行等情况，本基金不会于停牌日至交易恢复活跃日期间、交易不活跃期间及限售期间将相关股票和债券的公允价值列入第一层次；并根据估值调整中采用的不可观察输入值对于公允价值的影响程度，确定相关股票和债券公允价值应属第二层次还是第三层次。</w:t>
      </w:r>
    </w:p>
    <w:p>
      <w:pPr>
        <w:pStyle w:val="20"/>
        <w:spacing w:before="0"/>
        <w:ind w:left="0" w:firstLine="480"/>
        <w:rPr>
          <w:rFonts w:hint="eastAsia"/>
        </w:rPr>
      </w:pPr>
      <w:r>
        <w:rPr>
          <w:rFonts w:hint="eastAsia"/>
        </w:rPr>
        <w:t>(iii)第三层次公允价值余额和本期变动金额</w:t>
      </w:r>
    </w:p>
    <w:p>
      <w:pPr>
        <w:pStyle w:val="20"/>
        <w:spacing w:before="0"/>
        <w:ind w:left="0" w:firstLine="480"/>
        <w:rPr>
          <w:rFonts w:hint="eastAsia"/>
        </w:rPr>
      </w:pPr>
      <w:r>
        <w:rPr>
          <w:rFonts w:hint="eastAsia"/>
        </w:rPr>
        <w:t>无。</w:t>
      </w:r>
    </w:p>
    <w:p>
      <w:pPr>
        <w:pStyle w:val="20"/>
        <w:spacing w:before="0"/>
        <w:ind w:left="0" w:firstLine="480"/>
        <w:rPr>
          <w:rFonts w:hint="eastAsia"/>
        </w:rPr>
      </w:pPr>
      <w:r>
        <w:rPr>
          <w:rFonts w:hint="eastAsia"/>
        </w:rPr>
        <w:t>(c)非持续的以公允价值计量的金融工具</w:t>
      </w:r>
    </w:p>
    <w:p>
      <w:pPr>
        <w:pStyle w:val="20"/>
        <w:spacing w:before="0"/>
        <w:ind w:left="0" w:firstLine="480"/>
        <w:rPr>
          <w:rFonts w:hint="eastAsia"/>
        </w:rPr>
      </w:pPr>
      <w:r>
        <w:rPr>
          <w:rFonts w:hint="eastAsia"/>
        </w:rPr>
        <w:t>于2018年12月31日，本基金未持有非持续的以公允价值计量的金融资产。</w:t>
      </w:r>
    </w:p>
    <w:p>
      <w:pPr>
        <w:pStyle w:val="20"/>
        <w:spacing w:before="0"/>
        <w:ind w:left="0" w:firstLine="480"/>
        <w:rPr>
          <w:rFonts w:hint="eastAsia"/>
        </w:rPr>
      </w:pPr>
      <w:r>
        <w:rPr>
          <w:rFonts w:hint="eastAsia"/>
        </w:rPr>
        <w:t>(d)不以公允价值计量的金融工具</w:t>
      </w:r>
    </w:p>
    <w:p>
      <w:pPr>
        <w:pStyle w:val="20"/>
        <w:spacing w:before="0"/>
        <w:ind w:left="0" w:firstLine="480"/>
        <w:rPr>
          <w:rFonts w:hint="eastAsia"/>
        </w:rPr>
      </w:pPr>
      <w:r>
        <w:rPr>
          <w:rFonts w:hint="eastAsia"/>
        </w:rPr>
        <w:t>不以公允价值计量的金融资产和负债主要包括应收款项和其他金融负债，其账面价值与公允价值相差很小。</w:t>
      </w:r>
    </w:p>
    <w:p>
      <w:pPr>
        <w:pStyle w:val="20"/>
        <w:spacing w:before="0"/>
        <w:ind w:left="0" w:firstLine="480"/>
        <w:rPr>
          <w:rFonts w:hint="eastAsia"/>
        </w:rPr>
      </w:pPr>
      <w:r>
        <w:rPr>
          <w:rFonts w:hint="eastAsia"/>
        </w:rPr>
        <w:t>(2)其他</w:t>
      </w:r>
    </w:p>
    <w:p>
      <w:pPr>
        <w:pStyle w:val="20"/>
        <w:spacing w:before="0"/>
        <w:ind w:left="0" w:firstLine="480"/>
        <w:rPr>
          <w:rFonts w:hint="eastAsia"/>
        </w:rPr>
      </w:pPr>
      <w:r>
        <w:rPr>
          <w:rFonts w:hint="eastAsia"/>
        </w:rPr>
        <w:t>除公允价值外，截至资产负债表日本基金无需要说明的其他重要事项。</w:t>
      </w:r>
    </w:p>
    <w:p>
      <w:pPr>
        <w:widowControl/>
        <w:jc w:val="left"/>
        <w:rPr>
          <w:rFonts w:hint="eastAsia" w:ascii="宋体" w:hAnsi="宋体" w:cs="宋体"/>
          <w:kern w:val="0"/>
          <w:sz w:val="24"/>
          <w:szCs w:val="24"/>
        </w:rPr>
      </w:pPr>
    </w:p>
    <w:p>
      <w:pPr>
        <w:pStyle w:val="13"/>
        <w:rPr>
          <w:rFonts w:hint="eastAsia"/>
        </w:rPr>
      </w:pPr>
      <w:bookmarkStart w:id="35" w:name="_Toc4173660"/>
      <w:r>
        <w:rPr>
          <w:rFonts w:hint="eastAsia" w:hAnsi="Calibri"/>
          <w:b/>
          <w:color w:val="000000"/>
        </w:rPr>
        <w:t>§8 投资组合报告</w:t>
      </w:r>
      <w:bookmarkEnd w:id="35"/>
    </w:p>
    <w:p>
      <w:pPr>
        <w:widowControl/>
        <w:jc w:val="left"/>
        <w:rPr>
          <w:rFonts w:hint="eastAsia" w:ascii="宋体" w:hAnsi="宋体" w:cs="宋体"/>
          <w:kern w:val="0"/>
          <w:sz w:val="24"/>
          <w:szCs w:val="24"/>
        </w:rPr>
      </w:pPr>
    </w:p>
    <w:p>
      <w:pPr>
        <w:pStyle w:val="14"/>
        <w:rPr>
          <w:rFonts w:hint="eastAsia"/>
        </w:rPr>
      </w:pPr>
      <w:bookmarkStart w:id="36" w:name="_Toc4173661"/>
      <w:r>
        <w:rPr>
          <w:rFonts w:hint="eastAsia"/>
          <w:b/>
          <w:bCs/>
        </w:rPr>
        <w:t>8.1 期末基金资产组合情况</w:t>
      </w:r>
      <w:bookmarkEnd w:id="36"/>
    </w:p>
    <w:p>
      <w:pPr>
        <w:pStyle w:val="19"/>
        <w:rPr>
          <w:rFonts w:hint="eastAsia"/>
        </w:rPr>
      </w:pPr>
      <w:r>
        <w:rPr>
          <w:rFonts w:hint="eastAsia" w:hAnsi="Calibri"/>
          <w:color w:val="000000"/>
        </w:rPr>
        <w:t>金额单位：人民币元</w:t>
      </w:r>
    </w:p>
    <w:tbl>
      <w:tblPr>
        <w:tblStyle w:val="7"/>
        <w:tblW w:w="0" w:type="auto"/>
        <w:tblInd w:w="226" w:type="dxa"/>
        <w:tblLayout w:type="autofit"/>
        <w:tblCellMar>
          <w:top w:w="0" w:type="dxa"/>
          <w:left w:w="108" w:type="dxa"/>
          <w:bottom w:w="0" w:type="dxa"/>
          <w:right w:w="108" w:type="dxa"/>
        </w:tblCellMar>
      </w:tblPr>
      <w:tblGrid>
        <w:gridCol w:w="718"/>
        <w:gridCol w:w="3587"/>
        <w:gridCol w:w="2507"/>
        <w:gridCol w:w="2150"/>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金额</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占基金总资产的比例(%)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60,133,840.42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91.96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60,133,840.42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91.96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固定收益投资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3,013,200.00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其中：债券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3,013,200.00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金融衍生品投资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其中：买断式回购的买入返售金融资产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银行存款和结算备付金合计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2,028,210.57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其他各项资产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214,342.61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0.33</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65,389,593.60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bl>
    <w:p>
      <w:pPr>
        <w:widowControl/>
        <w:jc w:val="left"/>
        <w:rPr>
          <w:rFonts w:hint="eastAsia" w:ascii="宋体" w:hAnsi="宋体" w:cs="宋体"/>
          <w:kern w:val="0"/>
          <w:sz w:val="24"/>
          <w:szCs w:val="24"/>
        </w:rPr>
      </w:pPr>
    </w:p>
    <w:p>
      <w:pPr>
        <w:pStyle w:val="14"/>
        <w:rPr>
          <w:rFonts w:hint="eastAsia"/>
        </w:rPr>
      </w:pPr>
      <w:bookmarkStart w:id="37" w:name="_Toc4173662"/>
      <w:r>
        <w:rPr>
          <w:rFonts w:hint="eastAsia"/>
          <w:b/>
          <w:bCs/>
        </w:rPr>
        <w:t>8.2 报告期末按行业分类的股票投资组合</w:t>
      </w:r>
      <w:bookmarkEnd w:id="37"/>
    </w:p>
    <w:p>
      <w:pPr>
        <w:pStyle w:val="15"/>
        <w:rPr>
          <w:rFonts w:hint="eastAsia"/>
        </w:rPr>
      </w:pPr>
      <w:r>
        <w:rPr>
          <w:rFonts w:hint="eastAsia"/>
          <w:b/>
          <w:bCs/>
        </w:rPr>
        <w:t>8.2.1 报告期末（指数投资）按行业分类的境内股票投资组合</w:t>
      </w:r>
    </w:p>
    <w:tbl>
      <w:tblPr>
        <w:tblStyle w:val="7"/>
        <w:tblW w:w="0" w:type="auto"/>
        <w:tblInd w:w="226" w:type="dxa"/>
        <w:tblLayout w:type="autofit"/>
        <w:tblCellMar>
          <w:top w:w="0" w:type="dxa"/>
          <w:left w:w="108" w:type="dxa"/>
          <w:bottom w:w="0" w:type="dxa"/>
          <w:right w:w="108" w:type="dxa"/>
        </w:tblCellMar>
      </w:tblPr>
      <w:tblGrid>
        <w:gridCol w:w="820"/>
        <w:gridCol w:w="2738"/>
        <w:gridCol w:w="2738"/>
        <w:gridCol w:w="2666"/>
      </w:tblGrid>
      <w:tr>
        <w:tblPrEx>
          <w:tblCellMar>
            <w:top w:w="0" w:type="dxa"/>
            <w:left w:w="108" w:type="dxa"/>
            <w:bottom w:w="0" w:type="dxa"/>
            <w:right w:w="108" w:type="dxa"/>
          </w:tblCellMar>
        </w:tblPrEx>
        <w:trPr>
          <w:wBefore w:w="0" w:type="auto"/>
        </w:trPr>
        <w:tc>
          <w:tcPr>
            <w:tcW w:w="134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代码</w:t>
            </w:r>
          </w:p>
        </w:tc>
        <w:tc>
          <w:tcPr>
            <w:tcW w:w="401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行业类别</w:t>
            </w:r>
          </w:p>
        </w:tc>
        <w:tc>
          <w:tcPr>
            <w:tcW w:w="201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公允价值(元)</w:t>
            </w:r>
          </w:p>
        </w:tc>
        <w:tc>
          <w:tcPr>
            <w:tcW w:w="29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A</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农、林、牧、渔业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270,142.00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B</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采矿业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2,515,328.60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C</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制造业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25,016,693.52</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D</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电力、热力、燃气及水生产和供应业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2,156,840.00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E</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建筑业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2,009,561.00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F</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批发和零售业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1,547,963.00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G</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交通运输、仓储和邮政业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1,988,616.60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H</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住宿和餐饮业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85,686.00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I</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信息传输、软件和信息技术服务业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2,225,529.10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J</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17,645,090.40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K</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房地产业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3,305,809.80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L</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租赁和商务服务业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740,057.40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M</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科学研究和技术服务业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N</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水利、环境和公共设施管理业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47,794.00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O</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居民服务、修理和其他服务业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P</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教育</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Q</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卫生和社会工作</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150,098.00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R</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文化、体育和娱乐业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312,052.00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S</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综合</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116,579.00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合计</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60,133,840.42</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92.65</w:t>
            </w:r>
          </w:p>
        </w:tc>
      </w:tr>
    </w:tbl>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8.2.2 报告期末（积极投资）按行业分类的境内股票投资组合</w:t>
      </w:r>
    </w:p>
    <w:p>
      <w:pPr>
        <w:widowControl/>
        <w:jc w:val="left"/>
        <w:rPr>
          <w:rFonts w:hint="eastAsia" w:ascii="宋体" w:hAnsi="宋体" w:cs="宋体"/>
          <w:kern w:val="0"/>
          <w:sz w:val="24"/>
          <w:szCs w:val="24"/>
        </w:rPr>
      </w:pPr>
      <w:r>
        <w:rPr>
          <w:rFonts w:hint="eastAsia" w:ascii="宋体" w:hAnsi="宋体" w:cs="宋体"/>
          <w:kern w:val="0"/>
          <w:sz w:val="24"/>
          <w:szCs w:val="24"/>
        </w:rPr>
        <w:t xml:space="preserve">本基金本报告期末未持有积极投资股票。 </w:t>
      </w:r>
    </w:p>
    <w:p>
      <w:pPr>
        <w:widowControl/>
        <w:jc w:val="left"/>
        <w:rPr>
          <w:rFonts w:hint="eastAsia" w:ascii="宋体" w:hAnsi="宋体" w:cs="宋体"/>
          <w:kern w:val="0"/>
          <w:sz w:val="24"/>
          <w:szCs w:val="24"/>
        </w:rPr>
      </w:pPr>
    </w:p>
    <w:p>
      <w:pPr>
        <w:pStyle w:val="14"/>
        <w:rPr>
          <w:rFonts w:hint="eastAsia"/>
        </w:rPr>
      </w:pPr>
      <w:bookmarkStart w:id="38" w:name="_Toc4173663"/>
      <w:r>
        <w:rPr>
          <w:rFonts w:hint="eastAsia"/>
          <w:b/>
          <w:bCs/>
        </w:rPr>
        <w:t>8.3 期末按公允价值占基金资产净值比例大小排序的所有股票投资明细</w:t>
      </w:r>
      <w:bookmarkEnd w:id="38"/>
    </w:p>
    <w:p>
      <w:pPr>
        <w:pStyle w:val="15"/>
        <w:rPr>
          <w:rFonts w:hint="eastAsia"/>
        </w:rPr>
      </w:pPr>
      <w:r>
        <w:rPr>
          <w:rFonts w:hint="eastAsia"/>
          <w:b/>
          <w:bCs/>
        </w:rPr>
        <w:t>8.3.1 期末指数投资按公允价值占基金资产净值比例大小排序的所有股票投资明细</w:t>
      </w:r>
    </w:p>
    <w:p>
      <w:pPr>
        <w:pStyle w:val="19"/>
        <w:rPr>
          <w:rFonts w:hint="eastAsia"/>
        </w:rPr>
      </w:pPr>
      <w:r>
        <w:rPr>
          <w:rFonts w:hint="eastAsia" w:hAnsi="Calibri"/>
          <w:color w:val="000000"/>
        </w:rPr>
        <w:t>金额单位：人民币元</w:t>
      </w:r>
    </w:p>
    <w:tbl>
      <w:tblPr>
        <w:tblStyle w:val="7"/>
        <w:tblW w:w="0" w:type="auto"/>
        <w:tblInd w:w="226" w:type="dxa"/>
        <w:tblLayout w:type="autofit"/>
        <w:tblCellMar>
          <w:top w:w="0" w:type="dxa"/>
          <w:left w:w="108" w:type="dxa"/>
          <w:bottom w:w="0" w:type="dxa"/>
          <w:right w:w="108" w:type="dxa"/>
        </w:tblCellMar>
      </w:tblPr>
      <w:tblGrid>
        <w:gridCol w:w="807"/>
        <w:gridCol w:w="1586"/>
        <w:gridCol w:w="1586"/>
        <w:gridCol w:w="1676"/>
        <w:gridCol w:w="1676"/>
        <w:gridCol w:w="1631"/>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公允价值(元)</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贵州茅台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2,419,041.00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中国平安</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1,963,500.00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1,678,320.00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兴业银行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1,000,980.00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浦发银行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927,080.00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工商银行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919,402.00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农业银行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864,000.00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000333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美的集团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788,804.00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中国建筑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771,780.00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海康威视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767,648.00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751,124.00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 科Ａ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747,948.00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交通银行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732,435.00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上汽集团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669,417.00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民生银行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114,280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654,824.40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五 粮 液</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641,088.00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恒瑞医药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627,725.00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601766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中国中车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589,006.00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中国太保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577,129.00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572,185.00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平安银行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518,714.00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中国联通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516,483.00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507,517.00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海天味业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502,240.00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474,710.00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洋河股份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464,128.00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保利地产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450,378.00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伊利股份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448,448.00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中国石化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414,605.00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中国铁建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403,277.00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35,240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394,335.60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大秦铁路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394,217.00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宝钢股份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388,050.00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北京银行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382,041.00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中国国旅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379,260.00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海螺水泥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377,712.00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中国石油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375,641.00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国泰君安</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370,744.00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001979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招商蛇口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367,820.00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格力电器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346,193.00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341,820.00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中国重工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312,800.00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华夏银行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305,207.00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比亚迪</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300,900.00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苏宁易购</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295,500.00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新华保险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287,232.00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京东方Ａ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286,670.00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国电南瑞</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274,244.00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青岛海尔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271,460.00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宁波银行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264,386.00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中国神华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255,032.00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云南白药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251,464.00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246,560.00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申万宏源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245,828.00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永辉超市</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242,396.00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242,188.00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华夏幸福</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241,775.00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228,800.00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江苏银行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221,487.00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中兴通讯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217,449.00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603993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洛阳钼业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213,568.00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双汇发展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209,951.00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三一重工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208,500.00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分众传媒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39,360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206,246.40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建设银行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196,196.00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泸州老窖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191,102.00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华域汽车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187,680.00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立讯精密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13,230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186,013.80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紫金矿业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185,704.00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中国人寿</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183,510.00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南方航空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183,264.00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山东黄金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181,500.00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包钢股份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180,708.00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中国中冶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178,514.00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南京银行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176,358.00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中国核电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176,018.00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国投电力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175,490.00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片仔癀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173,300.00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新城控股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172,937.00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华侨城Ａ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167,640.00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正泰电器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167,256.00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科大讯飞</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166,320.00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白云山</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164,496.00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牧原股份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162,150.00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国电电力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161,792.00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绿地控股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159,471.00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中国电建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159,408.00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陕西煤业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159,216.00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航发动力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158,556.00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上海机场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157,356.00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隆基股份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156,262.40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153,024.00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复星医药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151,255.00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000338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潍柴动力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150,150.00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美年健康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150,098.00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三安光电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148,161.00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福耀玻璃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148,070.00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康美药业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147,360.00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工业富联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147,193.00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上港集团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141,414.00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方正证券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140,715.00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金地集团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139,490.00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浙能电力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137,643.00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航天信息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137,340.00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用友网络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130,995.00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东方航空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124,925.00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中国动力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124,712.00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601727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124,488.00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顺丰控股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124,450.00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华电国际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124,450.00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华东医药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124,362.00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川投能源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123,114.00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中航资本</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122,536.00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杭州银行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16,540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122,396.00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同仁堂</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121,000.00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海大集团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118,167.00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中航飞机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117,836.00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华能国际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116,604.00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中国国航</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113,836.00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东方明珠</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113,049.60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荣盛发展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111,300.00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601788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110,502.00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110,484.00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中国巨石</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11,220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108,497.40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天齐锂业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108,484.00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TCL 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106,820.00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大华股份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106,578.00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金科股份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106,468.00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大族激光</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106,260.00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105,400.00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长春高新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亨通光电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104,346.00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 和 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104,019.30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通威股份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北方稀土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102,609.00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烽火通信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102,492.00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浙江龙盛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101,325.00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99,760.00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99,190.00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中国交建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99,088.00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 希 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99,008.00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中远海控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98,980.00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华兰生物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98,400.00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山西汾酒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98,140.00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方大炭素</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96,918.00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河钢股份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96,844.00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中金黄金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95,238.00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科伦药业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94,990.00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荣盛石化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94,846.00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苏 泊 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金隅集团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天士力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93,696.00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葛洲坝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93,536.00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金风科技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92,907.00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恒力股份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92,750.00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同方股份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92,435.00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通化东宝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92,296.00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91,670.00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三六零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89,628.00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江西铜业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88,172.00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九州通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87,568.00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西部证券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86,671.00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上海建工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86,658.00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三花智控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86,292.00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中国电影</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85,920.00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中国化学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85,224.00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宇通客车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84,135.00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巨人网络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83,291.00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中航沈飞</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83,130.00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东阿阿胶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83,055.00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雅戈尔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82,685.00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长安汽车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82,375.00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603799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华友钴业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81,899.20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南山铝业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38,650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81,551.50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协鑫集成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广汇能源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21,660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81,441.60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徐工机械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81,396.00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特变电工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80,801.00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中天科技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80,685.00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青岛啤酒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80,178.00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新湖中宝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80,040.00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欧菲科技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79,953.00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龙蟒佰利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79,950.00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华润三九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79,552.00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春秋航空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79,525.00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东旭光电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贵阳银行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79,032.00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赣锋锂业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78,384.00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上海石化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78,343.00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完美世界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77,980.00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安信信托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17,620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76,999.40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豫园股份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76,960.00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中炬高新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76,596.00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海普瑞</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76,065.00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中航机电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11,650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75,841.50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603899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晨光文具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75,625.00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国元证券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75,384.00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中科曙光</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75,348.00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石基信息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75,284.00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广联达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74,916.00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张江高科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74,750.00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中铁工业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74,550.00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北新建材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74,304.00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天茂集团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74,052.00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济川药业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73,766.00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000157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中联重科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73,336.00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中南传媒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均胜电子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72,416.00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603858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步长制药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72,048.00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招商轮船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71,955.00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603833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欧派家居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71,748.00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歌尔股份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71,552.00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广汇汽车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71,456.00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申能股份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71,248.00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广汽集团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71,001.00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中直股份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70,984.00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70,744.00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紫光股份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70,647.60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东阳光科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70,616.00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中华企业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70,308.00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古井贡酒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70,148.00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603589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口子窖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70,140.00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海油工程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69,580.00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东华软件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69,452.00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69,432.00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 螳 螂</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68,850.00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生益科技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68,408.00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安琪酵母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68,121.00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68,040.00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三钢闽光</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67,787.00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鞍钢股份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67,716.00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阳 光 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67,470.00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白云机场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67,335.00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驰宏锌锗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67,240.00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中南建设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66,759.00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铜陵有色</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66,586.00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马钢股份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66,432.00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宁波港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66,132.00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中国卫星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65,816.00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浪潮信息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65,272.00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银泰资源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65,216.00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伟星新材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65,142.00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小天鹅Ａ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64,875.00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深天马Ａ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64,746.00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601555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64,320.00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建发股份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64,155.00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002916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深南电路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64,136.00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潞安环能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63,936.00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隧道股份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63,226.00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物产中大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63,204.00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西南证券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62,988.00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首创股份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62,769.00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华鲁恒升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62,764.00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鱼跃医疗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62,752.00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老板电器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62,589.00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生物股份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62,250.00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东方雨虹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61,901.00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 融 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61,824.00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61,246.00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小商品城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61,075.00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海澜之家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61,056.00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61,006.00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顺鑫农业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60,591.00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603885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吉祥航空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60,144.00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上海家化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首开股份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59,677.00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启明星辰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59,624.00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南极电商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59,408.00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国海证券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59,296.00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四维图新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59,262.00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隆平高科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天坛生物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59,075.00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中国一重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59,007.00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华菱钢铁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58,782.00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信立泰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58,492.00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巨化股份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58,277.70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中远海发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58,140.00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国药股份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58,125.00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603369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今世缘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57,960.00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紫光国微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海格通信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57,720.00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桐昆股份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57,584.00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广深铁路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57,512.00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中文传媒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57,244.00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北方华创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56,640.00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内蒙一机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56,160.00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泰禾集团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56,080.00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深圳能源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55,650.00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恒立液压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55,468.00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西山煤电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55,449.00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厦门钨业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55,447.20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中国西电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55,440.00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新兴铸管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55,168.00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宏发股份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55,046.40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54,752.00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双鹭药业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54,582.00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太平洋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54,531.00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中油工程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54,450.00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万丰奥威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54,250.00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跨境通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游族网络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53,911.00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山西证券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53,872.00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三七互娱</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53,808.00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视觉中国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53,636.00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吉林敖东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53,391.00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冀东水泥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53,234.00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纳思达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52,716.00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二三四五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14,250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52,582.50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52,427.00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千方科技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52,264.00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华新水泥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51,832.00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森马服饰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51,736.00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锡业股份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51,516.00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蓝光发展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51,432.80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燕京啤酒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51,324.00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辽宁成大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51,254.00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格林美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51,072.00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湖北能源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51,013.00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康恩贝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50,998.00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金钼股份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50,912.00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水井坊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50,672.00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索菲亚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50,250.00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国药一致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49,728.00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首旅酒店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49,476.00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康弘药业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49,401.50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盛和资源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48,990.90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北大荒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48,792.00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中泰化学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48,645.00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中粮糖业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48,576.00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48,564.00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卫 士 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48,222.00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启迪桑德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47,794.00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威孚高科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47,682.00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太阳纸业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47,310.00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合力泰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47,268.00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601718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际华集团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47,235.00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航天电子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47,067.00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东北证券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46,950.00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002926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华西证券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46,872.00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 大 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46,848.00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杉杉股份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46,512.00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杰瑞股份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东软集团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鲁西化工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46,060.00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和邦生物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46,008.00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山鹰纸业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45,864.00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中化国际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45,828.00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海能达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45,762.00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万向钱潮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45,568.00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天地科技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45,486.00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中金岭南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45,342.00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唐山港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19,020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45,267.60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大北农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45,120.00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西部矿业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44,814.00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航发控制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44,622.00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人福医药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44,616.00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中国长城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44,556.00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华海药业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44,461.20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城投控股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44,307.00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爱建集团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44,148.00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百联股份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43,940.00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广电运通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43,758.00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玲珑轮胎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43,680.00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中集集团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43,378.00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内蒙华电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43,197.00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冀中能源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42,978.00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长电科技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42,848.00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国轩高科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42,772.00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皖新传媒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42,752.00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42,738.00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东华能源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42,718.00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603883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老百姓</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42,489.00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中信国安</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42,462.00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梅花生物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健康元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41,994.32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新潮能源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41,829.00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亿帆医药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41,730.00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外高桥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41,220.00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以岭药业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40,794.00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中鼎股份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40,480.00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华润双鹤</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40,380.60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贵州百灵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39,375.00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中远海能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39,072.00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凯乐科技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39,031.00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阳泉煤业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38,808.00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兴蓉环境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38,688.00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歌华有线</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38,655.00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奥瑞金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38,456.00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木林森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38,386.00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丽珠集团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38,228.00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天津港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38,178.00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上海机电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37,830.00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三友化工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37,752.00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扬农化工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37,660.00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海信电器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36,456.00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锦江股份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36,210.00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西水股份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36,015.00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中储股份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士兰微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34,104.00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怡 亚 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34,068.00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瑞康医药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33,456.00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营口港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31,414.00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bl>
    <w:p>
      <w:pPr>
        <w:widowControl/>
        <w:jc w:val="left"/>
        <w:rPr>
          <w:rFonts w:hint="eastAsia" w:ascii="宋体" w:hAnsi="宋体" w:cs="宋体"/>
          <w:kern w:val="0"/>
          <w:sz w:val="24"/>
          <w:szCs w:val="24"/>
        </w:rPr>
      </w:pPr>
    </w:p>
    <w:p>
      <w:pPr>
        <w:pStyle w:val="15"/>
        <w:rPr>
          <w:rFonts w:hint="eastAsia"/>
        </w:rPr>
      </w:pPr>
      <w:r>
        <w:rPr>
          <w:rFonts w:hint="eastAsia"/>
          <w:b/>
          <w:bCs/>
        </w:rPr>
        <w:t>8.3.2 期末积极投资按公允价值占基金资产净值比例大小排序的所有股票投资明细</w:t>
      </w:r>
    </w:p>
    <w:p>
      <w:pPr>
        <w:pStyle w:val="20"/>
        <w:rPr>
          <w:rFonts w:hint="eastAsia"/>
        </w:rPr>
      </w:pPr>
      <w:r>
        <w:rPr>
          <w:rFonts w:hint="eastAsia"/>
        </w:rPr>
        <w:t>本基金本报告期末未持有积极投资股票。</w:t>
      </w:r>
    </w:p>
    <w:p>
      <w:pPr>
        <w:widowControl/>
        <w:jc w:val="left"/>
        <w:rPr>
          <w:rFonts w:hint="eastAsia" w:ascii="宋体" w:hAnsi="宋体" w:cs="宋体"/>
          <w:kern w:val="0"/>
          <w:sz w:val="24"/>
          <w:szCs w:val="24"/>
        </w:rPr>
      </w:pPr>
    </w:p>
    <w:p>
      <w:pPr>
        <w:pStyle w:val="14"/>
        <w:rPr>
          <w:rFonts w:hint="eastAsia"/>
        </w:rPr>
      </w:pPr>
      <w:bookmarkStart w:id="39" w:name="_Toc4173664"/>
      <w:r>
        <w:rPr>
          <w:rFonts w:hint="eastAsia"/>
          <w:b/>
          <w:bCs/>
        </w:rPr>
        <w:t>8.4 报告期内股票投资组合的重大变动</w:t>
      </w:r>
      <w:bookmarkEnd w:id="39"/>
    </w:p>
    <w:p>
      <w:pPr>
        <w:pStyle w:val="15"/>
        <w:rPr>
          <w:rFonts w:hint="eastAsia"/>
        </w:rPr>
      </w:pPr>
      <w:r>
        <w:rPr>
          <w:rFonts w:hint="eastAsia"/>
          <w:b/>
          <w:bCs/>
        </w:rPr>
        <w:t>8.4.1 累计买入金额超出期末基金资产净值2%或前20名的股票明细</w:t>
      </w:r>
    </w:p>
    <w:p>
      <w:pPr>
        <w:pStyle w:val="19"/>
        <w:rPr>
          <w:rFonts w:hint="eastAsia"/>
        </w:rPr>
      </w:pPr>
      <w:r>
        <w:rPr>
          <w:rFonts w:hint="eastAsia" w:hAnsi="Calibri"/>
          <w:color w:val="000000"/>
        </w:rPr>
        <w:t>金额单位：人民币元</w:t>
      </w:r>
    </w:p>
    <w:tbl>
      <w:tblPr>
        <w:tblStyle w:val="7"/>
        <w:tblW w:w="0" w:type="auto"/>
        <w:tblInd w:w="226" w:type="dxa"/>
        <w:tblLayout w:type="autofit"/>
        <w:tblCellMar>
          <w:top w:w="0" w:type="dxa"/>
          <w:left w:w="108" w:type="dxa"/>
          <w:bottom w:w="0" w:type="dxa"/>
          <w:right w:w="108" w:type="dxa"/>
        </w:tblCellMar>
      </w:tblPr>
      <w:tblGrid>
        <w:gridCol w:w="909"/>
        <w:gridCol w:w="1930"/>
        <w:gridCol w:w="1930"/>
        <w:gridCol w:w="2241"/>
        <w:gridCol w:w="1952"/>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本期累计买入金额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占期末基金资产净值比例(%)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贵州茅台</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3,705,235.88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中国平安</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3,008,079.00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兴业银行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2,532,546.00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工商银行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2,492,990.00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2,082,435.00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浦发银行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1,502,438.00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海康威视</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1,495,948.40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000333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美的集团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1,444,751.00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 科Ａ</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1,288,097.00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农业银行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1,136,657.00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五 粮 液</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1,129,329.00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中国建筑</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1,100,655.00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上汽集团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1,058,069.50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交通银行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1,041,866.00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601766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中国中车</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1,024,746.00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民生银行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1,015,351.00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中国太保</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1,001,827.00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长江电力</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998,067.00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恒瑞医药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852,778.00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840,830.00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w:t>
            </w:r>
          </w:p>
        </w:tc>
      </w:tr>
    </w:tbl>
    <w:p>
      <w:pPr>
        <w:pStyle w:val="20"/>
        <w:rPr>
          <w:rFonts w:hint="eastAsia"/>
        </w:rPr>
      </w:pPr>
      <w:r>
        <w:rPr>
          <w:rFonts w:hint="eastAsia"/>
        </w:rPr>
        <w:t>注:本期累计买入金额按买卖成交金额，不考虑相关交易费用。</w:t>
      </w:r>
    </w:p>
    <w:p>
      <w:pPr>
        <w:widowControl/>
        <w:jc w:val="left"/>
        <w:rPr>
          <w:rFonts w:hint="eastAsia" w:ascii="宋体" w:hAnsi="宋体" w:cs="宋体"/>
          <w:kern w:val="0"/>
          <w:sz w:val="24"/>
          <w:szCs w:val="24"/>
        </w:rPr>
      </w:pPr>
    </w:p>
    <w:p>
      <w:pPr>
        <w:pStyle w:val="15"/>
        <w:rPr>
          <w:rFonts w:hint="eastAsia"/>
        </w:rPr>
      </w:pPr>
      <w:r>
        <w:rPr>
          <w:rFonts w:hint="eastAsia"/>
          <w:b/>
          <w:bCs/>
        </w:rPr>
        <w:t>8.4.2 累计卖出金额超出期末基金资产净值2%或前20名的股票明细</w:t>
      </w:r>
    </w:p>
    <w:p>
      <w:pPr>
        <w:pStyle w:val="19"/>
        <w:rPr>
          <w:rFonts w:hint="eastAsia"/>
        </w:rPr>
      </w:pPr>
      <w:r>
        <w:rPr>
          <w:rFonts w:hint="eastAsia" w:hAnsi="Calibri"/>
          <w:color w:val="000000"/>
        </w:rPr>
        <w:t>金额单位：人民币元</w:t>
      </w:r>
    </w:p>
    <w:tbl>
      <w:tblPr>
        <w:tblStyle w:val="7"/>
        <w:tblW w:w="0" w:type="auto"/>
        <w:tblInd w:w="226" w:type="dxa"/>
        <w:tblLayout w:type="autofit"/>
        <w:tblCellMar>
          <w:top w:w="0" w:type="dxa"/>
          <w:left w:w="108" w:type="dxa"/>
          <w:bottom w:w="0" w:type="dxa"/>
          <w:right w:w="108" w:type="dxa"/>
        </w:tblCellMar>
      </w:tblPr>
      <w:tblGrid>
        <w:gridCol w:w="909"/>
        <w:gridCol w:w="1930"/>
        <w:gridCol w:w="1930"/>
        <w:gridCol w:w="2241"/>
        <w:gridCol w:w="1952"/>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本期累计卖出金额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占期末基金资产净值比例(%)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兴业银行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1,299,590.00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工商银行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1,248,581.00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贵州茅台</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769,689.00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中国平安</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553,672.00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中国中铁</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508,977.00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300760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迈瑞医疗</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373,829.00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601766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中国中车</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275,884.00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海康威视</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255,031.00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浦发银行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253,359.00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长江电力</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228,125.00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000333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美的集团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226,948.00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 科Ａ</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206,363.00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恒瑞医药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199,767.00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上汽集团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195,330.00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五 粮 液</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183,671.00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中国建筑</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交通银行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179,134.00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中兴通讯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177,809.00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174,749.00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民生银行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170,261.00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bl>
    <w:p>
      <w:pPr>
        <w:pStyle w:val="20"/>
        <w:rPr>
          <w:rFonts w:hint="eastAsia"/>
        </w:rPr>
      </w:pPr>
      <w:r>
        <w:rPr>
          <w:rFonts w:hint="eastAsia"/>
        </w:rPr>
        <w:t>注:本期累计卖出金额按买卖成交金额，不考虑相关交易费用。</w:t>
      </w:r>
    </w:p>
    <w:p>
      <w:pPr>
        <w:widowControl/>
        <w:jc w:val="left"/>
        <w:rPr>
          <w:rFonts w:hint="eastAsia" w:ascii="宋体" w:hAnsi="宋体" w:cs="宋体"/>
          <w:kern w:val="0"/>
          <w:sz w:val="24"/>
          <w:szCs w:val="24"/>
        </w:rPr>
      </w:pPr>
    </w:p>
    <w:p>
      <w:pPr>
        <w:pStyle w:val="15"/>
        <w:rPr>
          <w:rFonts w:hint="eastAsia"/>
        </w:rPr>
      </w:pPr>
      <w:r>
        <w:rPr>
          <w:rFonts w:hint="eastAsia"/>
          <w:b/>
          <w:bCs/>
        </w:rPr>
        <w:t>8.4.3 买入股票的成本总额及卖出股票的收入总额</w:t>
      </w:r>
    </w:p>
    <w:p>
      <w:pPr>
        <w:pStyle w:val="19"/>
        <w:rPr>
          <w:rFonts w:hint="eastAsia"/>
        </w:rPr>
      </w:pPr>
      <w:r>
        <w:rPr>
          <w:rFonts w:hint="eastAsia" w:hAnsi="Calibri"/>
          <w:color w:val="000000"/>
        </w:rPr>
        <w:t>单位：人民币元</w:t>
      </w:r>
    </w:p>
    <w:tbl>
      <w:tblPr>
        <w:tblStyle w:val="7"/>
        <w:tblW w:w="0" w:type="auto"/>
        <w:tblInd w:w="226" w:type="dxa"/>
        <w:tblLayout w:type="autofit"/>
        <w:tblCellMar>
          <w:top w:w="0" w:type="dxa"/>
          <w:left w:w="108" w:type="dxa"/>
          <w:bottom w:w="0" w:type="dxa"/>
          <w:right w:w="108" w:type="dxa"/>
        </w:tblCellMar>
      </w:tblPr>
      <w:tblGrid>
        <w:gridCol w:w="3944"/>
        <w:gridCol w:w="5018"/>
      </w:tblGrid>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买入股票成本（成交）总额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102,808,731.52</w:t>
            </w:r>
          </w:p>
        </w:tc>
      </w:tr>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卖出股票收入（成交）总额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22,275,453.26</w:t>
            </w:r>
          </w:p>
        </w:tc>
      </w:tr>
    </w:tbl>
    <w:p>
      <w:pPr>
        <w:pStyle w:val="20"/>
        <w:rPr>
          <w:rFonts w:hint="eastAsia"/>
        </w:rPr>
      </w:pPr>
      <w:r>
        <w:rPr>
          <w:rFonts w:hint="eastAsia"/>
        </w:rPr>
        <w:t>注:买入股票成本、卖出股票收入均按买卖成交金额填列，不考虑相关交易费用。</w:t>
      </w:r>
    </w:p>
    <w:p>
      <w:pPr>
        <w:widowControl/>
        <w:jc w:val="left"/>
        <w:rPr>
          <w:rFonts w:hint="eastAsia" w:ascii="宋体" w:hAnsi="宋体" w:cs="宋体"/>
          <w:kern w:val="0"/>
          <w:sz w:val="24"/>
          <w:szCs w:val="24"/>
        </w:rPr>
      </w:pPr>
    </w:p>
    <w:p>
      <w:pPr>
        <w:pStyle w:val="14"/>
        <w:rPr>
          <w:rFonts w:hint="eastAsia"/>
        </w:rPr>
      </w:pPr>
      <w:bookmarkStart w:id="40" w:name="_Toc4173665"/>
      <w:r>
        <w:rPr>
          <w:rFonts w:hint="eastAsia"/>
          <w:b/>
          <w:bCs/>
        </w:rPr>
        <w:t>8.5 期末按债券品种分类的债券投资组合</w:t>
      </w:r>
      <w:bookmarkEnd w:id="40"/>
    </w:p>
    <w:p>
      <w:pPr>
        <w:pStyle w:val="19"/>
        <w:rPr>
          <w:rFonts w:hint="eastAsia"/>
        </w:rPr>
      </w:pPr>
      <w:r>
        <w:rPr>
          <w:rFonts w:hint="eastAsia" w:hAnsi="Calibri"/>
          <w:color w:val="000000"/>
        </w:rPr>
        <w:t>金额单位：人民币元</w:t>
      </w:r>
    </w:p>
    <w:tbl>
      <w:tblPr>
        <w:tblStyle w:val="7"/>
        <w:tblW w:w="0" w:type="auto"/>
        <w:tblInd w:w="226" w:type="dxa"/>
        <w:tblLayout w:type="autofit"/>
        <w:tblCellMar>
          <w:top w:w="0" w:type="dxa"/>
          <w:left w:w="108" w:type="dxa"/>
          <w:bottom w:w="0" w:type="dxa"/>
          <w:right w:w="108" w:type="dxa"/>
        </w:tblCellMar>
      </w:tblPr>
      <w:tblGrid>
        <w:gridCol w:w="718"/>
        <w:gridCol w:w="2511"/>
        <w:gridCol w:w="2508"/>
        <w:gridCol w:w="3225"/>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债券品种</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国家债券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央行票据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3,013,200.00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其中：政策性金融债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3,013,200.00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企业债券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企业短期融资券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中期票据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可转债(可交换债)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同业存单</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3,013,200.00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4.64</w:t>
            </w:r>
          </w:p>
        </w:tc>
      </w:tr>
    </w:tbl>
    <w:p>
      <w:pPr>
        <w:widowControl/>
        <w:jc w:val="left"/>
        <w:rPr>
          <w:rFonts w:hint="eastAsia" w:ascii="宋体" w:hAnsi="宋体" w:cs="宋体"/>
          <w:kern w:val="0"/>
          <w:sz w:val="24"/>
          <w:szCs w:val="24"/>
        </w:rPr>
      </w:pPr>
    </w:p>
    <w:p>
      <w:pPr>
        <w:pStyle w:val="14"/>
        <w:rPr>
          <w:rFonts w:hint="eastAsia"/>
        </w:rPr>
      </w:pPr>
      <w:bookmarkStart w:id="41" w:name="_Toc4173666"/>
      <w:r>
        <w:rPr>
          <w:rFonts w:hint="eastAsia"/>
          <w:b/>
          <w:bCs/>
        </w:rPr>
        <w:t>8.6 期末按公允价值占基金资产净值比例大小排序的前五名债券投资明细</w:t>
      </w:r>
      <w:bookmarkEnd w:id="41"/>
    </w:p>
    <w:p>
      <w:pPr>
        <w:pStyle w:val="19"/>
        <w:rPr>
          <w:rFonts w:hint="eastAsia"/>
        </w:rPr>
      </w:pPr>
      <w:r>
        <w:rPr>
          <w:rFonts w:hint="eastAsia" w:hAnsi="Calibri"/>
          <w:color w:val="000000"/>
        </w:rPr>
        <w:t>金额单位：人民币元</w:t>
      </w:r>
    </w:p>
    <w:tbl>
      <w:tblPr>
        <w:tblStyle w:val="7"/>
        <w:tblW w:w="0" w:type="auto"/>
        <w:tblInd w:w="226" w:type="dxa"/>
        <w:tblLayout w:type="autofit"/>
        <w:tblCellMar>
          <w:top w:w="0" w:type="dxa"/>
          <w:left w:w="108" w:type="dxa"/>
          <w:bottom w:w="0" w:type="dxa"/>
          <w:right w:w="108" w:type="dxa"/>
        </w:tblCellMar>
      </w:tblPr>
      <w:tblGrid>
        <w:gridCol w:w="779"/>
        <w:gridCol w:w="1499"/>
        <w:gridCol w:w="1499"/>
        <w:gridCol w:w="1702"/>
        <w:gridCol w:w="1933"/>
        <w:gridCol w:w="1550"/>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债券代码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债券名称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数量（张）</w:t>
            </w:r>
          </w:p>
        </w:tc>
        <w:tc>
          <w:tcPr>
            <w:tcW w:w="30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018005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国开1701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3,013,200.00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4.64</w:t>
            </w:r>
          </w:p>
        </w:tc>
      </w:tr>
    </w:tbl>
    <w:p>
      <w:pPr>
        <w:widowControl/>
        <w:jc w:val="left"/>
        <w:rPr>
          <w:rFonts w:hint="eastAsia" w:ascii="宋体" w:hAnsi="宋体" w:cs="宋体"/>
          <w:kern w:val="0"/>
          <w:sz w:val="24"/>
          <w:szCs w:val="24"/>
        </w:rPr>
      </w:pPr>
    </w:p>
    <w:p>
      <w:pPr>
        <w:pStyle w:val="14"/>
        <w:rPr>
          <w:rFonts w:hint="eastAsia"/>
        </w:rPr>
      </w:pPr>
      <w:bookmarkStart w:id="42" w:name="_Toc4173667"/>
      <w:r>
        <w:rPr>
          <w:rFonts w:hint="eastAsia"/>
          <w:b/>
          <w:bCs/>
        </w:rPr>
        <w:t>8.7 期末按公允价值占基金资产净值比例大小排序的所有资产支持证券投资明细</w:t>
      </w:r>
      <w:bookmarkEnd w:id="42"/>
    </w:p>
    <w:p>
      <w:pPr>
        <w:pStyle w:val="20"/>
        <w:rPr>
          <w:rFonts w:hint="eastAsia"/>
        </w:rPr>
      </w:pPr>
      <w:r>
        <w:rPr>
          <w:rFonts w:hint="eastAsia"/>
        </w:rPr>
        <w:t>本基金本报告期末未持有资产支持证券。</w:t>
      </w:r>
    </w:p>
    <w:p>
      <w:pPr>
        <w:widowControl/>
        <w:jc w:val="left"/>
        <w:rPr>
          <w:rFonts w:hint="eastAsia" w:ascii="宋体" w:hAnsi="宋体" w:cs="宋体"/>
          <w:kern w:val="0"/>
          <w:sz w:val="24"/>
          <w:szCs w:val="24"/>
        </w:rPr>
      </w:pPr>
    </w:p>
    <w:p>
      <w:pPr>
        <w:pStyle w:val="14"/>
        <w:rPr>
          <w:rFonts w:hint="eastAsia"/>
        </w:rPr>
      </w:pPr>
      <w:bookmarkStart w:id="43" w:name="_Toc4173668"/>
      <w:r>
        <w:rPr>
          <w:rFonts w:hint="eastAsia"/>
          <w:b/>
          <w:bCs/>
        </w:rPr>
        <w:t>8.8 报告期末按公允价值占基金资产净值比例大小排序的前五名贵金属投资明细</w:t>
      </w:r>
      <w:bookmarkEnd w:id="43"/>
    </w:p>
    <w:tbl>
      <w:tblPr>
        <w:tblStyle w:val="7"/>
        <w:tblW w:w="0" w:type="auto"/>
        <w:tblInd w:w="216"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本基金本报告期末未持有贵金属。</w:t>
      </w:r>
    </w:p>
    <w:p>
      <w:pPr>
        <w:widowControl/>
        <w:jc w:val="left"/>
        <w:rPr>
          <w:rFonts w:hint="eastAsia" w:ascii="宋体" w:hAnsi="宋体" w:cs="宋体"/>
          <w:kern w:val="0"/>
          <w:sz w:val="24"/>
          <w:szCs w:val="24"/>
        </w:rPr>
      </w:pPr>
    </w:p>
    <w:p>
      <w:pPr>
        <w:pStyle w:val="14"/>
        <w:rPr>
          <w:rFonts w:hint="eastAsia"/>
        </w:rPr>
      </w:pPr>
      <w:bookmarkStart w:id="44" w:name="_Toc4173669"/>
      <w:r>
        <w:rPr>
          <w:rFonts w:hint="eastAsia"/>
          <w:b/>
          <w:bCs/>
        </w:rPr>
        <w:t>8.9 期末按公允价值占基金资产净值比例大小排序的前五名权证投资明细</w:t>
      </w:r>
      <w:bookmarkEnd w:id="44"/>
    </w:p>
    <w:tbl>
      <w:tblPr>
        <w:tblStyle w:val="7"/>
        <w:tblW w:w="0" w:type="auto"/>
        <w:tblInd w:w="216" w:type="dxa"/>
        <w:tblLayout w:type="autofit"/>
        <w:tblCellMar>
          <w:top w:w="0" w:type="dxa"/>
          <w:left w:w="108" w:type="dxa"/>
          <w:bottom w:w="0" w:type="dxa"/>
          <w:right w:w="108" w:type="dxa"/>
        </w:tblCellMar>
      </w:tblPr>
      <w:tblGrid>
        <w:gridCol w:w="222"/>
      </w:tblGrid>
      <w:tr>
        <w:trPr>
          <w:wBefore w:w="0" w:type="auto"/>
        </w:trPr>
        <w:tc>
          <w:tcPr>
            <w:tcW w:w="0" w:type="auto"/>
            <w:noWrap w:val="0"/>
            <w:vAlign w:val="center"/>
          </w:tcPr>
          <w:p>
            <w:pPr>
              <w:rPr>
                <w:rFonts w:hint="eastAsia"/>
              </w:rPr>
            </w:pPr>
          </w:p>
        </w:tc>
      </w:tr>
    </w:tbl>
    <w:p>
      <w:pPr>
        <w:pStyle w:val="20"/>
      </w:pPr>
      <w:r>
        <w:rPr>
          <w:rFonts w:hint="eastAsia"/>
        </w:rPr>
        <w:t>本基金本报告期末未持有权证。</w:t>
      </w:r>
    </w:p>
    <w:p>
      <w:pPr>
        <w:widowControl/>
        <w:jc w:val="left"/>
        <w:rPr>
          <w:rFonts w:hint="eastAsia" w:ascii="宋体" w:hAnsi="宋体" w:cs="宋体"/>
          <w:kern w:val="0"/>
          <w:sz w:val="24"/>
          <w:szCs w:val="24"/>
        </w:rPr>
      </w:pPr>
    </w:p>
    <w:p>
      <w:pPr>
        <w:pStyle w:val="14"/>
        <w:rPr>
          <w:rFonts w:hint="eastAsia"/>
        </w:rPr>
      </w:pPr>
      <w:bookmarkStart w:id="45" w:name="_Toc4173670"/>
      <w:r>
        <w:rPr>
          <w:rFonts w:hint="eastAsia"/>
          <w:b/>
          <w:bCs/>
        </w:rPr>
        <w:t>8.10 报告期末本基金投资的股指期货交易情况说明</w:t>
      </w:r>
      <w:bookmarkEnd w:id="45"/>
    </w:p>
    <w:tbl>
      <w:tblPr>
        <w:tblStyle w:val="7"/>
        <w:tblW w:w="0" w:type="auto"/>
        <w:tblInd w:w="226" w:type="dxa"/>
        <w:tblLayout w:type="autofit"/>
        <w:tblCellMar>
          <w:top w:w="0" w:type="dxa"/>
          <w:left w:w="108" w:type="dxa"/>
          <w:bottom w:w="0" w:type="dxa"/>
          <w:right w:w="108" w:type="dxa"/>
        </w:tblCellMar>
      </w:tblPr>
      <w:tblGrid>
        <w:gridCol w:w="1485"/>
        <w:gridCol w:w="1485"/>
        <w:gridCol w:w="1537"/>
        <w:gridCol w:w="1485"/>
        <w:gridCol w:w="1485"/>
        <w:gridCol w:w="1485"/>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持仓量(买/卖)</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合约市值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公允价值变动</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风险说明</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IF1903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IF1903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902,220.00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3602" w:type="dxa"/>
            <w:gridSpan w:val="5"/>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公允价值变动总额合计（元）</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-46,800.00 </w:t>
            </w:r>
          </w:p>
        </w:tc>
      </w:tr>
      <w:tr>
        <w:tblPrEx>
          <w:tblCellMar>
            <w:top w:w="0" w:type="dxa"/>
            <w:left w:w="108" w:type="dxa"/>
            <w:bottom w:w="0" w:type="dxa"/>
            <w:right w:w="108" w:type="dxa"/>
          </w:tblCellMar>
        </w:tblPrEx>
        <w:trPr>
          <w:wBefore w:w="0" w:type="auto"/>
        </w:trPr>
        <w:tc>
          <w:tcPr>
            <w:tcW w:w="3602" w:type="dxa"/>
            <w:gridSpan w:val="5"/>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股指期货投资本期收益（元）</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-150,540.00 </w:t>
            </w:r>
          </w:p>
        </w:tc>
      </w:tr>
      <w:tr>
        <w:tblPrEx>
          <w:tblCellMar>
            <w:top w:w="0" w:type="dxa"/>
            <w:left w:w="108" w:type="dxa"/>
            <w:bottom w:w="0" w:type="dxa"/>
            <w:right w:w="108" w:type="dxa"/>
          </w:tblCellMar>
        </w:tblPrEx>
        <w:trPr>
          <w:wBefore w:w="0" w:type="auto"/>
        </w:trPr>
        <w:tc>
          <w:tcPr>
            <w:tcW w:w="3602" w:type="dxa"/>
            <w:gridSpan w:val="5"/>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股指期货投资本期公允价值变动（元）</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-46,800.00</w:t>
            </w:r>
          </w:p>
        </w:tc>
      </w:tr>
    </w:tbl>
    <w:p>
      <w:pPr>
        <w:widowControl/>
        <w:jc w:val="left"/>
        <w:rPr>
          <w:rFonts w:hint="eastAsia" w:ascii="宋体" w:hAnsi="宋体" w:cs="宋体"/>
          <w:kern w:val="0"/>
          <w:sz w:val="24"/>
          <w:szCs w:val="24"/>
        </w:rPr>
      </w:pPr>
    </w:p>
    <w:p>
      <w:pPr>
        <w:pStyle w:val="15"/>
        <w:rPr>
          <w:rFonts w:hint="eastAsia"/>
        </w:rPr>
      </w:pPr>
      <w:r>
        <w:rPr>
          <w:rFonts w:hint="eastAsia"/>
          <w:b/>
          <w:bCs/>
        </w:rPr>
        <w:t>8.10.2 本基金投资股指期货的投资政策</w:t>
      </w:r>
    </w:p>
    <w:p>
      <w:pPr>
        <w:pStyle w:val="20"/>
        <w:spacing w:before="0"/>
        <w:ind w:left="0" w:firstLine="480"/>
        <w:rPr>
          <w:rFonts w:hint="eastAsia"/>
        </w:rPr>
      </w:pPr>
      <w:r>
        <w:rPr>
          <w:rFonts w:hint="eastAsia"/>
        </w:rPr>
        <w:t>本基金本报告期内持有少量股指期货合约，主要是为了进行多头套保，应对大额申赎和便利流动性管理。</w:t>
      </w:r>
    </w:p>
    <w:p>
      <w:pPr>
        <w:widowControl/>
        <w:jc w:val="left"/>
        <w:rPr>
          <w:rFonts w:hint="eastAsia" w:ascii="宋体" w:hAnsi="宋体" w:cs="宋体"/>
          <w:kern w:val="0"/>
          <w:sz w:val="24"/>
          <w:szCs w:val="24"/>
        </w:rPr>
      </w:pPr>
    </w:p>
    <w:p>
      <w:pPr>
        <w:pStyle w:val="14"/>
        <w:rPr>
          <w:rFonts w:hint="eastAsia"/>
        </w:rPr>
      </w:pPr>
      <w:bookmarkStart w:id="46" w:name="_Toc4173671"/>
      <w:r>
        <w:rPr>
          <w:rFonts w:hint="eastAsia"/>
          <w:b/>
          <w:bCs/>
        </w:rPr>
        <w:t>8.11 报告期末本基金投资的国债期货交易情况说明</w:t>
      </w:r>
      <w:bookmarkEnd w:id="46"/>
    </w:p>
    <w:p>
      <w:pPr>
        <w:pStyle w:val="20"/>
        <w:rPr>
          <w:rFonts w:hint="eastAsia"/>
        </w:rPr>
      </w:pPr>
      <w:r>
        <w:rPr>
          <w:rFonts w:hint="eastAsia"/>
        </w:rPr>
        <w:t>本基金本报告期未投资国债期货。</w:t>
      </w:r>
    </w:p>
    <w:p>
      <w:pPr>
        <w:widowControl/>
        <w:jc w:val="left"/>
        <w:rPr>
          <w:rFonts w:hint="eastAsia" w:ascii="宋体" w:hAnsi="宋体" w:cs="宋体"/>
          <w:kern w:val="0"/>
          <w:sz w:val="24"/>
          <w:szCs w:val="24"/>
        </w:rPr>
      </w:pPr>
    </w:p>
    <w:p>
      <w:pPr>
        <w:pStyle w:val="14"/>
        <w:rPr>
          <w:rFonts w:hint="eastAsia"/>
        </w:rPr>
      </w:pPr>
      <w:bookmarkStart w:id="47" w:name="_Toc4173672"/>
      <w:r>
        <w:rPr>
          <w:rFonts w:hint="eastAsia"/>
          <w:b/>
          <w:bCs/>
        </w:rPr>
        <w:t>8.12 投资组合报告附注</w:t>
      </w:r>
      <w:bookmarkEnd w:id="47"/>
    </w:p>
    <w:p>
      <w:pPr>
        <w:pStyle w:val="15"/>
        <w:rPr>
          <w:rFonts w:hint="eastAsia"/>
        </w:rPr>
      </w:pPr>
      <w:r>
        <w:rPr>
          <w:rFonts w:hint="eastAsia"/>
          <w:b/>
          <w:bCs/>
        </w:rPr>
        <w:t>8.12.1 2018年1月19日，上海浦东发展银行股份有限公司（以下简称"公司"）成都分行收到中国银行业监督管理委员会四川监管局（以下简称"银监会四川监管局"）行政处罚决定书（川银监罚字【2018】2号），决定对公司成都分行内控管理严重失效,授信管理违规，违规办理信贷业务等严重违反审慎经营规则的违规行为依法查处，执行罚款46,175万元人民币。此外，对成都分行原行长、2名副行长、1名部门负责人和1名支行行长分别给予禁止终身从事银行业工作、取消其高级管理人员任职资格、警告及罚款。 本基金投研认为，对此处罚决定，该公司坚决支持和接受，并深表歉意。针对上述违规行为，该公司高度重视，并严格履行信披义务，在监管机构和地方政府的指导和帮助下，及时调整了成都分行经营班子，并对资产状况进行了全面评估，分类施策、强化管理，按照审慎原则计提风险拨备，稳妥有序化解风险。目前，成都分行已按监管要求完成了整改，总体风险可控，客户权益未受影响，经营管理迈入正轨。该公司还公告表示，上述处罚金额已全额计入2017年度公司损益，对公司的后续业务开展及持续经营无重大不利影响。本基金基金经理依据基金合同和公司投资管理制度，在投资授权范围内，经正常投资决策程序对该公司进行了投资。</w:t>
      </w:r>
    </w:p>
    <w:p>
      <w:pPr>
        <w:widowControl/>
        <w:jc w:val="left"/>
        <w:rPr>
          <w:rFonts w:hint="eastAsia" w:ascii="宋体" w:hAnsi="宋体" w:cs="宋体"/>
          <w:kern w:val="0"/>
          <w:sz w:val="24"/>
          <w:szCs w:val="24"/>
        </w:rPr>
      </w:pPr>
    </w:p>
    <w:p>
      <w:pPr>
        <w:pStyle w:val="15"/>
        <w:rPr>
          <w:rFonts w:hint="eastAsia"/>
        </w:rPr>
      </w:pPr>
      <w:r>
        <w:rPr>
          <w:rFonts w:hint="eastAsia"/>
          <w:b/>
          <w:bCs/>
        </w:rPr>
        <w:t>8.12.2 本报告期内，未出现基金投资的前十名股票超出基金合同规定的备选股票库的情况。</w:t>
      </w:r>
    </w:p>
    <w:p>
      <w:pPr>
        <w:widowControl/>
        <w:jc w:val="left"/>
        <w:rPr>
          <w:rFonts w:hint="eastAsia" w:ascii="宋体" w:hAnsi="宋体" w:cs="宋体"/>
          <w:kern w:val="0"/>
          <w:sz w:val="24"/>
          <w:szCs w:val="24"/>
        </w:rPr>
      </w:pPr>
    </w:p>
    <w:p>
      <w:pPr>
        <w:pStyle w:val="15"/>
        <w:rPr>
          <w:rFonts w:hint="eastAsia"/>
        </w:rPr>
      </w:pPr>
      <w:r>
        <w:rPr>
          <w:rFonts w:hint="eastAsia"/>
          <w:b/>
          <w:bCs/>
        </w:rPr>
        <w:t>8.12.3 期末其他各项资产构成</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226" w:type="dxa"/>
        <w:tblLayout w:type="autofit"/>
        <w:tblCellMar>
          <w:top w:w="0" w:type="dxa"/>
          <w:left w:w="108" w:type="dxa"/>
          <w:bottom w:w="0" w:type="dxa"/>
          <w:right w:w="108" w:type="dxa"/>
        </w:tblCellMar>
      </w:tblPr>
      <w:tblGrid>
        <w:gridCol w:w="709"/>
        <w:gridCol w:w="3785"/>
        <w:gridCol w:w="4468"/>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名称</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金额</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95,516.98</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应收股利</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84,355.38</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34,470.25</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其他应收款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待摊费用</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214,342.61</w:t>
            </w:r>
          </w:p>
        </w:tc>
      </w:tr>
    </w:tbl>
    <w:p>
      <w:pPr>
        <w:widowControl/>
        <w:jc w:val="left"/>
        <w:rPr>
          <w:rFonts w:hint="eastAsia" w:ascii="宋体" w:hAnsi="宋体" w:cs="宋体"/>
          <w:kern w:val="0"/>
          <w:sz w:val="24"/>
          <w:szCs w:val="24"/>
        </w:rPr>
      </w:pPr>
    </w:p>
    <w:p>
      <w:pPr>
        <w:pStyle w:val="15"/>
        <w:rPr>
          <w:rFonts w:hint="eastAsia"/>
        </w:rPr>
      </w:pPr>
      <w:r>
        <w:rPr>
          <w:rFonts w:hint="eastAsia"/>
          <w:b/>
          <w:bCs/>
        </w:rPr>
        <w:t>8.12.4 期末持有的处于转股期的可转换债券明细</w:t>
      </w:r>
    </w:p>
    <w:p>
      <w:pPr>
        <w:pStyle w:val="20"/>
        <w:rPr>
          <w:rFonts w:hint="eastAsia"/>
        </w:rPr>
      </w:pPr>
      <w:r>
        <w:rPr>
          <w:rFonts w:hint="eastAsia"/>
        </w:rPr>
        <w:t>本基金本报告期末未持有处于转股期的可转换债券。</w:t>
      </w:r>
    </w:p>
    <w:p>
      <w:pPr>
        <w:widowControl/>
        <w:jc w:val="left"/>
        <w:rPr>
          <w:rFonts w:hint="eastAsia" w:ascii="宋体" w:hAnsi="宋体" w:cs="宋体"/>
          <w:kern w:val="0"/>
          <w:sz w:val="24"/>
          <w:szCs w:val="24"/>
        </w:rPr>
      </w:pPr>
    </w:p>
    <w:p>
      <w:pPr>
        <w:pStyle w:val="15"/>
        <w:rPr>
          <w:rFonts w:hint="eastAsia"/>
        </w:rPr>
      </w:pPr>
      <w:r>
        <w:rPr>
          <w:rFonts w:hint="eastAsia"/>
          <w:b/>
          <w:bCs/>
        </w:rPr>
        <w:t>8.12.5 期末前十名股票中存在流通受限情况的说明</w:t>
      </w:r>
    </w:p>
    <w:p>
      <w:pPr>
        <w:pStyle w:val="15"/>
        <w:rPr>
          <w:rFonts w:hint="eastAsia"/>
        </w:rPr>
      </w:pPr>
      <w:r>
        <w:rPr>
          <w:rFonts w:hint="eastAsia"/>
          <w:b/>
          <w:bCs/>
        </w:rPr>
        <w:t>8.12.5.1 期末指数投资前十名股票中存在流通受限情况的说明</w:t>
      </w:r>
    </w:p>
    <w:p>
      <w:pPr>
        <w:pStyle w:val="20"/>
        <w:rPr>
          <w:rFonts w:hint="eastAsia"/>
        </w:rPr>
      </w:pPr>
      <w:r>
        <w:rPr>
          <w:rFonts w:hint="eastAsia"/>
        </w:rPr>
        <w:t>本基金本报告期末指数投资前十名股票不存在流通受限的情况。</w:t>
      </w:r>
    </w:p>
    <w:p>
      <w:pPr>
        <w:widowControl/>
        <w:jc w:val="left"/>
        <w:rPr>
          <w:rFonts w:hint="eastAsia" w:ascii="宋体" w:hAnsi="宋体" w:cs="宋体"/>
          <w:kern w:val="0"/>
          <w:sz w:val="24"/>
          <w:szCs w:val="24"/>
        </w:rPr>
      </w:pPr>
    </w:p>
    <w:p>
      <w:pPr>
        <w:pStyle w:val="15"/>
        <w:rPr>
          <w:rFonts w:hint="eastAsia"/>
        </w:rPr>
      </w:pPr>
      <w:r>
        <w:rPr>
          <w:rFonts w:hint="eastAsia"/>
          <w:b/>
          <w:bCs/>
        </w:rPr>
        <w:t>8.12.5.2 期末积极投资前五名股票中存在流通受限情况的说明</w:t>
      </w:r>
    </w:p>
    <w:p>
      <w:pPr>
        <w:pStyle w:val="20"/>
        <w:rPr>
          <w:rFonts w:hint="eastAsia"/>
        </w:rPr>
      </w:pPr>
      <w:r>
        <w:rPr>
          <w:rFonts w:hint="eastAsia"/>
        </w:rPr>
        <w:t>本基金本报告期末未持有积极投资股票。</w:t>
      </w:r>
    </w:p>
    <w:p>
      <w:pPr>
        <w:widowControl/>
        <w:jc w:val="left"/>
        <w:rPr>
          <w:rFonts w:hint="eastAsia" w:ascii="宋体" w:hAnsi="宋体" w:cs="宋体"/>
          <w:kern w:val="0"/>
          <w:sz w:val="24"/>
          <w:szCs w:val="24"/>
        </w:rPr>
      </w:pPr>
    </w:p>
    <w:p>
      <w:pPr>
        <w:pStyle w:val="13"/>
        <w:rPr>
          <w:rFonts w:hint="eastAsia"/>
        </w:rPr>
      </w:pPr>
      <w:bookmarkStart w:id="48" w:name="_Toc4173673"/>
      <w:r>
        <w:rPr>
          <w:rFonts w:hint="eastAsia" w:hAnsi="Calibri"/>
          <w:b/>
          <w:color w:val="000000"/>
        </w:rPr>
        <w:t>§9  基金份额持有人信息</w:t>
      </w:r>
      <w:bookmarkEnd w:id="48"/>
    </w:p>
    <w:p>
      <w:pPr>
        <w:widowControl/>
        <w:jc w:val="left"/>
        <w:rPr>
          <w:rFonts w:hint="eastAsia" w:ascii="宋体" w:hAnsi="宋体" w:cs="宋体"/>
          <w:kern w:val="0"/>
          <w:sz w:val="24"/>
          <w:szCs w:val="24"/>
        </w:rPr>
      </w:pPr>
    </w:p>
    <w:p>
      <w:pPr>
        <w:pStyle w:val="14"/>
        <w:rPr>
          <w:rFonts w:hint="eastAsia"/>
        </w:rPr>
      </w:pPr>
      <w:bookmarkStart w:id="49" w:name="_Toc4173674"/>
      <w:r>
        <w:rPr>
          <w:rFonts w:hint="eastAsia"/>
          <w:b/>
          <w:bCs/>
        </w:rPr>
        <w:t>9.1 期末基金份额持有人户数及持有人结构</w:t>
      </w:r>
      <w:bookmarkEnd w:id="49"/>
    </w:p>
    <w:p>
      <w:pPr>
        <w:pStyle w:val="19"/>
        <w:rPr>
          <w:rFonts w:hint="eastAsia"/>
        </w:rPr>
      </w:pPr>
      <w:r>
        <w:rPr>
          <w:rFonts w:hint="eastAsia" w:hAnsi="Calibri"/>
          <w:color w:val="000000"/>
        </w:rPr>
        <w:t>份额单位：份</w:t>
      </w:r>
    </w:p>
    <w:tbl>
      <w:tblPr>
        <w:tblStyle w:val="7"/>
        <w:tblW w:w="9045" w:type="dxa"/>
        <w:tblInd w:w="226" w:type="dxa"/>
        <w:tblLayout w:type="autofit"/>
        <w:tblCellMar>
          <w:top w:w="0" w:type="dxa"/>
          <w:left w:w="108" w:type="dxa"/>
          <w:bottom w:w="0" w:type="dxa"/>
          <w:right w:w="108" w:type="dxa"/>
        </w:tblCellMar>
      </w:tblPr>
      <w:tblGrid>
        <w:gridCol w:w="876"/>
        <w:gridCol w:w="711"/>
        <w:gridCol w:w="1600"/>
        <w:gridCol w:w="1962"/>
        <w:gridCol w:w="877"/>
        <w:gridCol w:w="1962"/>
        <w:gridCol w:w="1057"/>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3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持有人户数(户)</w:t>
            </w:r>
          </w:p>
        </w:tc>
        <w:tc>
          <w:tcPr>
            <w:tcW w:w="9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户均持有的基金份额</w:t>
            </w:r>
          </w:p>
        </w:tc>
        <w:tc>
          <w:tcPr>
            <w:tcW w:w="3300" w:type="pct"/>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持有人结构</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6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机构投资者</w:t>
            </w:r>
          </w:p>
        </w:tc>
        <w:tc>
          <w:tcPr>
            <w:tcW w:w="16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个人投资者</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1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占总份额比例</w:t>
            </w:r>
          </w:p>
        </w:tc>
        <w:tc>
          <w:tcPr>
            <w:tcW w:w="11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占总份额比例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创金合信MSCI中国A股国际指数A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42,948.52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5,000,450.09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58,735,147.29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92.15%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创金合信MSCI中国A股国际指数C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24,276.33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5,000,450.00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13,570,944.88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73.07%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37,548.81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10,000,900.09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72,306,092.17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87.85%</w:t>
            </w:r>
          </w:p>
        </w:tc>
      </w:tr>
    </w:tbl>
    <w:p>
      <w:pPr>
        <w:widowControl/>
        <w:jc w:val="left"/>
        <w:rPr>
          <w:rFonts w:hint="eastAsia" w:ascii="宋体" w:hAnsi="宋体" w:cs="宋体"/>
          <w:kern w:val="0"/>
          <w:sz w:val="24"/>
          <w:szCs w:val="24"/>
        </w:rPr>
      </w:pPr>
    </w:p>
    <w:p>
      <w:pPr>
        <w:pStyle w:val="14"/>
        <w:rPr>
          <w:rFonts w:hint="eastAsia"/>
        </w:rPr>
      </w:pPr>
      <w:bookmarkStart w:id="50" w:name="_Toc4173675"/>
      <w:r>
        <w:rPr>
          <w:rFonts w:hint="eastAsia" w:hAnsi="Calibri"/>
          <w:b/>
          <w:color w:val="000000"/>
        </w:rPr>
        <w:t>9.2 期末基金管理人的从业人员持有本基金的情况</w:t>
      </w:r>
      <w:bookmarkEnd w:id="50"/>
    </w:p>
    <w:tbl>
      <w:tblPr>
        <w:tblStyle w:val="7"/>
        <w:tblW w:w="9045" w:type="dxa"/>
        <w:tblInd w:w="226" w:type="dxa"/>
        <w:tblLayout w:type="autofit"/>
        <w:tblCellMar>
          <w:top w:w="0" w:type="dxa"/>
          <w:left w:w="108" w:type="dxa"/>
          <w:bottom w:w="0" w:type="dxa"/>
          <w:right w:w="108" w:type="dxa"/>
        </w:tblCellMar>
      </w:tblPr>
      <w:tblGrid>
        <w:gridCol w:w="2835"/>
        <w:gridCol w:w="2520"/>
        <w:gridCol w:w="1844"/>
        <w:gridCol w:w="1846"/>
      </w:tblGrid>
      <w:tr>
        <w:tblPrEx>
          <w:tblCellMar>
            <w:top w:w="0" w:type="dxa"/>
            <w:left w:w="108" w:type="dxa"/>
            <w:bottom w:w="0" w:type="dxa"/>
            <w:right w:w="108" w:type="dxa"/>
          </w:tblCellMar>
        </w:tblPrEx>
        <w:trPr>
          <w:wBefore w:w="0" w:type="auto"/>
        </w:trPr>
        <w:tc>
          <w:tcPr>
            <w:tcW w:w="21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99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2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持有份额总数（份）</w:t>
            </w:r>
          </w:p>
        </w:tc>
        <w:tc>
          <w:tcPr>
            <w:tcW w:w="256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占基金总份额比例</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基金管理人所有从业人员持有本基金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创金合信MSCI中国A股国际指数A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202,344.34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0.32%</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创金合信MSCI中国A股国际指数C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142,936.90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0.77%</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345,281.24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0.42%</w:t>
            </w:r>
          </w:p>
        </w:tc>
      </w:tr>
    </w:tbl>
    <w:p>
      <w:pPr>
        <w:widowControl/>
        <w:jc w:val="left"/>
        <w:rPr>
          <w:rFonts w:hint="eastAsia" w:ascii="宋体" w:hAnsi="宋体" w:cs="宋体"/>
          <w:kern w:val="0"/>
          <w:sz w:val="24"/>
          <w:szCs w:val="24"/>
        </w:rPr>
      </w:pPr>
    </w:p>
    <w:p>
      <w:pPr>
        <w:pStyle w:val="14"/>
        <w:rPr>
          <w:rFonts w:hint="eastAsia"/>
        </w:rPr>
      </w:pPr>
      <w:bookmarkStart w:id="51" w:name="_Toc4173676"/>
      <w:r>
        <w:rPr>
          <w:rFonts w:hint="eastAsia"/>
          <w:b/>
          <w:bCs/>
        </w:rPr>
        <w:t>9.3 期末基金管理人的从业人员持有本开放式基金份额总量区间情况</w:t>
      </w:r>
      <w:bookmarkEnd w:id="51"/>
    </w:p>
    <w:tbl>
      <w:tblPr>
        <w:tblStyle w:val="7"/>
        <w:tblW w:w="9045" w:type="dxa"/>
        <w:tblInd w:w="226" w:type="dxa"/>
        <w:tblLayout w:type="autofit"/>
        <w:tblCellMar>
          <w:top w:w="0" w:type="dxa"/>
          <w:left w:w="108" w:type="dxa"/>
          <w:bottom w:w="0" w:type="dxa"/>
          <w:right w:w="108" w:type="dxa"/>
        </w:tblCellMar>
      </w:tblPr>
      <w:tblGrid>
        <w:gridCol w:w="3618"/>
        <w:gridCol w:w="2261"/>
        <w:gridCol w:w="3166"/>
      </w:tblGrid>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持有基金份额总量的数量区间（万份）</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本公司高级管理人员、基金投资和研究部门负责人持有本开放式基金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创金合信MSCI中国A股国际指数A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创金合信MSCI中国A股国际指数C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本基金基金经理持有本开放式基金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创金合信MSCI中国A股国际指数A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创金合信MSCI中国A股国际指数C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bl>
    <w:p>
      <w:pPr>
        <w:widowControl/>
        <w:jc w:val="left"/>
        <w:rPr>
          <w:rFonts w:hint="eastAsia" w:ascii="宋体" w:hAnsi="宋体" w:cs="宋体"/>
          <w:kern w:val="0"/>
          <w:sz w:val="24"/>
          <w:szCs w:val="24"/>
        </w:rPr>
      </w:pPr>
    </w:p>
    <w:p>
      <w:pPr>
        <w:pStyle w:val="14"/>
        <w:rPr>
          <w:rFonts w:hint="eastAsia"/>
        </w:rPr>
      </w:pPr>
      <w:bookmarkStart w:id="52" w:name="_Toc4173677"/>
      <w:r>
        <w:rPr>
          <w:rFonts w:hint="eastAsia"/>
          <w:b/>
          <w:bCs/>
        </w:rPr>
        <w:t>9.4发起式基金发起资金持有份额情况</w:t>
      </w:r>
      <w:bookmarkEnd w:id="52"/>
    </w:p>
    <w:tbl>
      <w:tblPr>
        <w:tblStyle w:val="7"/>
        <w:tblW w:w="9045" w:type="dxa"/>
        <w:tblInd w:w="226" w:type="dxa"/>
        <w:tblLayout w:type="autofit"/>
        <w:tblCellMar>
          <w:top w:w="0" w:type="dxa"/>
          <w:left w:w="108" w:type="dxa"/>
          <w:bottom w:w="0" w:type="dxa"/>
          <w:right w:w="108" w:type="dxa"/>
        </w:tblCellMar>
      </w:tblPr>
      <w:tblGrid>
        <w:gridCol w:w="1357"/>
        <w:gridCol w:w="1791"/>
        <w:gridCol w:w="1140"/>
        <w:gridCol w:w="1791"/>
        <w:gridCol w:w="1140"/>
        <w:gridCol w:w="1826"/>
      </w:tblGrid>
      <w:tr>
        <w:tblPrEx>
          <w:tblCellMar>
            <w:top w:w="0" w:type="dxa"/>
            <w:left w:w="108" w:type="dxa"/>
            <w:bottom w:w="0" w:type="dxa"/>
            <w:right w:w="108" w:type="dxa"/>
          </w:tblCellMar>
        </w:tblPrEx>
        <w:trPr>
          <w:wBefore w:w="0" w:type="auto"/>
        </w:trPr>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114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持有份额总数</w:t>
            </w:r>
          </w:p>
        </w:tc>
        <w:tc>
          <w:tcPr>
            <w:tcW w:w="114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持有份额占基金总份额比例</w:t>
            </w:r>
          </w:p>
        </w:tc>
        <w:tc>
          <w:tcPr>
            <w:tcW w:w="114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发起份额总数</w:t>
            </w:r>
          </w:p>
        </w:tc>
        <w:tc>
          <w:tcPr>
            <w:tcW w:w="114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发起份额占基金总份额比例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发起份额承诺持有期限</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基金管理人固有资金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10,000,900.09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12.15%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10,000,900.09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12.15%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36月</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基金管理人高级管理人员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基金经理等人员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基金管理人股东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10,000,900.09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12.15%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10,000,900.09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12.15%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36月</w:t>
            </w:r>
          </w:p>
        </w:tc>
      </w:tr>
    </w:tbl>
    <w:p>
      <w:pPr>
        <w:widowControl/>
        <w:jc w:val="left"/>
        <w:rPr>
          <w:rFonts w:hint="eastAsia" w:ascii="宋体" w:hAnsi="宋体" w:cs="宋体"/>
          <w:kern w:val="0"/>
          <w:sz w:val="24"/>
          <w:szCs w:val="24"/>
        </w:rPr>
      </w:pPr>
    </w:p>
    <w:p>
      <w:pPr>
        <w:pStyle w:val="13"/>
        <w:rPr>
          <w:rFonts w:hint="eastAsia"/>
        </w:rPr>
      </w:pPr>
      <w:bookmarkStart w:id="53" w:name="_Toc4173678"/>
      <w:r>
        <w:rPr>
          <w:rFonts w:hint="eastAsia" w:hAnsi="Calibri"/>
          <w:b/>
          <w:color w:val="000000"/>
        </w:rPr>
        <w:t>§10  开放式基金份额变动</w:t>
      </w:r>
      <w:bookmarkEnd w:id="53"/>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单位：份</w:t>
      </w:r>
    </w:p>
    <w:tbl>
      <w:tblPr>
        <w:tblStyle w:val="7"/>
        <w:tblW w:w="9045" w:type="dxa"/>
        <w:tblInd w:w="226" w:type="dxa"/>
        <w:tblLayout w:type="autofit"/>
        <w:tblCellMar>
          <w:top w:w="0" w:type="dxa"/>
          <w:left w:w="108" w:type="dxa"/>
          <w:bottom w:w="0" w:type="dxa"/>
          <w:right w:w="108" w:type="dxa"/>
        </w:tblCellMar>
      </w:tblPr>
      <w:tblGrid>
        <w:gridCol w:w="3617"/>
        <w:gridCol w:w="2714"/>
        <w:gridCol w:w="2714"/>
      </w:tblGrid>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hAnsi="Calibri"/>
                <w:color w:val="000000"/>
              </w:rPr>
              <w:t>创金合信MSCI中国A股国际指数A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创金合信MSCI中国A股国际指数C</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基金合同生效日(2018年02月07日)基金份额总额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55,960,583.31</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12,417,879.67</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基金合同生效日起至报告期期末基金总申购份额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31,334,686.25</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11,564,616.69</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减：基金合同生效日起至报告期期末基金总赎回份额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23,559,672.18</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5,411,101.48</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基金合同生效日起至报告期期末基金拆分变动份额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本报告期期末基金份额总额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63,735,597.38</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18,571,394.88</w:t>
            </w:r>
          </w:p>
        </w:tc>
      </w:tr>
    </w:tbl>
    <w:p>
      <w:pPr>
        <w:widowControl/>
        <w:jc w:val="left"/>
        <w:rPr>
          <w:rFonts w:hint="eastAsia" w:ascii="宋体" w:hAnsi="宋体" w:cs="宋体"/>
          <w:kern w:val="0"/>
          <w:sz w:val="24"/>
          <w:szCs w:val="24"/>
        </w:rPr>
      </w:pPr>
    </w:p>
    <w:p>
      <w:pPr>
        <w:pStyle w:val="13"/>
        <w:rPr>
          <w:rFonts w:hint="eastAsia"/>
        </w:rPr>
      </w:pPr>
      <w:bookmarkStart w:id="54" w:name="_Toc4173679"/>
      <w:r>
        <w:rPr>
          <w:rFonts w:hint="eastAsia" w:hAnsi="Calibri"/>
          <w:b/>
          <w:color w:val="000000"/>
        </w:rPr>
        <w:t>§11  重大事件揭示</w:t>
      </w:r>
      <w:bookmarkEnd w:id="54"/>
    </w:p>
    <w:p>
      <w:pPr>
        <w:widowControl/>
        <w:jc w:val="left"/>
        <w:rPr>
          <w:rFonts w:hint="eastAsia" w:ascii="宋体" w:hAnsi="宋体" w:cs="宋体"/>
          <w:kern w:val="0"/>
          <w:sz w:val="24"/>
          <w:szCs w:val="24"/>
        </w:rPr>
      </w:pPr>
    </w:p>
    <w:p>
      <w:pPr>
        <w:pStyle w:val="14"/>
        <w:rPr>
          <w:rFonts w:hint="eastAsia"/>
        </w:rPr>
      </w:pPr>
      <w:bookmarkStart w:id="55" w:name="_Toc4173680"/>
      <w:r>
        <w:rPr>
          <w:rFonts w:hint="eastAsia"/>
          <w:b/>
          <w:bCs/>
        </w:rPr>
        <w:t>11.1 基金份额持有人大会决议</w:t>
      </w:r>
      <w:bookmarkEnd w:id="55"/>
    </w:p>
    <w:p>
      <w:pPr>
        <w:pStyle w:val="20"/>
        <w:spacing w:before="0"/>
        <w:ind w:left="0" w:firstLine="480"/>
        <w:rPr>
          <w:rFonts w:hint="eastAsia"/>
        </w:rPr>
      </w:pPr>
      <w:r>
        <w:rPr>
          <w:rFonts w:hint="eastAsia"/>
        </w:rPr>
        <w:t>本报告期内未召开基金份额持有人大会。</w:t>
      </w:r>
    </w:p>
    <w:p>
      <w:pPr>
        <w:widowControl/>
        <w:jc w:val="left"/>
        <w:rPr>
          <w:rFonts w:hint="eastAsia" w:ascii="宋体" w:hAnsi="宋体" w:cs="宋体"/>
          <w:kern w:val="0"/>
          <w:sz w:val="24"/>
          <w:szCs w:val="24"/>
        </w:rPr>
      </w:pPr>
    </w:p>
    <w:p>
      <w:pPr>
        <w:pStyle w:val="14"/>
        <w:rPr>
          <w:rFonts w:hint="eastAsia"/>
        </w:rPr>
      </w:pPr>
      <w:bookmarkStart w:id="56" w:name="_Toc4173681"/>
      <w:r>
        <w:rPr>
          <w:rFonts w:hint="eastAsia"/>
          <w:b/>
          <w:bCs/>
        </w:rPr>
        <w:t>11.2 基金管理人、基金托管人的专门基金托管部门的重大人事变动</w:t>
      </w:r>
      <w:bookmarkEnd w:id="56"/>
    </w:p>
    <w:p>
      <w:pPr>
        <w:pStyle w:val="20"/>
        <w:spacing w:before="0"/>
        <w:ind w:left="0" w:firstLine="480"/>
        <w:rPr>
          <w:rFonts w:hint="eastAsia"/>
        </w:rPr>
      </w:pPr>
      <w:r>
        <w:rPr>
          <w:rFonts w:hint="eastAsia"/>
        </w:rPr>
        <w:t>本报告期内基金管理人、基金托管人的专门基金托管部门无重大人事变动。</w:t>
      </w:r>
    </w:p>
    <w:p>
      <w:pPr>
        <w:widowControl/>
        <w:jc w:val="left"/>
        <w:rPr>
          <w:rFonts w:hint="eastAsia" w:ascii="宋体" w:hAnsi="宋体" w:cs="宋体"/>
          <w:kern w:val="0"/>
          <w:sz w:val="24"/>
          <w:szCs w:val="24"/>
        </w:rPr>
      </w:pPr>
    </w:p>
    <w:p>
      <w:pPr>
        <w:pStyle w:val="14"/>
        <w:rPr>
          <w:rFonts w:hint="eastAsia"/>
        </w:rPr>
      </w:pPr>
      <w:bookmarkStart w:id="57" w:name="_Toc4173682"/>
      <w:r>
        <w:rPr>
          <w:rFonts w:hint="eastAsia"/>
          <w:b/>
          <w:bCs/>
        </w:rPr>
        <w:t>11.3 涉及基金管理人、基金财产、基金托管业务的诉讼</w:t>
      </w:r>
      <w:bookmarkEnd w:id="57"/>
    </w:p>
    <w:p>
      <w:pPr>
        <w:pStyle w:val="20"/>
        <w:spacing w:before="0"/>
        <w:ind w:left="0" w:firstLine="480"/>
        <w:rPr>
          <w:rFonts w:hint="eastAsia"/>
        </w:rPr>
      </w:pPr>
      <w:r>
        <w:rPr>
          <w:rFonts w:hint="eastAsia"/>
        </w:rPr>
        <w:t>本报告期内，未出现涉及基金管理人、基金财产、基金托管业务的诉讼。</w:t>
      </w:r>
    </w:p>
    <w:p>
      <w:pPr>
        <w:widowControl/>
        <w:jc w:val="left"/>
        <w:rPr>
          <w:rFonts w:hint="eastAsia" w:ascii="宋体" w:hAnsi="宋体" w:cs="宋体"/>
          <w:kern w:val="0"/>
          <w:sz w:val="24"/>
          <w:szCs w:val="24"/>
        </w:rPr>
      </w:pPr>
    </w:p>
    <w:p>
      <w:pPr>
        <w:pStyle w:val="14"/>
        <w:rPr>
          <w:rFonts w:hint="eastAsia"/>
        </w:rPr>
      </w:pPr>
      <w:bookmarkStart w:id="58" w:name="_Toc4173683"/>
      <w:r>
        <w:rPr>
          <w:rFonts w:hint="eastAsia"/>
          <w:b/>
          <w:bCs/>
        </w:rPr>
        <w:t>11.4 基金投资策略的改变</w:t>
      </w:r>
      <w:bookmarkEnd w:id="58"/>
    </w:p>
    <w:p>
      <w:pPr>
        <w:pStyle w:val="20"/>
        <w:spacing w:before="0"/>
        <w:ind w:left="0" w:firstLine="480"/>
        <w:rPr>
          <w:rFonts w:hint="eastAsia"/>
        </w:rPr>
      </w:pPr>
      <w:r>
        <w:rPr>
          <w:rFonts w:hint="eastAsia"/>
        </w:rPr>
        <w:t>本报告期内基金投资策略无重大改变。</w:t>
      </w:r>
    </w:p>
    <w:p>
      <w:pPr>
        <w:widowControl/>
        <w:jc w:val="left"/>
        <w:rPr>
          <w:rFonts w:hint="eastAsia" w:ascii="宋体" w:hAnsi="宋体" w:cs="宋体"/>
          <w:kern w:val="0"/>
          <w:sz w:val="24"/>
          <w:szCs w:val="24"/>
        </w:rPr>
      </w:pPr>
    </w:p>
    <w:p>
      <w:pPr>
        <w:pStyle w:val="14"/>
        <w:rPr>
          <w:rFonts w:hint="eastAsia"/>
        </w:rPr>
      </w:pPr>
      <w:bookmarkStart w:id="59" w:name="_Toc4173684"/>
      <w:r>
        <w:rPr>
          <w:rFonts w:hint="eastAsia"/>
          <w:b/>
          <w:bCs/>
        </w:rPr>
        <w:t>11.5 为基金进行审计的会计师事务所情况</w:t>
      </w:r>
      <w:bookmarkEnd w:id="59"/>
    </w:p>
    <w:p>
      <w:pPr>
        <w:pStyle w:val="20"/>
        <w:spacing w:before="0"/>
        <w:ind w:left="0" w:firstLine="480"/>
        <w:rPr>
          <w:rFonts w:hint="eastAsia"/>
        </w:rPr>
      </w:pPr>
      <w:r>
        <w:rPr>
          <w:rFonts w:hint="eastAsia"/>
        </w:rPr>
        <w:t xml:space="preserve">本报告期内本基金未更换会计师事务所,本年度支付给普华永道中天会计师事务所(特殊普通合伙)审计费用35,000.00元,该审计机构连续提供审计服务的年限为1年。 </w:t>
      </w:r>
    </w:p>
    <w:p>
      <w:pPr>
        <w:widowControl/>
        <w:jc w:val="left"/>
        <w:rPr>
          <w:rFonts w:hint="eastAsia" w:ascii="宋体" w:hAnsi="宋体" w:cs="宋体"/>
          <w:kern w:val="0"/>
          <w:sz w:val="24"/>
          <w:szCs w:val="24"/>
        </w:rPr>
      </w:pPr>
    </w:p>
    <w:p>
      <w:pPr>
        <w:pStyle w:val="14"/>
        <w:rPr>
          <w:rFonts w:hint="eastAsia"/>
        </w:rPr>
      </w:pPr>
      <w:bookmarkStart w:id="60" w:name="_Toc4173685"/>
      <w:r>
        <w:rPr>
          <w:rFonts w:hint="eastAsia"/>
          <w:b/>
          <w:bCs/>
        </w:rPr>
        <w:t>11.6 管理人、托管人及其高级管理人员受稽查或处罚等情况</w:t>
      </w:r>
      <w:bookmarkEnd w:id="60"/>
    </w:p>
    <w:p>
      <w:pPr>
        <w:pStyle w:val="20"/>
        <w:spacing w:before="0"/>
        <w:ind w:left="0" w:firstLine="480"/>
        <w:rPr>
          <w:rFonts w:hint="eastAsia"/>
        </w:rPr>
      </w:pPr>
      <w:r>
        <w:rPr>
          <w:rFonts w:hint="eastAsia"/>
        </w:rPr>
        <w:t>本报告期内，未出现管理人、托管人及其高级管理人员受监管部门稽查或处罚的情况。</w:t>
      </w:r>
    </w:p>
    <w:p>
      <w:pPr>
        <w:widowControl/>
        <w:jc w:val="left"/>
        <w:rPr>
          <w:rFonts w:hint="eastAsia" w:ascii="宋体" w:hAnsi="宋体" w:cs="宋体"/>
          <w:kern w:val="0"/>
          <w:sz w:val="24"/>
          <w:szCs w:val="24"/>
        </w:rPr>
      </w:pPr>
    </w:p>
    <w:p>
      <w:pPr>
        <w:pStyle w:val="14"/>
        <w:rPr>
          <w:rFonts w:hint="eastAsia"/>
        </w:rPr>
      </w:pPr>
      <w:bookmarkStart w:id="61" w:name="_Toc4173686"/>
      <w:r>
        <w:rPr>
          <w:rFonts w:hint="eastAsia"/>
          <w:b/>
          <w:bCs/>
        </w:rPr>
        <w:t>11.7 基金租用证券公司交易单元的有关情况</w:t>
      </w:r>
      <w:bookmarkEnd w:id="61"/>
    </w:p>
    <w:p>
      <w:pPr>
        <w:pStyle w:val="15"/>
        <w:rPr>
          <w:rFonts w:hint="eastAsia"/>
        </w:rPr>
      </w:pPr>
      <w:r>
        <w:rPr>
          <w:rFonts w:hint="eastAsia"/>
          <w:b/>
          <w:bCs/>
        </w:rPr>
        <w:t>11.7.1 基金租用证券公司交易单元进行股票投资及佣金支付情况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226" w:type="dxa"/>
        <w:tblLayout w:type="autofit"/>
        <w:tblCellMar>
          <w:top w:w="0" w:type="dxa"/>
          <w:left w:w="108" w:type="dxa"/>
          <w:bottom w:w="0" w:type="dxa"/>
          <w:right w:w="108" w:type="dxa"/>
        </w:tblCellMar>
      </w:tblPr>
      <w:tblGrid>
        <w:gridCol w:w="871"/>
        <w:gridCol w:w="471"/>
        <w:gridCol w:w="2318"/>
        <w:gridCol w:w="1233"/>
        <w:gridCol w:w="2319"/>
        <w:gridCol w:w="1233"/>
        <w:gridCol w:w="600"/>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券商名称</w:t>
            </w:r>
          </w:p>
        </w:tc>
        <w:tc>
          <w:tcPr>
            <w:tcW w:w="1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交易单元数量</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股票交易</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应支付该券商的佣金</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备注</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3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7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c>
          <w:tcPr>
            <w:tcW w:w="13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佣金</w:t>
            </w:r>
          </w:p>
        </w:tc>
        <w:tc>
          <w:tcPr>
            <w:tcW w:w="7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英大证券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88,882,277.34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64,399.83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83.61%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9,448,078.17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4,006.00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4,777,459.30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1,544.24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11,135,747.20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8.93%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3,657.28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10,484,948.59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8.41%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3,412.96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中信建投证券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bl>
    <w:p>
      <w:pPr>
        <w:pStyle w:val="20"/>
        <w:rPr>
          <w:rFonts w:hint="eastAsia"/>
        </w:rPr>
      </w:pPr>
      <w:r>
        <w:rPr>
          <w:rFonts w:hint="eastAsia"/>
        </w:rPr>
        <w:t>注：交易单元的选择标准和程序：</w:t>
      </w:r>
      <w:r>
        <w:rPr>
          <w:rFonts w:hint="eastAsia"/>
        </w:rPr>
        <w:br w:type="textWrapping"/>
      </w:r>
      <w:r>
        <w:rPr>
          <w:rFonts w:hint="eastAsia"/>
        </w:rPr>
        <w:t>（1）研究实力较强，有固定的研究机构和专门的研究人员，能及时为基金提供高质量的咨询服务，包括宏观经济报告、行业报告、市场分析、个股分析报告及其它专门报告，并能根据基金投资的特定要求，提供专门研究报告；</w:t>
      </w:r>
      <w:r>
        <w:rPr>
          <w:rFonts w:hint="eastAsia"/>
        </w:rPr>
        <w:br w:type="textWrapping"/>
      </w:r>
      <w:r>
        <w:rPr>
          <w:rFonts w:hint="eastAsia"/>
        </w:rPr>
        <w:t>（2）财务状况良好，各项财务指标显示公司经营状况稳定；</w:t>
      </w:r>
      <w:r>
        <w:rPr>
          <w:rFonts w:hint="eastAsia"/>
        </w:rPr>
        <w:br w:type="textWrapping"/>
      </w:r>
      <w:r>
        <w:rPr>
          <w:rFonts w:hint="eastAsia"/>
        </w:rPr>
        <w:t>（3）经营行为规范，内部管理规范、严格，具备健全的内部控制制度，并能满足基金运作高度保密的要求；</w:t>
      </w:r>
      <w:r>
        <w:rPr>
          <w:rFonts w:hint="eastAsia"/>
        </w:rPr>
        <w:br w:type="textWrapping"/>
      </w:r>
      <w:r>
        <w:rPr>
          <w:rFonts w:hint="eastAsia"/>
        </w:rPr>
        <w:t>（4）具备基金运作所需的高效、安全的通讯条件，交易设施符合代理基金进行证券交易的需要，并能为基金提供全面的信息服务。</w:t>
      </w:r>
      <w:r>
        <w:rPr>
          <w:rFonts w:hint="eastAsia"/>
        </w:rPr>
        <w:br w:type="textWrapping"/>
      </w:r>
      <w:r>
        <w:rPr>
          <w:rFonts w:hint="eastAsia"/>
        </w:rPr>
        <w:t>基金管理人根据以上标准进行考察后确定租用券商的交易单元，并与被选中的证券经营机构签订交易单元租用协议。</w:t>
      </w:r>
      <w:r>
        <w:rPr>
          <w:rFonts w:hint="eastAsia"/>
        </w:rPr>
        <w:br w:type="textWrapping"/>
      </w:r>
      <w:r>
        <w:rPr>
          <w:rFonts w:hint="eastAsia"/>
        </w:rPr>
        <w:t>本基金在报告期内成立，交易单元均于本期内新增。</w:t>
      </w:r>
    </w:p>
    <w:p>
      <w:pPr>
        <w:widowControl/>
        <w:jc w:val="left"/>
        <w:rPr>
          <w:rFonts w:hint="eastAsia" w:ascii="宋体" w:hAnsi="宋体" w:cs="宋体"/>
          <w:kern w:val="0"/>
          <w:sz w:val="24"/>
          <w:szCs w:val="24"/>
        </w:rPr>
      </w:pPr>
    </w:p>
    <w:p>
      <w:pPr>
        <w:pStyle w:val="15"/>
        <w:rPr>
          <w:rFonts w:hint="eastAsia"/>
        </w:rPr>
      </w:pPr>
      <w:r>
        <w:rPr>
          <w:rFonts w:hint="eastAsia"/>
          <w:b/>
          <w:bCs/>
        </w:rPr>
        <w:t>11.7.2 基金租用证券公司交易单元进行其他证券投资的情况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226" w:type="dxa"/>
        <w:tblLayout w:type="autofit"/>
        <w:tblCellMar>
          <w:top w:w="0" w:type="dxa"/>
          <w:left w:w="108" w:type="dxa"/>
          <w:bottom w:w="0" w:type="dxa"/>
          <w:right w:w="108" w:type="dxa"/>
        </w:tblCellMar>
      </w:tblPr>
      <w:tblGrid>
        <w:gridCol w:w="904"/>
        <w:gridCol w:w="1808"/>
        <w:gridCol w:w="905"/>
        <w:gridCol w:w="1809"/>
        <w:gridCol w:w="905"/>
        <w:gridCol w:w="396"/>
        <w:gridCol w:w="961"/>
        <w:gridCol w:w="396"/>
        <w:gridCol w:w="961"/>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券商名称</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债券交易</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债券回购交易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权证交易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基金交易</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18"/>
                <w:szCs w:val="18"/>
              </w:rPr>
            </w:pP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占当期债券成交总额的比例</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占当期债券回购成交总额的比例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占当期权证成交总额的比例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占当期基金成交总额的比例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英大证券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3,010,194.40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60.01%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1,001,000.00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19.96%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中泰证券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安信证券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1,004,800.00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20.03%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中信建投证券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bl>
    <w:p>
      <w:pPr>
        <w:widowControl/>
        <w:jc w:val="left"/>
        <w:rPr>
          <w:rFonts w:hint="eastAsia" w:ascii="宋体" w:hAnsi="宋体" w:cs="宋体"/>
          <w:kern w:val="0"/>
          <w:sz w:val="24"/>
          <w:szCs w:val="24"/>
        </w:rPr>
      </w:pPr>
    </w:p>
    <w:p>
      <w:pPr>
        <w:pStyle w:val="14"/>
        <w:rPr>
          <w:rFonts w:hint="eastAsia"/>
        </w:rPr>
      </w:pPr>
      <w:bookmarkStart w:id="62" w:name="_Toc4173687"/>
      <w:r>
        <w:rPr>
          <w:rFonts w:hint="eastAsia"/>
          <w:b/>
          <w:bCs/>
        </w:rPr>
        <w:t>11.8 其他重大事件</w:t>
      </w:r>
      <w:bookmarkEnd w:id="62"/>
    </w:p>
    <w:tbl>
      <w:tblPr>
        <w:tblStyle w:val="7"/>
        <w:tblW w:w="9045" w:type="dxa"/>
        <w:tblInd w:w="226" w:type="dxa"/>
        <w:tblLayout w:type="autofit"/>
        <w:tblCellMar>
          <w:top w:w="0" w:type="dxa"/>
          <w:left w:w="108" w:type="dxa"/>
          <w:bottom w:w="0" w:type="dxa"/>
          <w:right w:w="108" w:type="dxa"/>
        </w:tblCellMar>
      </w:tblPr>
      <w:tblGrid>
        <w:gridCol w:w="904"/>
        <w:gridCol w:w="3166"/>
        <w:gridCol w:w="3166"/>
        <w:gridCol w:w="1809"/>
      </w:tblGrid>
      <w:tr>
        <w:tblPrEx>
          <w:tblCellMar>
            <w:top w:w="0" w:type="dxa"/>
            <w:left w:w="108" w:type="dxa"/>
            <w:bottom w:w="0" w:type="dxa"/>
            <w:right w:w="108" w:type="dxa"/>
          </w:tblCellMar>
        </w:tblPrEx>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公告事项</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法定披露方式</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法定披露日期</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创金合信MSCI中国A股国际指数发起式证券投资基金基金份额发售公告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创金合信MSCI中国A股国际指数发起式证券投资基金基金合同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创金合信MSCI中国A股国际指数发起式证券投资基金基金合同内容摘要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创金合信MSCI中国A股国际指数发起式证券投资基金托管协议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创金合信MSCI中国A股国际指数发起式证券投资基金招募说明书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创金合信基金关于创金合信MSCI中国A股国际指数发起式证券投资基金增加部分代销机构的公告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2018-01-15</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创金合信基金管理有限公司关于旗下部分开放式基金增加华泰证券为代销机构暨参加华泰证券费率优惠活动的公告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创金合信基金管理有限公司关于创金合信MSCI中国A股国际指数发起式证券投资基金增加中投证券为代销机构的公告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创金合信基金管理有限公司关于旗下部分开放式基金增加苏宁金融为代销机构的公告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创金合信MSCI中国A股国际指数发起式证券投资基金基金合同生效公告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2018-02-08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创金合信MSCI中国A股国际指数发起式证券投资基金开放日常申购、赎回、转换和定期定额投资业务的公告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创金合信基金管理有限公司关于公司旗下部分基金估值调整情况的公告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创金合信基金管理有限公司关于旗下部分开放式基金参加第一创业证券费率优惠活动的公告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2018-04-02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创金合信基金管理有限公司关于创金合信MSCI中国A股国际指数发起式证券投资基金增加部分代销机构的公告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2018-04-11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创金合信基金管理有限公司关于旗下开放式基金参与银河证券费率优惠活动的公告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2018-05-18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创金合信基金管理有限公司关于旗下开放式基金参与第一创业证券费率优惠活动的公告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2018-05-24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创金合信基金管理有限公司关于公司旗下部分基金估值调整情况的公告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2018-06-16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创金合信基金管理有限公司关于旗下证券投资基金估值调整情况的公告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2018-06-21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创金合信基金管理有限公司关于旗下部分开放式基金增加济安财富为代销机构的公告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2018-06-28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2018-07-02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创金合信基金管理有限公司关于公司旗下部分基金估值调整情况的公告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2018-07-03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创金合信MSCI中国A股国际指数发起式证券投资基金2018年第2季度报告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2018-07-20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创金合信基金管理有限公司关于旗下部分开放式基金增加恒泰证券为代销机构的公告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创金合信基金管理有限公司关于旗下部分开放式基金增加长量基金为代销机构的公告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创金合信基金管理有限公司关于旗下部分开放式基金增加和耕传承为代销机构的公告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创金合信MSCI中国A股国际指数发起式证券投资基金2018年半年度报告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2018-08-29</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关于创金合信MSCI中国A股国际指数发起式证券投资基金、创金合信中证红利低波动指数发起式证券投资基金投资关联方证券的公告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创金合信MSCI中国A股国际指数发起式证券投资基金（2018年第1号）招募说明书（更新）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2018-09-20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创金合信MSCI中国A股国际指数发起式证券投资基金招募说明书（更新）摘要（2018年第1号）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2018-09-20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创金合信MSCI中国A股国际指数发起式证券投资基金2018年第3季度报告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创金合信基金管理有限公司关于旗下部分开放式基金增加植信基金为代销机构的公告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创金合信基金管理有限公司关于旗下部分开放式基金增加中银国际证券为代销机构的公告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2018-11-13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创金合信基金管理有限公司关于旗下部分开放式基金增加阳光人寿为代销机构的公告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2018-11-29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创金合信基金管理有限公司关于旗下部分开放式基金增加腾安基金为代销机构的公告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2018-12-07</w:t>
            </w:r>
          </w:p>
        </w:tc>
      </w:tr>
    </w:tbl>
    <w:p>
      <w:pPr>
        <w:widowControl/>
        <w:jc w:val="left"/>
        <w:rPr>
          <w:rFonts w:hint="eastAsia" w:ascii="宋体" w:hAnsi="宋体" w:cs="宋体"/>
          <w:kern w:val="0"/>
          <w:sz w:val="24"/>
          <w:szCs w:val="24"/>
        </w:rPr>
      </w:pPr>
    </w:p>
    <w:p>
      <w:pPr>
        <w:pStyle w:val="13"/>
        <w:rPr>
          <w:rFonts w:hint="eastAsia"/>
        </w:rPr>
      </w:pPr>
      <w:bookmarkStart w:id="63" w:name="_Toc4173688"/>
      <w:r>
        <w:rPr>
          <w:rFonts w:hint="eastAsia" w:hAnsi="Calibri"/>
          <w:b/>
          <w:color w:val="000000"/>
        </w:rPr>
        <w:t>§12  影响投资者决策的其他重要信息</w:t>
      </w:r>
      <w:bookmarkEnd w:id="63"/>
    </w:p>
    <w:p>
      <w:pPr>
        <w:widowControl/>
        <w:jc w:val="left"/>
        <w:rPr>
          <w:rFonts w:hint="eastAsia" w:ascii="宋体" w:hAnsi="宋体" w:cs="宋体"/>
          <w:kern w:val="0"/>
          <w:sz w:val="24"/>
          <w:szCs w:val="24"/>
        </w:rPr>
      </w:pPr>
    </w:p>
    <w:p>
      <w:pPr>
        <w:pStyle w:val="14"/>
        <w:rPr>
          <w:rFonts w:hint="eastAsia"/>
        </w:rPr>
      </w:pPr>
      <w:bookmarkStart w:id="64" w:name="_Toc4173689"/>
      <w:r>
        <w:rPr>
          <w:rFonts w:hint="eastAsia"/>
          <w:b/>
          <w:bCs/>
        </w:rPr>
        <w:t>12.1 报告期内单一投资者持有基金份额比例达到或超过20%的情况</w:t>
      </w:r>
      <w:bookmarkEnd w:id="64"/>
    </w:p>
    <w:p>
      <w:pPr>
        <w:pStyle w:val="20"/>
        <w:rPr>
          <w:rFonts w:hint="eastAsia"/>
        </w:rPr>
      </w:pPr>
      <w:r>
        <w:rPr>
          <w:rFonts w:hint="eastAsia"/>
        </w:rPr>
        <w:t>本基金在报告期内不存在单一投资者持有基金份额比例达到或超过20%的情况。</w:t>
      </w:r>
    </w:p>
    <w:p>
      <w:pPr>
        <w:widowControl/>
        <w:jc w:val="left"/>
        <w:rPr>
          <w:rFonts w:hint="eastAsia" w:ascii="宋体" w:hAnsi="宋体" w:cs="宋体"/>
          <w:kern w:val="0"/>
          <w:sz w:val="24"/>
          <w:szCs w:val="24"/>
        </w:rPr>
      </w:pPr>
    </w:p>
    <w:p>
      <w:pPr>
        <w:pStyle w:val="14"/>
        <w:rPr>
          <w:rFonts w:hint="eastAsia"/>
        </w:rPr>
      </w:pPr>
      <w:bookmarkStart w:id="65" w:name="_Toc4173690"/>
      <w:r>
        <w:rPr>
          <w:rFonts w:hint="eastAsia"/>
          <w:b/>
          <w:bCs/>
        </w:rPr>
        <w:t>12.2 影响投资者决策的其他重要信息</w:t>
      </w:r>
      <w:bookmarkEnd w:id="65"/>
    </w:p>
    <w:p>
      <w:pPr>
        <w:pStyle w:val="17"/>
        <w:spacing w:before="0"/>
        <w:ind w:left="0" w:firstLine="480"/>
        <w:rPr>
          <w:rFonts w:hint="eastAsia"/>
        </w:rPr>
      </w:pPr>
      <w:r>
        <w:rPr>
          <w:rFonts w:hint="eastAsia"/>
        </w:rPr>
        <w:t>本报告期，未出现影响投资者决策的其他重要信息。</w:t>
      </w:r>
    </w:p>
    <w:p>
      <w:pPr>
        <w:widowControl/>
        <w:jc w:val="left"/>
        <w:rPr>
          <w:rFonts w:hint="eastAsia" w:ascii="宋体" w:hAnsi="宋体" w:cs="宋体"/>
          <w:kern w:val="0"/>
          <w:sz w:val="24"/>
          <w:szCs w:val="24"/>
        </w:rPr>
      </w:pPr>
    </w:p>
    <w:p>
      <w:pPr>
        <w:pStyle w:val="13"/>
        <w:rPr>
          <w:rFonts w:hint="eastAsia"/>
        </w:rPr>
      </w:pPr>
      <w:bookmarkStart w:id="66" w:name="_Toc4173691"/>
      <w:r>
        <w:rPr>
          <w:rFonts w:hint="eastAsia" w:hAnsi="Calibri"/>
          <w:b/>
          <w:color w:val="000000"/>
        </w:rPr>
        <w:t>§13  备查文件目录</w:t>
      </w:r>
      <w:bookmarkEnd w:id="66"/>
    </w:p>
    <w:p>
      <w:pPr>
        <w:widowControl/>
        <w:jc w:val="left"/>
        <w:rPr>
          <w:rFonts w:hint="eastAsia" w:ascii="宋体" w:hAnsi="宋体" w:cs="宋体"/>
          <w:kern w:val="0"/>
          <w:sz w:val="24"/>
          <w:szCs w:val="24"/>
        </w:rPr>
      </w:pPr>
    </w:p>
    <w:p>
      <w:pPr>
        <w:pStyle w:val="14"/>
        <w:rPr>
          <w:rFonts w:hint="eastAsia"/>
        </w:rPr>
      </w:pPr>
      <w:bookmarkStart w:id="67" w:name="_Toc4173692"/>
      <w:r>
        <w:rPr>
          <w:rFonts w:hint="eastAsia"/>
          <w:b/>
          <w:bCs/>
        </w:rPr>
        <w:t>13.1 备查文件目录</w:t>
      </w:r>
      <w:bookmarkEnd w:id="67"/>
    </w:p>
    <w:p>
      <w:pPr>
        <w:pStyle w:val="20"/>
        <w:spacing w:before="0"/>
        <w:ind w:left="0" w:firstLine="480"/>
        <w:rPr>
          <w:rFonts w:hint="eastAsia"/>
        </w:rPr>
      </w:pPr>
      <w:r>
        <w:rPr>
          <w:rFonts w:hint="eastAsia"/>
        </w:rPr>
        <w:t>1、《创金合信MSCI中国A股国际指数发起式证券投资基金基金合同》；</w:t>
      </w:r>
    </w:p>
    <w:p>
      <w:pPr>
        <w:pStyle w:val="20"/>
        <w:spacing w:before="0"/>
        <w:ind w:left="0" w:firstLine="480"/>
        <w:rPr>
          <w:rFonts w:hint="eastAsia"/>
        </w:rPr>
      </w:pPr>
      <w:r>
        <w:rPr>
          <w:rFonts w:hint="eastAsia"/>
        </w:rPr>
        <w:t>2、《创金合信MSCI中国A股国际指数发起式证券投资基金托管协议》；</w:t>
      </w:r>
    </w:p>
    <w:p>
      <w:pPr>
        <w:pStyle w:val="20"/>
        <w:spacing w:before="0"/>
        <w:ind w:left="0" w:firstLine="480"/>
        <w:rPr>
          <w:rFonts w:hint="eastAsia"/>
        </w:rPr>
      </w:pPr>
      <w:r>
        <w:rPr>
          <w:rFonts w:hint="eastAsia"/>
        </w:rPr>
        <w:t>3、创金合信MSCI中国A股国际指数发起式证券投资基金2018年年度报告。</w:t>
      </w:r>
    </w:p>
    <w:p>
      <w:pPr>
        <w:widowControl/>
        <w:jc w:val="left"/>
        <w:rPr>
          <w:rFonts w:hint="eastAsia" w:ascii="宋体" w:hAnsi="宋体" w:cs="宋体"/>
          <w:kern w:val="0"/>
          <w:sz w:val="24"/>
          <w:szCs w:val="24"/>
        </w:rPr>
      </w:pPr>
    </w:p>
    <w:p>
      <w:pPr>
        <w:pStyle w:val="14"/>
        <w:rPr>
          <w:rFonts w:hint="eastAsia"/>
        </w:rPr>
      </w:pPr>
      <w:bookmarkStart w:id="68" w:name="_Toc4173693"/>
      <w:r>
        <w:rPr>
          <w:rFonts w:hint="eastAsia"/>
          <w:b/>
          <w:bCs/>
        </w:rPr>
        <w:t>13.2 存放地点</w:t>
      </w:r>
      <w:bookmarkEnd w:id="68"/>
    </w:p>
    <w:p>
      <w:pPr>
        <w:pStyle w:val="20"/>
        <w:spacing w:before="0"/>
        <w:ind w:left="0" w:firstLine="480"/>
        <w:rPr>
          <w:rFonts w:hint="eastAsia"/>
        </w:rPr>
      </w:pPr>
      <w:r>
        <w:rPr>
          <w:rFonts w:hint="eastAsia"/>
        </w:rPr>
        <w:t>深圳市福田中心区福华一路115号投行大厦15楼</w:t>
      </w:r>
    </w:p>
    <w:p>
      <w:pPr>
        <w:widowControl/>
        <w:jc w:val="left"/>
        <w:rPr>
          <w:rFonts w:hint="eastAsia" w:ascii="宋体" w:hAnsi="宋体" w:cs="宋体"/>
          <w:kern w:val="0"/>
          <w:sz w:val="24"/>
          <w:szCs w:val="24"/>
        </w:rPr>
      </w:pPr>
    </w:p>
    <w:p>
      <w:pPr>
        <w:pStyle w:val="14"/>
        <w:rPr>
          <w:rFonts w:hint="eastAsia"/>
        </w:rPr>
      </w:pPr>
      <w:bookmarkStart w:id="69" w:name="_Toc4173694"/>
      <w:r>
        <w:rPr>
          <w:rFonts w:hint="eastAsia"/>
          <w:b/>
          <w:bCs/>
        </w:rPr>
        <w:t>13.3 查阅方式</w:t>
      </w:r>
      <w:bookmarkEnd w:id="69"/>
    </w:p>
    <w:p>
      <w:pPr>
        <w:pStyle w:val="20"/>
        <w:spacing w:before="0"/>
        <w:ind w:left="0" w:firstLine="480"/>
        <w:rPr>
          <w:rFonts w:hint="eastAsia"/>
        </w:rPr>
      </w:pPr>
      <w:r>
        <w:rPr>
          <w:rFonts w:hint="eastAsia"/>
        </w:rPr>
        <w:t>www.cjhxfund.com</w:t>
      </w: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pStyle w:val="19"/>
        <w:rPr>
          <w:rFonts w:hint="eastAsia"/>
        </w:rPr>
      </w:pPr>
      <w:r>
        <w:rPr>
          <w:rFonts w:hint="eastAsia" w:hAnsi="Calibri"/>
          <w:b/>
          <w:bCs/>
          <w:color w:val="000000"/>
        </w:rPr>
        <w:t>创金合信基金管理有限公司</w:t>
      </w:r>
    </w:p>
    <w:p>
      <w:pPr>
        <w:pStyle w:val="19"/>
        <w:rPr>
          <w:rFonts w:hint="eastAsia"/>
        </w:rPr>
      </w:pPr>
      <w:r>
        <w:rPr>
          <w:rFonts w:hint="eastAsia" w:hAnsi="Calibri"/>
          <w:b/>
          <w:bCs/>
          <w:color w:val="000000"/>
        </w:rPr>
        <w:t>二〇一九年三月二十九日</w:t>
      </w:r>
    </w:p>
    <w:p>
      <w:pPr>
        <w:pStyle w:val="24"/>
        <w:autoSpaceDE w:val="0"/>
        <w:autoSpaceDN w:val="0"/>
        <w:adjustRightInd w:val="0"/>
        <w:spacing w:before="145" w:beforeAutospacing="0" w:after="0" w:afterAutospacing="0" w:line="288" w:lineRule="auto"/>
        <w:ind w:left="15"/>
        <w:jc w:val="right"/>
        <w:rPr>
          <w:rFonts w:hint="eastAsia"/>
          <w:b/>
        </w:rPr>
      </w:pPr>
    </w:p>
    <w:sectPr>
      <w:headerReference r:id="rId3" w:type="default"/>
      <w:footerReference r:id="rId4" w:type="default"/>
      <w:footerReference r:id="rId5" w:type="even"/>
      <w:pgSz w:w="11926" w:h="15840"/>
      <w:pgMar w:top="1418" w:right="1418" w:bottom="853" w:left="1418" w:header="851" w:footer="992" w:gutter="0"/>
      <w:cols w:space="425" w:num="1"/>
      <w:titlePg/>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10"/>
      </w:rPr>
    </w:pPr>
    <w:r>
      <w:rPr>
        <w:rStyle w:val="10"/>
      </w:rPr>
      <w:fldChar w:fldCharType="begin"/>
    </w:r>
    <w:r>
      <w:rPr>
        <w:rStyle w:val="10"/>
      </w:rPr>
      <w:instrText xml:space="preserve">PAGE  </w:instrText>
    </w:r>
    <w:r>
      <w:rPr>
        <w:rStyle w:val="10"/>
      </w:rPr>
      <w:fldChar w:fldCharType="separate"/>
    </w:r>
    <w:r>
      <w:rPr>
        <w:rStyle w:val="10"/>
        <w:lang/>
      </w:rPr>
      <w:t>38</w:t>
    </w:r>
    <w:r>
      <w:rPr>
        <w:rStyle w:val="10"/>
      </w:rPr>
      <w:fldChar w:fldCharType="end"/>
    </w:r>
  </w:p>
  <w:p>
    <w:pPr>
      <w:pStyle w:val="2"/>
      <w:jc w:val="center"/>
    </w:pPr>
    <w:r>
      <w:rPr>
        <w:rFonts w:hint="eastAsia"/>
      </w:rPr>
      <w:t xml:space="preserve">                   第       页，共79页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10"/>
      </w:rPr>
    </w:pPr>
    <w:r>
      <w:rPr>
        <w:rStyle w:val="10"/>
      </w:rPr>
      <w:fldChar w:fldCharType="begin"/>
    </w:r>
    <w:r>
      <w:rPr>
        <w:rStyle w:val="10"/>
      </w:rPr>
      <w:instrText xml:space="preserve">PAGE  </w:instrText>
    </w:r>
    <w:r>
      <w:rPr>
        <w:rStyle w:val="10"/>
      </w:rPr>
      <w:fldChar w:fldCharType="end"/>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p>
    <w:pPr>
      <w:pStyle w:val="3"/>
      <w:jc w:val="right"/>
    </w:pPr>
    <w:r>
      <w:rPr>
        <w:rFonts w:hint="eastAsia"/>
      </w:rPr>
      <w:t>创金合信MSCI中国A股国际指数发起式证券投资基金2018年年度报告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hyphenationZone w:val="360"/>
  <w:displayHorizontalDrawingGridEvery w:val="1"/>
  <w:displayVerticalDrawingGridEvery w:val="1"/>
  <w:noPunctuationKerning w:val="1"/>
  <w:characterSpacingControl w:val="compressPunctuation"/>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61DB4"/>
    <w:rsid w:val="00270DA4"/>
    <w:rsid w:val="003C5FCA"/>
    <w:rsid w:val="00950521"/>
    <w:rsid w:val="00C561D9"/>
    <w:rsid w:val="00F61DB4"/>
    <w:rsid w:val="776325D0"/>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8">
    <w:name w:val="Default Paragraph Font"/>
    <w:semiHidden/>
    <w:unhideWhenUsed/>
    <w:uiPriority w:val="1"/>
  </w:style>
  <w:style w:type="table" w:default="1" w:styleId="7">
    <w:name w:val="Normal Table"/>
    <w:semiHidden/>
    <w:unhideWhenUsed/>
    <w:uiPriority w:val="99"/>
    <w:tblPr>
      <w:tblStyle w:val="7"/>
      <w:tblCellMar>
        <w:top w:w="0" w:type="dxa"/>
        <w:left w:w="108" w:type="dxa"/>
        <w:bottom w:w="0" w:type="dxa"/>
        <w:right w:w="108" w:type="dxa"/>
      </w:tblCellMar>
    </w:tblPr>
    <w:trPr>
      <w:wBefore w:w="0" w:type="dxa"/>
    </w:trPr>
  </w:style>
  <w:style w:type="paragraph" w:styleId="2">
    <w:name w:val="footer"/>
    <w:basedOn w:val="1"/>
    <w:link w:val="26"/>
    <w:unhideWhenUsed/>
    <w:uiPriority w:val="99"/>
    <w:pPr>
      <w:tabs>
        <w:tab w:val="center" w:pos="4153"/>
        <w:tab w:val="right" w:pos="8306"/>
      </w:tabs>
      <w:snapToGrid w:val="0"/>
      <w:jc w:val="left"/>
    </w:pPr>
    <w:rPr>
      <w:sz w:val="18"/>
      <w:szCs w:val="18"/>
    </w:rPr>
  </w:style>
  <w:style w:type="paragraph" w:styleId="3">
    <w:name w:val="header"/>
    <w:basedOn w:val="1"/>
    <w:link w:val="25"/>
    <w:unhideWhenUsed/>
    <w:uiPriority w:val="99"/>
    <w:pPr>
      <w:pBdr>
        <w:bottom w:val="single" w:color="auto" w:sz="6" w:space="1"/>
      </w:pBdr>
      <w:tabs>
        <w:tab w:val="center" w:pos="4153"/>
        <w:tab w:val="right" w:pos="8306"/>
      </w:tabs>
      <w:snapToGrid w:val="0"/>
      <w:jc w:val="center"/>
    </w:pPr>
    <w:rPr>
      <w:sz w:val="18"/>
      <w:szCs w:val="18"/>
    </w:rPr>
  </w:style>
  <w:style w:type="paragraph" w:styleId="4">
    <w:name w:val="toc 1"/>
    <w:basedOn w:val="1"/>
    <w:next w:val="1"/>
    <w:unhideWhenUsed/>
    <w:uiPriority w:val="39"/>
  </w:style>
  <w:style w:type="paragraph" w:styleId="5">
    <w:name w:val="toc 2"/>
    <w:basedOn w:val="1"/>
    <w:next w:val="1"/>
    <w:unhideWhenUsed/>
    <w:uiPriority w:val="39"/>
    <w:pPr>
      <w:ind w:left="420" w:leftChars="200"/>
    </w:pPr>
  </w:style>
  <w:style w:type="paragraph" w:styleId="6">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Strong"/>
    <w:qFormat/>
    <w:uiPriority w:val="22"/>
    <w:rPr>
      <w:b/>
      <w:bCs/>
    </w:rPr>
  </w:style>
  <w:style w:type="character" w:styleId="10">
    <w:name w:val="page number"/>
    <w:semiHidden/>
    <w:unhideWhenUsed/>
    <w:uiPriority w:val="99"/>
  </w:style>
  <w:style w:type="character" w:styleId="11">
    <w:name w:val="Hyperlink"/>
    <w:unhideWhenUsed/>
    <w:uiPriority w:val="99"/>
    <w:rPr>
      <w:color w:val="0563C1"/>
      <w:u w:val="single"/>
    </w:rPr>
  </w:style>
  <w:style w:type="paragraph" w:customStyle="1" w:styleId="12">
    <w:name w:val="msonormal1"/>
    <w:qFormat/>
    <w:uiPriority w:val="0"/>
    <w:pPr>
      <w:widowControl w:val="0"/>
      <w:jc w:val="both"/>
    </w:pPr>
    <w:rPr>
      <w:kern w:val="2"/>
      <w:sz w:val="21"/>
      <w:szCs w:val="22"/>
      <w:lang w:val="en-US" w:eastAsia="zh-CN" w:bidi="ar-SA"/>
    </w:rPr>
  </w:style>
  <w:style w:type="paragraph" w:customStyle="1" w:styleId="13">
    <w:name w:val="dazhangjie"/>
    <w:basedOn w:val="1"/>
    <w:uiPriority w:val="0"/>
    <w:pPr>
      <w:widowControl/>
      <w:autoSpaceDE w:val="0"/>
      <w:autoSpaceDN w:val="0"/>
      <w:adjustRightInd w:val="0"/>
      <w:spacing w:before="30" w:line="288" w:lineRule="auto"/>
      <w:ind w:left="15"/>
      <w:jc w:val="center"/>
      <w:outlineLvl w:val="0"/>
    </w:pPr>
    <w:rPr>
      <w:rFonts w:ascii="宋体" w:hAnsi="宋体" w:eastAsia="宋体" w:cs="宋体"/>
      <w:kern w:val="0"/>
      <w:sz w:val="24"/>
      <w:szCs w:val="24"/>
    </w:rPr>
  </w:style>
  <w:style w:type="paragraph" w:customStyle="1" w:styleId="14">
    <w:name w:val="zhangjie_p"/>
    <w:basedOn w:val="1"/>
    <w:uiPriority w:val="0"/>
    <w:pPr>
      <w:widowControl/>
      <w:autoSpaceDE w:val="0"/>
      <w:autoSpaceDN w:val="0"/>
      <w:adjustRightInd w:val="0"/>
      <w:spacing w:before="30" w:line="288" w:lineRule="auto"/>
      <w:ind w:left="15"/>
      <w:jc w:val="left"/>
      <w:outlineLvl w:val="1"/>
    </w:pPr>
    <w:rPr>
      <w:rFonts w:ascii="宋体" w:hAnsi="宋体" w:eastAsia="宋体" w:cs="宋体"/>
      <w:kern w:val="0"/>
      <w:sz w:val="24"/>
      <w:szCs w:val="24"/>
    </w:rPr>
  </w:style>
  <w:style w:type="paragraph" w:customStyle="1" w:styleId="15">
    <w:name w:val="zhangjie_p2"/>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6">
    <w:name w:val="zhongyaotishi"/>
    <w:basedOn w:val="1"/>
    <w:uiPriority w:val="0"/>
    <w:pPr>
      <w:widowControl/>
      <w:autoSpaceDE w:val="0"/>
      <w:autoSpaceDN w:val="0"/>
      <w:adjustRightInd w:val="0"/>
      <w:spacing w:before="30" w:line="288" w:lineRule="auto"/>
      <w:ind w:left="15" w:firstLine="482"/>
      <w:jc w:val="left"/>
    </w:pPr>
    <w:rPr>
      <w:rFonts w:ascii="宋体" w:hAnsi="宋体" w:eastAsia="宋体" w:cs="宋体"/>
      <w:kern w:val="0"/>
      <w:sz w:val="24"/>
      <w:szCs w:val="24"/>
    </w:rPr>
  </w:style>
  <w:style w:type="paragraph" w:customStyle="1" w:styleId="17">
    <w:name w:val="biaoge_left"/>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8">
    <w:name w:val="biaoge_center"/>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19">
    <w:name w:val="biaoge_right"/>
    <w:basedOn w:val="1"/>
    <w:uiPriority w:val="0"/>
    <w:pPr>
      <w:widowControl/>
      <w:autoSpaceDE w:val="0"/>
      <w:autoSpaceDN w:val="0"/>
      <w:adjustRightInd w:val="0"/>
      <w:spacing w:before="29" w:line="288" w:lineRule="auto"/>
      <w:ind w:left="15"/>
      <w:jc w:val="right"/>
    </w:pPr>
    <w:rPr>
      <w:rFonts w:ascii="宋体" w:hAnsi="宋体" w:eastAsia="宋体" w:cs="宋体"/>
      <w:kern w:val="0"/>
      <w:sz w:val="24"/>
      <w:szCs w:val="24"/>
    </w:rPr>
  </w:style>
  <w:style w:type="paragraph" w:customStyle="1" w:styleId="20">
    <w:name w:val="neirong"/>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21">
    <w:name w:val="hide"/>
    <w:basedOn w:val="1"/>
    <w:uiPriority w:val="0"/>
    <w:pPr>
      <w:widowControl/>
      <w:spacing w:before="100" w:beforeAutospacing="1" w:after="100" w:afterAutospacing="1"/>
      <w:jc w:val="left"/>
    </w:pPr>
    <w:rPr>
      <w:rFonts w:ascii="宋体" w:hAnsi="宋体" w:eastAsia="宋体" w:cs="宋体"/>
      <w:vanish/>
      <w:kern w:val="0"/>
      <w:sz w:val="24"/>
      <w:szCs w:val="24"/>
    </w:rPr>
  </w:style>
  <w:style w:type="paragraph" w:customStyle="1" w:styleId="22">
    <w:name w:val="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3">
    <w:name w:val="biaoge_center1"/>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24">
    <w:name w:val="align=right"/>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5">
    <w:name w:val="页眉 Char"/>
    <w:link w:val="3"/>
    <w:locked/>
    <w:uiPriority w:val="99"/>
    <w:rPr>
      <w:rFonts w:hint="default" w:ascii="Times New Roman" w:hAnsi="Times New Roman" w:cs="Times New Roman"/>
      <w:sz w:val="18"/>
      <w:szCs w:val="18"/>
    </w:rPr>
  </w:style>
  <w:style w:type="character" w:customStyle="1" w:styleId="26">
    <w:name w:val="页脚 Char"/>
    <w:link w:val="2"/>
    <w:locked/>
    <w:uiPriority w:val="99"/>
    <w:rPr>
      <w:rFonts w:hint="default" w:ascii="Times New Roman" w:hAnsi="Times New Roman" w:cs="Times New Roman"/>
      <w:sz w:val="18"/>
      <w:szCs w:val="18"/>
    </w:rPr>
  </w:style>
  <w:style w:type="character" w:customStyle="1" w:styleId="27">
    <w:name w:val="$sfzbgqn"/>
    <w:basedOn w:val="8"/>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40</Pages>
  <Words>9583</Words>
  <Characters>54628</Characters>
  <Lines>455</Lines>
  <Paragraphs>128</Paragraphs>
  <TotalTime>0</TotalTime>
  <ScaleCrop>false</ScaleCrop>
  <LinksUpToDate>false</LinksUpToDate>
  <CharactersWithSpaces>64083</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2019-03-22T10:59:00Z</dcterms:created>
  <dc:creator>石怡翔</dc:creator>
  <cp:lastModifiedBy>Administrator</cp:lastModifiedBy>
  <dcterms:modified xsi:type="dcterms:W3CDTF">2019-12-26T14:10:48Z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