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创金合信春来回报一年期定期开放混合型发起式证券投资基金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278"/>
      <w:r>
        <w:rPr>
          <w:rFonts w:hint="eastAsia" w:hAnsi="Calibri"/>
          <w:b/>
          <w:color w:val="000000"/>
        </w:rPr>
        <w:t>§1  重要提示及目录</w:t>
      </w:r>
      <w:bookmarkEnd w:id="0"/>
      <w:r>
        <w:rPr>
          <w:rFonts w:hint="eastAsia"/>
        </w:rPr>
        <w:t xml:space="preserve"> </w:t>
      </w:r>
    </w:p>
    <w:p>
      <w:pPr>
        <w:pStyle w:val="14"/>
        <w:rPr>
          <w:rFonts w:hint="eastAsia"/>
        </w:rPr>
      </w:pPr>
      <w:bookmarkStart w:id="1" w:name="_Toc417327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本报告期自2018年06月07日起至2018年12月31日止。</w:t>
            </w:r>
          </w:p>
        </w:tc>
      </w:tr>
    </w:tbl>
    <w:p>
      <w:pPr>
        <w:pStyle w:val="14"/>
        <w:rPr>
          <w:rFonts w:hint="eastAsia"/>
        </w:rPr>
      </w:pPr>
      <w:r>
        <w:rPr>
          <w:rFonts w:ascii="Times New Roman" w:hAnsi="Times New Roman"/>
        </w:rPr>
        <w:br w:type="page"/>
      </w:r>
      <w:bookmarkStart w:id="2" w:name="_Toc4173280"/>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"_Toc4173278"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_Toc4173278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"_Toc4173279"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_Toc4173279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_Toc4173280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"_Toc4173281"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_Toc4173281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_Toc4173282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_Toc4173283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_Toc4173284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_Toc4173285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_Toc4173286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"_Toc4173287"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_Toc4173287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_Toc4173288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"_Toc4173289"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_Toc4173289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_Toc4173290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"_Toc4173291"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_Toc4173291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_Toc4173292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"_Toc4173293"</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_Toc4173293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"_Toc4173294"</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_Toc4173294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"_Toc4173295"</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_Toc4173295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"_Toc4173296"</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_Toc4173296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"_Toc4173297"</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_Toc4173297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"_Toc4173298"</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_Toc4173298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"_Toc4173299"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_Toc4173299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_Toc4173300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_Toc4173301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_Toc4173302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_Toc4173303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_Toc4173304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_Toc4173305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_Toc4173306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_Toc4173307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"_Toc4173308"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_Toc4173308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"_Toc4173309"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_Toc4173309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_Toc4173310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_Toc4173311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_Toc4173312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"_Toc4173313"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_Toc4173313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_Toc4173314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_Toc4173315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_Toc4173316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_Toc4173317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_Toc4173318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"_Toc4173319"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_Toc4173319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_Toc4173320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_Toc4173321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_Toc4173322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_Toc4173323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_Toc4173324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_Toc4173325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"_Toc4173326"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_Toc4173326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_Toc4173327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"_Toc4173328"</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_Toc4173328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"_Toc4173329"</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_Toc4173329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"_Toc4173330"</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_Toc4173330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"_Toc4173331"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_Toc4173331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"_Toc4173332"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_Toc4173332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_Toc4173333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_Toc4173334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_Toc4173335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_Toc4173336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_Toc4173337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_Toc4173338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"_Toc4173339"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_Toc4173339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_Toc4173340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"_Toc4173341"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_Toc4173341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_Toc4173342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_Toc4173343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"_Toc4173344"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_Toc4173344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_Toc4173345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_Toc4173346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_Toc4173347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28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28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创金合信春来回报一年期定期开放混合型发起式证券投资基金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174,850,941.34份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005800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174,798,930.37份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52,010.97份</w:t>
            </w:r>
          </w:p>
        </w:tc>
      </w:tr>
    </w:tbl>
    <w:p>
      <w:pPr>
        <w:widowControl/>
        <w:jc w:val="left"/>
        <w:rPr>
          <w:rFonts w:hint="eastAsia" w:ascii="宋体" w:hAnsi="宋体" w:cs="宋体"/>
          <w:kern w:val="0"/>
          <w:sz w:val="24"/>
          <w:szCs w:val="24"/>
        </w:rPr>
      </w:pPr>
    </w:p>
    <w:p>
      <w:pPr>
        <w:pStyle w:val="14"/>
        <w:rPr>
          <w:rFonts w:hint="eastAsia"/>
        </w:rPr>
      </w:pPr>
      <w:bookmarkStart w:id="5" w:name="_Toc417328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本基金采用动态资产配置策略，在严格控制风险的基础上，力争实现基金资产的长期稳健增值。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封闭期内采用动态资产配置策略，在相对风险较低的稳固收益资产和相对风险较高的风险资产之间进行动态配置。其中，稳固收益资产包括国债、央行票据和政策性金融债、企业债、短期融资券、中期票据、资产支持证券、债券回购、货币市场工具和银行存款等固定收益资产；风险资产包括股票、可转换债券、可交换债券，以及国债期货、权证、股指期货、股票期权等金融衍生品。基金管理人可根据市场变化情况，就稳固收益资产和风险资产的定义进行更新，并在招募说明书更新中公告。</w:t>
            </w:r>
          </w:p>
          <w:p>
            <w:pPr>
              <w:pStyle w:val="20"/>
              <w:wordWrap w:val="0"/>
              <w:spacing w:before="0"/>
              <w:ind w:left="0" w:firstLine="480"/>
              <w:rPr>
                <w:rFonts w:hint="eastAsia"/>
              </w:rPr>
            </w:pPr>
            <w:r>
              <w:rPr>
                <w:rFonts w:hint="eastAsia"/>
              </w:rPr>
              <w:t>开放期内，基金规模将随着投资人对本基金份额的申购与赎回而不断变化。因此本基金在开放期将保持资产适当的流动性，以应付当时市场条件下的赎回要求。为保持基金的资产流动性，本基金可适当投资于货币市场工具。具体而言，本基金将根据基金资产组合中的现金存量水平，在确定总体流动性要求的基础上，综合考虑宏观经济形势、市场资金面走向、交易对手的信用资质以及各类资产收益率水平等，确定各类货币市场工具的配置比例，并定期对组合的平均剩余期限及投资品种比例进行适当调整，在保证基金资产安全性和流动性的基础上力争创造稳定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沪深300指数收益率×20%+中证短债指数收益率×80%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本基金为混合型基金，长期来看，其预期收益和预期风险水平高于货币市场基金、债券型基金，低于股票型基金。</w:t>
            </w:r>
          </w:p>
        </w:tc>
      </w:tr>
    </w:tbl>
    <w:p>
      <w:pPr>
        <w:widowControl/>
        <w:jc w:val="left"/>
        <w:rPr>
          <w:rFonts w:hint="eastAsia" w:ascii="宋体" w:hAnsi="宋体" w:cs="宋体"/>
          <w:kern w:val="0"/>
          <w:sz w:val="24"/>
          <w:szCs w:val="24"/>
        </w:rPr>
      </w:pPr>
    </w:p>
    <w:p>
      <w:pPr>
        <w:pStyle w:val="14"/>
        <w:rPr>
          <w:rFonts w:hint="eastAsia"/>
        </w:rPr>
      </w:pPr>
      <w:bookmarkStart w:id="6" w:name="_Toc417328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28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注：本基金自2019年1月19日起信息披露报纸由《上海证券报》、《中国证券报》变更为《中国证券报》。</w:t>
      </w:r>
    </w:p>
    <w:p>
      <w:pPr>
        <w:widowControl/>
        <w:jc w:val="left"/>
        <w:rPr>
          <w:rFonts w:hint="eastAsia" w:ascii="宋体" w:hAnsi="宋体" w:cs="宋体"/>
          <w:kern w:val="0"/>
          <w:sz w:val="24"/>
          <w:szCs w:val="24"/>
        </w:rPr>
      </w:pPr>
    </w:p>
    <w:p>
      <w:pPr>
        <w:pStyle w:val="14"/>
        <w:rPr>
          <w:rFonts w:hint="eastAsia"/>
        </w:rPr>
      </w:pPr>
      <w:bookmarkStart w:id="8" w:name="_Toc417328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28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28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81"/>
        <w:gridCol w:w="3182"/>
        <w:gridCol w:w="318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-2,259,723.02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-2,259,723.02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172,820,750.88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28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创金合信春来回报一年定开混合A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pStyle w:val="17"/>
        <w:rPr>
          <w:rFonts w:hint="eastAsia"/>
        </w:rPr>
      </w:pPr>
      <w:r>
        <w:rPr>
          <w:rFonts w:hint="eastAsia" w:hAnsi="Calibri"/>
          <w:color w:val="000000"/>
        </w:rPr>
        <w:t>创金合信春来回报一年定开混合C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99_FB010010_20190002_2.jpg" type="#_x0000_t75" style="height:286.5pt;width:441pt;" filled="f" stroked="f" coordsize="21600,21600">
            <v:path/>
            <v:fill on="f" focussize="0,0"/>
            <v:stroke on="f"/>
            <v:imagedata r:id="rId7" grayscale="f" bilevel="f" o:title="CN_50990000_00579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99_FB010010_20190002_3.jpg" type="#_x0000_t75" style="height:286.5pt;width:441pt;" filled="f" stroked="f" coordsize="21600,21600">
            <v:path/>
            <v:fill on="f" focussize="0,0"/>
            <v:stroke on="f"/>
            <v:imagedata r:id="rId8" grayscale="f" bilevel="f" o:title="CN_50990000_005799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注：1、本基金的基金合同于2018年6月7日生效,截至报告期末,本基金成立不满一年。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99_FB010010_20190002_6.jpg" type="#_x0000_t75" style="height:286.5pt;width:441pt;" filled="f" stroked="f" coordsize="21600,21600">
            <v:path/>
            <v:fill on="f" focussize="0,0"/>
            <v:stroke on="f"/>
            <v:imagedata r:id="rId9" grayscale="f" bilevel="f" o:title="CN_50990000_00579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99_FB010010_20190002_7.jpg" type="#_x0000_t75" style="height:286.5pt;width:441pt;" filled="f" stroked="f" coordsize="21600,21600">
            <v:path/>
            <v:fill on="f" focussize="0,0"/>
            <v:stroke on="f"/>
            <v:imagedata r:id="rId10" grayscale="f" bilevel="f" o:title="CN_50990000_00579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290"/>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本基金自基金合同生效日（2018年6月7日）至本报告期末未发生利润分配。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29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29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2018年6月至2018年7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293"/>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294"/>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47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295"/>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回顾2018年，本基金对稳固收益资产和风险资产采用动态配置策略，在严格控制风险的基础上，力争实现基金资产的长期稳健增值。其中风险资产的投资策略主要为量化选股策略，同时严格进行风险管理。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春来回报一年定开混合A基金份额净值为0.9887元，本报告期内，该类基金份额净值增长率为-1.13%，同期业绩比较基准收益率为-2.79%；截至报告期末创金合信春来回报一年定开混合C基金份额净值为0.9848元，本报告期内，该类基金份额净值增长率为-1.52%，同期业绩比较基准收益率为-2.79%。</w:t>
      </w:r>
    </w:p>
    <w:p>
      <w:pPr>
        <w:widowControl/>
        <w:jc w:val="left"/>
        <w:rPr>
          <w:rFonts w:hint="eastAsia" w:ascii="宋体" w:hAnsi="宋体" w:cs="宋体"/>
          <w:kern w:val="0"/>
          <w:sz w:val="24"/>
          <w:szCs w:val="24"/>
        </w:rPr>
      </w:pPr>
    </w:p>
    <w:p>
      <w:pPr>
        <w:pStyle w:val="14"/>
        <w:rPr>
          <w:rFonts w:hint="eastAsia"/>
        </w:rPr>
      </w:pPr>
      <w:bookmarkStart w:id="18" w:name="_Toc4173296"/>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3297"/>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298"/>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299"/>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300"/>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30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302"/>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303"/>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304"/>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30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30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普华永道中天审字(2019)第24793号</w:t>
            </w:r>
          </w:p>
        </w:tc>
      </w:tr>
    </w:tbl>
    <w:p>
      <w:pPr>
        <w:widowControl/>
        <w:jc w:val="left"/>
        <w:rPr>
          <w:rFonts w:hint="eastAsia" w:ascii="宋体" w:hAnsi="宋体" w:cs="宋体"/>
          <w:kern w:val="0"/>
          <w:sz w:val="24"/>
          <w:szCs w:val="24"/>
        </w:rPr>
      </w:pPr>
    </w:p>
    <w:p>
      <w:pPr>
        <w:pStyle w:val="14"/>
        <w:rPr>
          <w:rFonts w:hint="eastAsia"/>
        </w:rPr>
      </w:pPr>
      <w:bookmarkStart w:id="29" w:name="_Toc417330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创金合信春来回报一年期定期开放混合型发起式证券投资基金全体基金份额持有人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我们审计了创金合信春来回报一年期定期开放混合型发起式证券投资基金(以下简称“ 创金合信春来回报一年定开混合基金 ”)的财务报表，包括2018年12月31日的资产负债表，2018年6月7日(基金合同生效日)至2018年12月31日止期间的利润表和所有者权益(基金净值)变动表以及财务报表附注。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春来回报一年定开混合基金2018年12月31日的财务状况以及2018年6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按照中国注册会计师职业道德守则，我们独立于创金合信春来回报一年定开混合基金，并履行了职业道德方面的其他责任。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春来回报一年定开混合基金的持续经营能力，披露与持续经营相关的事项(如适用)，并运用持续经营假设，除非基金管理人管理层计划清算创金合信春来回报一年定开混合基金、终止运营或别无其他现实的选择。 基金管理人治理层负责监督创金合信春来回报一年定开混合基金的财务报告过程。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春来回报一年定开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春来回报一年定开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30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309"/>
      <w:r>
        <w:rPr>
          <w:rFonts w:hint="eastAsia"/>
          <w:b/>
          <w:bCs/>
        </w:rPr>
        <w:t>7.1 资产负债表</w:t>
      </w:r>
      <w:bookmarkEnd w:id="31"/>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607,970.21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19,684.21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211,588,009.00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57,096.78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66,639,700.04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88,517.40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29,505.82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80,341.11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136,841.32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67,151,867.15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172,871,969.63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r>
    </w:tbl>
    <w:p>
      <w:pPr>
        <w:pStyle w:val="20"/>
        <w:rPr>
          <w:rFonts w:hint="eastAsia"/>
        </w:rPr>
      </w:pPr>
      <w:r>
        <w:rPr>
          <w:rFonts w:hint="eastAsia"/>
        </w:rPr>
        <w:t>注：1.报告截止日2018年12月31日，基金份额总额174,850,941.34份，其中下属A类基金份额174,798,930.37份，C类基金份额52,010.97份。下属A类基金份额净值0.9887元，C类基金份额净值0.9848元。</w:t>
      </w:r>
      <w:r>
        <w:rPr>
          <w:rFonts w:hint="eastAsia"/>
        </w:rPr>
        <w:br w:type="textWrapping"/>
      </w:r>
      <w:r>
        <w:rPr>
          <w:rFonts w:hint="eastAsia"/>
        </w:rPr>
        <w:t>2.本财务报表的实际报告期间为2018年6月7日(基金合同生效日)至2018年12月31日。截至报告期末本基金合同生效未满1年，本报告期的财务报表及报表附注均无同期对比数据。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310"/>
      <w:r>
        <w:rPr>
          <w:rFonts w:hint="eastAsia"/>
          <w:b/>
          <w:bCs/>
        </w:rPr>
        <w:t>7.2 利润表</w:t>
      </w:r>
      <w:bookmarkEnd w:id="32"/>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本报告期：2018年06月07日（基金合同生效日）至2018年12月31日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362,530.96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4,339,956.37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43,588.26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3,385,913.06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545,966.28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364,488.77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-4,259,052.33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-4,967,802.63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2,341,502.67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591,863.73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197,287.87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507,479.56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186,305.31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bl>
    <w:p>
      <w:pPr>
        <w:pStyle w:val="20"/>
        <w:rPr>
          <w:rFonts w:hint="eastAsia"/>
        </w:rPr>
      </w:pPr>
      <w:r>
        <w:rPr>
          <w:rFonts w:hint="eastAsia"/>
        </w:rPr>
        <w:t>注：本财务报表的实际报告期间为2018年6月7日(基金合同生效日)至2018年12月31日。截至报告期末本基金合同生效未满1年，本报告期的财务报表及报表附注均无同期对比数据。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311"/>
      <w:r>
        <w:rPr>
          <w:rFonts w:hint="eastAsia"/>
          <w:b/>
          <w:bCs/>
        </w:rPr>
        <w:t>7.3 所有者权益（基金净值）变动表</w:t>
      </w:r>
      <w:bookmarkEnd w:id="33"/>
    </w:p>
    <w:p>
      <w:pPr>
        <w:pStyle w:val="17"/>
        <w:rPr>
          <w:rFonts w:hint="eastAsia"/>
        </w:rPr>
      </w:pPr>
      <w:r>
        <w:rPr>
          <w:rFonts w:hint="eastAsia"/>
        </w:rPr>
        <w:t>会计主体：创金合信春来回报一年期定期开放混合型发起式证券投资基金</w:t>
      </w:r>
    </w:p>
    <w:p>
      <w:pPr>
        <w:pStyle w:val="17"/>
        <w:rPr>
          <w:rFonts w:hint="eastAsia"/>
        </w:rPr>
      </w:pPr>
      <w:r>
        <w:rPr>
          <w:rFonts w:hint="eastAsia"/>
        </w:rPr>
        <w:t>本报告期：2018年06月07日（基金合同生效日）至2018年12月31日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174,850,941.34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-1,978,971.71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172,871,969.63</w:t>
            </w:r>
          </w:p>
        </w:tc>
      </w:tr>
    </w:tbl>
    <w:p>
      <w:pPr>
        <w:pStyle w:val="20"/>
        <w:rPr>
          <w:rFonts w:hint="eastAsia"/>
        </w:rPr>
      </w:pPr>
      <w:r>
        <w:rPr>
          <w:rFonts w:hint="eastAsia"/>
        </w:rPr>
        <w:t>注：本财务报表的实际报告期间为2018年6月7日(基金合同生效日)至2018年12月31日。截至报告期末本基金合同生效未满1年，本报告期的财务报表及报表附注均无同期对比数据。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312"/>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春来回报一年期定期开放混合型发起式证券投资基金(以下简称"本基金")经中国证券监督管理委员会(以下简称"中国证监会")证监许可[2018]428号《关于准予创金合信春来回报一年期定期开放混合型发起式证券投资基金注册的批复》核准，由创金合信基金管理有限公司依照《中华人民共和国证券投资基金法》和《创金合信春来回报一年期定期开放混合型发起式证券投资基金基金合同》负责公开募集。本基金为契约型定期开放式，存续期限不定，首次设立募集不包括认购资金利息共募集人民币174,811,575.79元，业经普华永道中天会计师事务所(特殊普通合伙)普华永道中天验字(2018)第0226号验资报告予以验证。经向中国证监会备案，《创金合信春来回报一年期定期开放混合型发起式证券投资基金基金合同》于2018年6月7日正式生效，基金合同生效日的基金份额总额为174,850,941.34份基金份额，其中认购资金利息折合39,365.55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本基金为发起式基金，发起资金认购部分为10,001,400.07份基金份额，发起资金认购方承诺使用发起资金认购的基金份额持有期限不少于3年。</w:t>
      </w:r>
    </w:p>
    <w:p>
      <w:pPr>
        <w:pStyle w:val="20"/>
        <w:spacing w:before="0"/>
        <w:ind w:left="0" w:firstLine="480"/>
        <w:rPr>
          <w:rFonts w:hint="eastAsia"/>
        </w:rPr>
      </w:pPr>
      <w:r>
        <w:rPr>
          <w:rFonts w:hint="eastAsia"/>
        </w:rPr>
        <w:t>根据《创金合信春来回报一年期定期开放混合型发起式证券投资基金基金合同》的相关规定，本基金以定期开放的方式运作，即采用封闭运作和开放运作交替循环的方式。自基金合同生效日起(包括基金合同生效日)或者每一个开放期结束之日次日起(包括该日)12个月的期间内，本基金采取封闭运作模式，基金份额持有人不得申请申购、赎回本基金。本基金的第一个封闭期为自基金合同生效之日起至12个月后的对应日前一日的期间。下一个封闭期为首个开放期结束之日次日起至12个月后的对应日前一日的期间，以此类推。本基金封闭期内不办理申购与赎回业务，也不上市交易。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春来回报一年期定期开放混合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春来回报一年期定期开放混合型发起式证券投资基金基金合同》的有关规定，本基金的投资范围包括国内依法发行上市的股票(包括创业板、中小板以及其他经中国证监会允许基金投资的股票)、债券(包括国债、央行票据、地方政府债、金融债、企业债、公司债、公开发行的次级债、中期票据、短期融资券、超短期融资券、可转换债券、可交换债券等)、资产支持证券、债券回购、货币市场工具、金融衍生品(包括权证、股指期货、国债期货、股票期权等)及法律法规或中国证监会允许基金投资的其他金融工具(但须符合中国证监会相关规定)。如法律法规或监管机构以后允许基金投资其他品种，基金管理人在履行适当程序后，可以将其纳入投资范围。基金的投资组合比例为：本基金投资于股票资产比例为基金资产的0%-30%。开放期内每个交易日日终在扣除股指期货、国债期货、股票期权合约需缴纳的交易保证金后，现金或者到期日在一年以内的政府债券不低于基金资产净值的5%，在封闭期内，本基金不受上述5%的限制，但每个交易日日终在扣除股指期货、国债期货、股票期权合约需缴纳的交易保证金后，应当保持不低于交易保证金一倍的现金。本基金的业绩比较基准为：沪深300指数收益率×20%+中证短债指数收益率×80%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春来回报一年期定期开放混合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7日(基金合同生效日)至2018年12月31日止期间的财务报表符合企业会计准则的要求，真实、完整地反映了本基金2018年12月31日的财务状况以及2018年6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本基金收益分配方式分两种：现金分红与红利再投资，投资者可选择现金红利或将现金红利自动转为该类别基金份额进行再投资；若投资者不选择，本基金默认的收益分配方式是现金分红；(2)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267,827.08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-12,918.08</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18,999,451.50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19,027,600.00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28,148.50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159,639,103.50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159,905,500.00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266,396.50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178,638,555.00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294,545.00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211,306,382.08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211,588,009.00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594.29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3,454,400.34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562,346.29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24,550.40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80,341.11</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创金合信春来回报一年定开混合A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174,798,930.37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创金合信春来回报一年定开混合C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5月18日至2018年6月1日止期间公开发售，共募集有效净认购资金人民币174,811,575.79元。其中A类基金募集有效净认购资金为174,759,565.79元，C类基金募集有效净认购资金为52,010.00元。根据《创金合信春来回报一年期定期开放混合型发起式证券投资基金基金合同》的规定，本基金设立募集期内认购资金产生的利息收入39,365.55元在本基金成立后，折算为39,365.55份基金份额(其中A类基金募集期内认购资金产生的利息收入为39,364.58元，折算为39,364.58份基金份额；C类基金募集期内认购资金产生的利息收入为0.97元，折算为0.97份基金份额)，划入基金份额持有人账户。</w:t>
      </w:r>
      <w:r>
        <w:rPr>
          <w:rFonts w:hint="eastAsia"/>
        </w:rPr>
        <w:br w:type="textWrapping"/>
      </w:r>
      <w:r>
        <w:rPr>
          <w:rFonts w:hint="eastAsia"/>
        </w:rPr>
        <w:t>3.根据《创金合信春来回报一年期定期开放混合型发起式证券投资基金招募说明书》的相关规定，本基金于2018年6月7日(基金合同生效日)至2019年6月6日止期间暂不向投资人开放基金交易。</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创金合信春来回报一年定开混合A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-2,259,723.02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281,543.53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-1,978,179.49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-2,259,723.02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281,543.53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-1,978,179.49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创金合信春来回报一年定开混合C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(创金合信春来回报一年定开混合C)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-792.22</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34,147.87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9,339.61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43,588.26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265,599,110.92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270,566,913.55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-4,967,802.63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87,513,715.95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86,513,340.00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466,470.00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242,280.30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294,545.00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281,626.92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504,467.06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507,479.56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186,305.31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8"/>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2018年06月07日至2018年12月31日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45,537,183.23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2018年06月07日至2018年12月31日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591,863.73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390,589.60</w:t>
            </w:r>
          </w:p>
        </w:tc>
      </w:tr>
    </w:tbl>
    <w:p>
      <w:pPr>
        <w:pStyle w:val="20"/>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197,287.87</w:t>
            </w:r>
          </w:p>
        </w:tc>
      </w:tr>
    </w:tbl>
    <w:p>
      <w:pPr>
        <w:pStyle w:val="20"/>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w:t>
      </w:r>
      <w:r>
        <w:rPr>
          <w:rFonts w:hint="eastAsia"/>
        </w:rPr>
        <w:br w:type="textWrapping"/>
      </w:r>
      <w:r>
        <w:rPr>
          <w:rFonts w:hint="eastAsia"/>
        </w:rPr>
        <w:t>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392"/>
        <w:gridCol w:w="3392"/>
        <w:gridCol w:w="90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204.94</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创金合信春来回报一年定开混合A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基金合同生效日（2018年06月07日）持有的基金份额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10,001,400.07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10,001,400.07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5.72%</w:t>
            </w:r>
          </w:p>
        </w:tc>
      </w:tr>
    </w:tbl>
    <w:p>
      <w:pPr>
        <w:pStyle w:val="17"/>
        <w:rPr>
          <w:rFonts w:hint="eastAsia"/>
        </w:rPr>
      </w:pPr>
      <w:r>
        <w:rPr>
          <w:rFonts w:hint="eastAsia" w:hAnsi="Calibri"/>
          <w:color w:val="000000"/>
        </w:rPr>
        <w:t>创金合信春来回报一年定开混合C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基金合同生效日（2018年06月07日）持有的基金份额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3,708,724.51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34,147.87</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13,500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228,632.82</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216,135.00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16,355.15</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16,032.00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000987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越秀金控</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14,284.00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14,346.00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8,555.11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8,396.00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截至本报告期末2018年12月31日止,本基金从事银行间市场债券正回购交易形成的卖出回购证券款余额66,639,700.04元,是以如下债券作为抵押: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18北京银行CD171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111897670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18南京银行CD076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111809224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18浦发银行CD224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111883113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18宁波银行CD154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18平安银行CD206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111897793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18杭州银行CD036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111818217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18华夏银行CD217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18光大银行CD176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9,660,000.00</w:t>
            </w:r>
          </w:p>
        </w:tc>
      </w:tr>
      <w:tr>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710,000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68,469,800.00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按短期信用评级列示的同业存单投资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19,027,600.00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7.4.13.2.4 按长期信用评级列示的资产支持证券投资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66,639,700.04元将在一个月以内到期且计息(该利息金额不重大)外，本基金所承担的其他金融负债的合约约定到期日均为一个月以内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18.89%。</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本报告期内本基金尚处于封闭期，封闭期内不办理申购与赎回业务，因此综合上述各项流动性指标的监测结果及流动性风险管理措施的实施，本基金在本报告期内流动性情况良好。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2139"/>
        <w:gridCol w:w="1514"/>
        <w:gridCol w:w="1514"/>
        <w:gridCol w:w="1875"/>
        <w:gridCol w:w="213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3,708,724.51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3,708,724.51</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607,970.21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607,970.21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19,684.21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19,684.21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211,333,100.00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211,588,009.00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20,000,150.00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20,000,150.00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57,096.78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57,096.78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4,042,202.07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4,042,202.07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235,669,628.93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4,354,207.85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240,023,836.78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88,517.40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29,505.82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80,341.11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80,341.11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5,930.87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136,841.32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136,841.32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66,639,700.04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512,167.11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67,151,867.15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169,029,928.89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3,842,040.74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172,871,969.63</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-202,103.71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202,620.94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254,909.00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254,909.00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于2018年12月31日，本基金持有的交易性权益类投资公允价值占基金资产净值的比例为0.15%，因此除市场利率和外汇汇率以外的市场价格因素的变动对于本基金资产净值无重大影响。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于2018年12月31日，本基金持有的以公允价值计量且其变动计入当期损益的金融资产中属于第二层次的余额为179,188,009.00元，属于第三层次的余额为32,400,000.00元，无属于第一层次的余额。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本期增加的属于第三层次的交易性金融资产的金额为32,400,000.00元，截止2018年12月31日属于第三层次的交易性金融资产余额为32,400,000.00元。</w:t>
      </w:r>
    </w:p>
    <w:p>
      <w:pPr>
        <w:pStyle w:val="20"/>
        <w:spacing w:before="0"/>
        <w:ind w:left="0" w:firstLine="480"/>
        <w:rPr>
          <w:rFonts w:hint="eastAsia"/>
        </w:rPr>
      </w:pPr>
      <w:r>
        <w:rPr>
          <w:rFonts w:hint="eastAsia"/>
        </w:rPr>
        <w:t>第三层次资产为在交易所挂牌转让的资产支持证券。根据中国证券投资基金业协会发布的《关于发布&lt;中国证券投资基金业协会估值核算工作小组关于2015年1季度固定收益品种的估值处理标准&gt;的通知》，本基金管理人认为上述资产支持证券的成本能够近似体现公允价值，因此上述资产支持证券公允价值根据成本确定。</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31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31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4,316,694.72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4,118,983.06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240,023,836.78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315"/>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230,481.00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4"/>
        <w:rPr>
          <w:rFonts w:hint="eastAsia"/>
        </w:rPr>
      </w:pPr>
      <w:bookmarkStart w:id="38" w:name="_Toc417331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173317"/>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1,941,577.17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1,449,095.40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1,262,731.00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2,098,222.89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270,834,740.63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265,599,110.92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31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9,039,600.00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9,988,000.00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20,061,000.00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139,844,500.00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178,933,100.00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103.51</w:t>
            </w:r>
          </w:p>
        </w:tc>
      </w:tr>
    </w:tbl>
    <w:p>
      <w:pPr>
        <w:widowControl/>
        <w:jc w:val="left"/>
        <w:rPr>
          <w:rFonts w:hint="eastAsia" w:ascii="宋体" w:hAnsi="宋体" w:cs="宋体"/>
          <w:kern w:val="0"/>
          <w:sz w:val="24"/>
          <w:szCs w:val="24"/>
        </w:rPr>
      </w:pPr>
    </w:p>
    <w:p>
      <w:pPr>
        <w:pStyle w:val="14"/>
        <w:rPr>
          <w:rFonts w:hint="eastAsia"/>
        </w:rPr>
      </w:pPr>
      <w:bookmarkStart w:id="41" w:name="_Toc417331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111810354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18兴业银行CD354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14,479,500.00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18中建材SCP013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011801438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18徐工SCP005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16上药01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111821228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18渤海银行CD228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bl>
    <w:p>
      <w:pPr>
        <w:widowControl/>
        <w:jc w:val="left"/>
        <w:rPr>
          <w:rFonts w:hint="eastAsia" w:ascii="宋体" w:hAnsi="宋体" w:cs="宋体"/>
          <w:kern w:val="0"/>
          <w:sz w:val="24"/>
          <w:szCs w:val="24"/>
        </w:rPr>
      </w:pPr>
    </w:p>
    <w:p>
      <w:pPr>
        <w:pStyle w:val="14"/>
        <w:rPr>
          <w:rFonts w:hint="eastAsia"/>
        </w:rPr>
      </w:pPr>
      <w:bookmarkStart w:id="42" w:name="_Toc4173320"/>
      <w:r>
        <w:rPr>
          <w:rFonts w:hint="eastAsia"/>
          <w:b/>
          <w:bCs/>
        </w:rPr>
        <w:t>8.7 期末按公允价值占基金资产净值比例大小排序的所有资产支持证券投资明细</w:t>
      </w:r>
      <w:bookmarkEnd w:id="42"/>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87"/>
        <w:gridCol w:w="1525"/>
        <w:gridCol w:w="1525"/>
        <w:gridCol w:w="1720"/>
        <w:gridCol w:w="1969"/>
        <w:gridCol w:w="16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数量（份）</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18花呗5A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链融1A2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金地02A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bl>
    <w:p>
      <w:pPr>
        <w:widowControl/>
        <w:jc w:val="left"/>
        <w:rPr>
          <w:rFonts w:hint="eastAsia" w:ascii="宋体" w:hAnsi="宋体" w:cs="宋体"/>
          <w:kern w:val="0"/>
          <w:sz w:val="24"/>
          <w:szCs w:val="24"/>
        </w:rPr>
      </w:pPr>
    </w:p>
    <w:p>
      <w:pPr>
        <w:pStyle w:val="14"/>
        <w:rPr>
          <w:rFonts w:hint="eastAsia"/>
        </w:rPr>
      </w:pPr>
      <w:bookmarkStart w:id="43" w:name="_Toc417332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32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32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324"/>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325"/>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19,684.21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57,096.78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4,042,202.07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4,118,983.06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3"/>
        <w:rPr>
          <w:rFonts w:hint="eastAsia"/>
        </w:rPr>
      </w:pPr>
      <w:bookmarkStart w:id="48" w:name="_Toc417332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32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164,797,530.30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181,380.64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164,849,541.27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94.28%</w:t>
            </w:r>
          </w:p>
        </w:tc>
      </w:tr>
    </w:tbl>
    <w:p>
      <w:pPr>
        <w:widowControl/>
        <w:jc w:val="left"/>
        <w:rPr>
          <w:rFonts w:hint="eastAsia" w:ascii="宋体" w:hAnsi="宋体" w:cs="宋体"/>
          <w:kern w:val="0"/>
          <w:sz w:val="24"/>
          <w:szCs w:val="24"/>
        </w:rPr>
      </w:pPr>
    </w:p>
    <w:p>
      <w:pPr>
        <w:pStyle w:val="14"/>
        <w:rPr>
          <w:rFonts w:hint="eastAsia"/>
        </w:rPr>
      </w:pPr>
      <w:bookmarkStart w:id="50" w:name="_Toc4173328"/>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2574"/>
        <w:gridCol w:w="1833"/>
        <w:gridCol w:w="183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3329"/>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创金合信春来回报一年定开混合C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330"/>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331"/>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创金合信春来回报一年定开混合A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创金合信春来回报一年定开混合C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174,798,930.37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52,010.97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174,798,930.37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52,010.97</w:t>
            </w:r>
          </w:p>
        </w:tc>
      </w:tr>
    </w:tbl>
    <w:p>
      <w:pPr>
        <w:widowControl/>
        <w:jc w:val="left"/>
        <w:rPr>
          <w:rFonts w:hint="eastAsia" w:ascii="宋体" w:hAnsi="宋体" w:cs="宋体"/>
          <w:kern w:val="0"/>
          <w:sz w:val="24"/>
          <w:szCs w:val="24"/>
        </w:rPr>
      </w:pPr>
    </w:p>
    <w:p>
      <w:pPr>
        <w:pStyle w:val="13"/>
        <w:rPr>
          <w:rFonts w:hint="eastAsia"/>
        </w:rPr>
      </w:pPr>
      <w:bookmarkStart w:id="54" w:name="_Toc4173332"/>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333"/>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334"/>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335"/>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336"/>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337"/>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338"/>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339"/>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164,120,601.05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53,063.09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229,830,141.42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74,143.34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96,787,363.71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45,537,183.23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32,843.95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112,800,000.00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9,989,571.50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9,009,880.00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712,300,000.00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340"/>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创金合信基金管理有限公司关于创金合信春来回报一年期定期开放混合型发起式证券投资基金提前结束募集的公告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创金合信春来回报一年期定期开放混合型发起式证券投资基金2018年第3季度报告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3"/>
        <w:rPr>
          <w:rFonts w:hint="eastAsia"/>
        </w:rPr>
      </w:pPr>
      <w:bookmarkStart w:id="63" w:name="_Toc4173341"/>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342"/>
      <w:r>
        <w:rPr>
          <w:rFonts w:hint="eastAsia"/>
          <w:b/>
          <w:bCs/>
        </w:rPr>
        <w:t>12.1 报告期内单一投资者持有基金份额比例达到或超过20%的情况</w:t>
      </w:r>
      <w:bookmarkEnd w:id="64"/>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5" w:name="_Toc4173343"/>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344"/>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345"/>
      <w:r>
        <w:rPr>
          <w:rFonts w:hint="eastAsia"/>
          <w:b/>
          <w:bCs/>
        </w:rPr>
        <w:t>13.1 备查文件目录</w:t>
      </w:r>
      <w:bookmarkEnd w:id="67"/>
    </w:p>
    <w:p>
      <w:pPr>
        <w:pStyle w:val="20"/>
        <w:spacing w:before="0"/>
        <w:ind w:left="0" w:firstLine="480"/>
        <w:rPr>
          <w:rFonts w:hint="eastAsia"/>
        </w:rPr>
      </w:pPr>
      <w:r>
        <w:rPr>
          <w:rFonts w:hint="eastAsia"/>
        </w:rPr>
        <w:t>1、《创金合信春来回报一年期定期开放混合型发起式证券投资基金基金合同》；</w:t>
      </w:r>
    </w:p>
    <w:p>
      <w:pPr>
        <w:pStyle w:val="20"/>
        <w:spacing w:before="0"/>
        <w:ind w:left="0" w:firstLine="480"/>
        <w:rPr>
          <w:rFonts w:hint="eastAsia"/>
        </w:rPr>
      </w:pPr>
      <w:r>
        <w:rPr>
          <w:rFonts w:hint="eastAsia"/>
        </w:rPr>
        <w:t>2、《创金合信春来回报一年期定期开放混合型发起式证券投资基金托管协议》；</w:t>
      </w:r>
    </w:p>
    <w:p>
      <w:pPr>
        <w:pStyle w:val="20"/>
        <w:spacing w:before="0"/>
        <w:ind w:left="0" w:firstLine="480"/>
        <w:rPr>
          <w:rFonts w:hint="eastAsia"/>
        </w:rPr>
      </w:pPr>
      <w:r>
        <w:rPr>
          <w:rFonts w:hint="eastAsia"/>
        </w:rPr>
        <w:t>3、创金合信春来回报一年期定期开放混合型发起式证券投资基金2018年年度报告。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346"/>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347"/>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63</w:t>
    </w:r>
    <w:r>
      <w:rPr>
        <w:rStyle w:val="10"/>
      </w:rPr>
      <w:fldChar w:fldCharType="end"/>
    </w:r>
  </w:p>
  <w:p>
    <w:pPr>
      <w:pStyle w:val="2"/>
      <w:jc w:val="center"/>
    </w:pPr>
    <w:r>
      <w:rPr>
        <w:rFonts w:hint="eastAsia"/>
      </w:rPr>
      <w:t xml:space="preserve">                   第       页，共68页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创金合信春来回报一年期定期开放混合型发起式证券投资基金2018年年度报告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73F"/>
    <w:rsid w:val="002C0D36"/>
    <w:rsid w:val="003E025A"/>
    <w:rsid w:val="009D5099"/>
    <w:rsid w:val="009D573F"/>
    <w:rsid w:val="00A63357"/>
    <w:rsid w:val="00B47C1B"/>
    <w:rsid w:val="7AC92D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7208</Words>
  <Characters>41090</Characters>
  <Lines>342</Lines>
  <Paragraphs>96</Paragraphs>
  <TotalTime>0</TotalTime>
  <ScaleCrop>false</ScaleCrop>
  <LinksUpToDate>false</LinksUpToDate>
  <CharactersWithSpaces>48202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2019-03-22T10:54:00Z</dcterms:created>
  <dc:creator>石怡翔</dc:creator>
  <cp:lastModifiedBy>Administrator</cp:lastModifiedBy>
  <dcterms:modified xsi:type="dcterms:W3CDTF">2019-12-26T14:11:04Z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