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创金合信鑫收益灵活配置混合型证券投资基金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4043"/>
      <w:r>
        <w:rPr>
          <w:rFonts w:hint="eastAsia" w:hAnsi="Calibri"/>
          <w:b/>
          <w:color w:val="000000"/>
        </w:rPr>
        <w:t>§1  重要提示及目录</w:t>
      </w:r>
      <w:bookmarkEnd w:id="0"/>
      <w:r>
        <w:rPr>
          <w:rFonts w:hint="eastAsia"/>
        </w:rPr>
        <w:t xml:space="preserve"> </w:t>
      </w:r>
    </w:p>
    <w:p>
      <w:pPr>
        <w:pStyle w:val="14"/>
        <w:rPr>
          <w:rFonts w:hint="eastAsia"/>
        </w:rPr>
      </w:pPr>
      <w:bookmarkStart w:id="1" w:name="_Toc417404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4045"/>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"_Toc4174043"</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_Toc4174043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"_Toc4174044"</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_Toc4174044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"_Toc4174045"</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_Toc4174045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"_Toc4174046"</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_Toc4174046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"_Toc4174047"</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_Toc4174047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"_Toc4174048"</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_Toc4174048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"_Toc4174049"</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_Toc4174049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"_Toc4174050"</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_Toc4174050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"_Toc4174051"</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_Toc4174051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"_Toc4174052"</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_Toc4174052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"_Toc4174053"</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_Toc4174053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"_Toc4174054"</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_Toc4174054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"_Toc4174055"</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_Toc4174055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"_Toc4174056"</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_Toc4174056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"_Toc4174057"</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_Toc4174057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"_Toc4174058"</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_Toc4174058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"_Toc4174059"</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_Toc4174059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"_Toc4174060"</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_Toc4174060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"_Toc4174061"</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_Toc4174061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"_Toc4174062"</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_Toc4174062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"_Toc4174063"</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_Toc4174063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"_Toc4174064"</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_Toc4174064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"_Toc4174065"</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_Toc4174065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"_Toc4174066"</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_Toc4174066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"_Toc4174067"</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_Toc4174067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"_Toc4174068"</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_Toc4174068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"_Toc4174069"</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_Toc4174069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"_Toc4174070"</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_Toc4174070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"_Toc4174071"</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_Toc4174071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"_Toc4174072"</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_Toc4174072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"_Toc4174073"</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_Toc4174073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"_Toc4174074"</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_Toc4174074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"_Toc4174075"</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_Toc4174075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"_Toc4174076"</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_Toc4174076 \h </w:instrText>
      </w:r>
      <w:r>
        <w:rPr>
          <w:lang/>
        </w:rPr>
        <w:fldChar w:fldCharType="separate"/>
      </w:r>
      <w:r>
        <w:rPr>
          <w:lang/>
        </w:rPr>
        <w:t>24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"_Toc4174077"</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_Toc4174077 \h </w:instrText>
      </w:r>
      <w:r>
        <w:rPr>
          <w:lang/>
        </w:rPr>
        <w:fldChar w:fldCharType="separate"/>
      </w:r>
      <w:r>
        <w:rPr>
          <w:lang/>
        </w:rPr>
        <w:t>26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"_Toc4174078"</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_Toc4174078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"_Toc4174079"</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_Toc4174079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"_Toc4174080"</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_Toc4174080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"_Toc4174081"</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_Toc4174081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"_Toc4174082"</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_Toc4174082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"_Toc4174083"</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_Toc4174083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"_Toc4174084"</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_Toc4174084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"_Toc4174085"</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_Toc4174085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"_Toc4174086"</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_Toc4174086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"_Toc4174087"</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_Toc4174087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"_Toc4174088"</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_Toc4174088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"_Toc4174089"</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_Toc4174089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"_Toc4174090"</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_Toc4174090 \h </w:instrText>
      </w:r>
      <w:r>
        <w:rPr>
          <w:lang/>
        </w:rPr>
        <w:fldChar w:fldCharType="separate"/>
      </w:r>
      <w:r>
        <w:rPr>
          <w:lang/>
        </w:rPr>
        <w:t>55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"_Toc4174091"</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_Toc4174091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"_Toc4174092"</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_Toc4174092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"_Toc4174093"</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_Toc4174093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"_Toc4174094"</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_Toc4174094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"_Toc4174095"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_Toc4174095 \h </w:instrText>
      </w:r>
      <w:r>
        <w:rPr>
          <w:lang/>
        </w:rPr>
        <w:fldChar w:fldCharType="separate"/>
      </w:r>
      <w:r>
        <w:rPr>
          <w:lang/>
        </w:rPr>
        <w:t>57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"_Toc4174096"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_Toc4174096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_Toc4174097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_Toc4174098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"_Toc4174099"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_Toc4174099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_Toc4174100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_Toc4174101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_Toc4174102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_Toc4174103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_Toc4174104 \h </w:instrText>
      </w:r>
      <w:r>
        <w:rPr>
          <w:lang/>
        </w:rPr>
        <w:fldChar w:fldCharType="separate"/>
      </w:r>
      <w:r>
        <w:rPr>
          <w:lang/>
        </w:rPr>
        <w:t>60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"_Toc4174105"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_Toc4174105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_Toc4174106 \h </w:instrText>
      </w:r>
      <w:r>
        <w:rPr>
          <w:lang/>
        </w:rPr>
        <w:fldChar w:fldCharType="separate"/>
      </w:r>
      <w:r>
        <w:rPr>
          <w:lang/>
        </w:rPr>
        <w:t>62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_Toc4174107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"_Toc4174108"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_Toc4174108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"_Toc4174109"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_Toc4174109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_Toc4174110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_Toc4174111 \h </w:instrText>
      </w:r>
      <w:r>
        <w:rPr>
          <w:lang/>
        </w:rPr>
        <w:fldChar w:fldCharType="separate"/>
      </w:r>
      <w:r>
        <w:rPr>
          <w:lang/>
        </w:rPr>
        <w:t>63</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404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404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创金合信鑫收益灵活配置混合型证券投资基金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2016年12月19日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706,899.08份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003750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19,433.38份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687,465.70份</w:t>
            </w:r>
          </w:p>
        </w:tc>
      </w:tr>
    </w:tbl>
    <w:p>
      <w:pPr>
        <w:widowControl/>
        <w:jc w:val="left"/>
        <w:rPr>
          <w:rFonts w:hint="eastAsia" w:ascii="宋体" w:hAnsi="宋体" w:cs="宋体"/>
          <w:kern w:val="0"/>
          <w:sz w:val="24"/>
          <w:szCs w:val="24"/>
        </w:rPr>
      </w:pPr>
    </w:p>
    <w:p>
      <w:pPr>
        <w:pStyle w:val="14"/>
        <w:rPr>
          <w:rFonts w:hint="eastAsia"/>
        </w:rPr>
      </w:pPr>
      <w:bookmarkStart w:id="5" w:name="_Toc417404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在严格控制风险的前提下，追求基金资产的稳健增值。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沪深300指数收益率×30%＋一年期人民币定期存款利率（税后）×70%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本基金为混合型基金，理论上其预期风险与预期收益水平低于股票型基金，高于债券型基金和货币市场基金。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17404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405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4"/>
        <w:rPr>
          <w:rFonts w:hint="eastAsia"/>
        </w:rPr>
      </w:pPr>
      <w:bookmarkStart w:id="8" w:name="_Toc417405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405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405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571"/>
        <w:gridCol w:w="1120"/>
        <w:gridCol w:w="1120"/>
        <w:gridCol w:w="1120"/>
        <w:gridCol w:w="1120"/>
        <w:gridCol w:w="1497"/>
        <w:gridCol w:w="1497"/>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2016年12月19日（基金合同生效日）-2016年12月31日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创金合信鑫收益C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1,457,911.27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-430,463.86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23,078,280.71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483,734.56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212,120.73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24,215.74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7,354,752.53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16,797,425.71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675,634.46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-167,912.76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10,261,171.84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417,424.59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-2,961.80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20,133.47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820,415.81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293,386,584.58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2,285,022.23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190,086,321.30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23,054,535.51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174054"/>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创金合信鑫收益A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0.38%</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bl>
    <w:p>
      <w:pPr>
        <w:pStyle w:val="17"/>
        <w:rPr>
          <w:rFonts w:hint="eastAsia"/>
        </w:rPr>
      </w:pPr>
      <w:r>
        <w:rPr>
          <w:rFonts w:hint="eastAsia" w:hAnsi="Calibri"/>
          <w:color w:val="000000"/>
        </w:rPr>
        <w:t>创金合信鑫收益C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3749_FB010010_20190002_2.jpg" type="#_x0000_t75" style="height:286.5pt;width:441pt;" filled="f" stroked="f" coordsize="21600,21600">
            <v:path/>
            <v:fill on="f" focussize="0,0"/>
            <v:stroke on="f"/>
            <v:imagedata r:id="rId7" grayscale="f" bilevel="f" o:title="CN_50990000_003749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3749_FB010010_20190002_3.jpg" type="#_x0000_t75" style="height:286.5pt;width:441pt;" filled="f" stroked="f" coordsize="21600,21600">
            <v:path/>
            <v:fill on="f" focussize="0,0"/>
            <v:stroke on="f"/>
            <v:imagedata r:id="rId8" grayscale="f" bilevel="f" o:title="CN_50990000_003749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3749_FB010010_20190002_6.jpg" type="#_x0000_t75" style="height:286.5pt;width:441pt;" filled="f" stroked="f" coordsize="21600,21600">
            <v:path/>
            <v:fill on="f" focussize="0,0"/>
            <v:stroke on="f"/>
            <v:imagedata r:id="rId9" grayscale="f" bilevel="f" o:title="CN_50990000_003749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3749_FB010010_20190002_7.jpg" type="#_x0000_t75" style="height:286.5pt;width:441pt;" filled="f" stroked="f" coordsize="21600,21600">
            <v:path/>
            <v:fill on="f" focussize="0,0"/>
            <v:stroke on="f"/>
            <v:imagedata r:id="rId10" grayscale="f" bilevel="f" o:title="CN_50990000_003749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4055"/>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本基金自基金合同生效日(2016年12月19日)至本报告期末未发生利润分配。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405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4057"/>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荣先生，中国国籍，北京大学金融学硕士，2004年就职于深圳银监局从事银行监管工作，历任多家银行监管员。2010年加入第一创业证券资产管理部，历任金融行业研究主管、投资主办等职务。2014年8月加入创金合信基金管理有限公司担任高级研究员,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闫一帆先生，中国国籍，新加坡南洋理工大学金融学硕士。2008年7月就职于国泰君安证券股份有限公司。2011年5月加入永安财产保险股份有限公司投资管理中心任固定收益研究员，2012年10月加入第一创业证券股份有限公司资产管理部任固定收益研究员，负责债券类组合的债券信用研究、组合投资管理等工作。2014年8月加入创金合信基金管理有限公司，历任信用研究主管、投资经理，负责固定收益研究、债券组合管理等工作，现任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蒋小玲女士，中国国籍，2002年9月-2009年12月任职于武进农村商业银行，2010年1月-2015年8月任职于江苏江南农村商业银行股份有限公司，历任金融市场部同业经理、交易员、投资经理等职务。2015年8月加入创金合信基金管理有限公司，2018年4月至2018年12月担任本基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4058"/>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4059"/>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4060"/>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2017年全年，经济整体运行稳中向好，顺利实现全年GDP增速6.9%的增长目标。全年来看，基建投资和房地产投资保持平稳，民间投资和制造业投资经过前期连续下滑开始企稳；工业生产量稳价升带动企业盈利改善明显；消费总体保持稳定较快的增长，已成为经济增长的主要驱动力。伴随着经济的企稳向好，金融去杠杆仍在进行时。为了配合金融去杠杆的金融环境，2017年央行通过加大MLF操作力度、拉长期限、缩短放长的形式提高资金成本，货币政策全年保持稳健中性的基调，对于央行去杠杆和防范金融资产价格泡沫的决心，市场已形成了较为一致的预期。债券市场方面，在去杠杆的大背景下，债券全年继续震荡上行，十年国债收益债从年初的3.10%上行至年末的3.95%左右。去年市场有两次快速的调整，一次是3月底由于委外监管政策出台，引发机构赎回，触发了市场抛压；另一次是10月份开始机构对于四季度经济向下悲观预期的修正，引发市场收益剧烈的调整；叠加美国税改和加息周期，债券收益率快速上行。在操作方面，组合采用较为稳健的操作策略，以中高等级信用债作为主要配置标的并严格控制组合久期。四季度面临市场剧烈调整的压力，采取了稳健偏防守的策略，一定程度上控制了组合的回撤。</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鑫收益A基金份额净值为1.036元，本报告期内，该类基金份额净值增长率为0.00%，同期业绩比较基准收益率为-6.97%；截至报告期末创金合信鑫收益C基金份额净值为1.193元，本报告期内，该类基金份额净值增长率为-2.53%，同期业绩比较基准收益率为-6.97%。</w:t>
      </w:r>
    </w:p>
    <w:p>
      <w:pPr>
        <w:widowControl/>
        <w:jc w:val="left"/>
        <w:rPr>
          <w:rFonts w:hint="eastAsia" w:ascii="宋体" w:hAnsi="宋体" w:cs="宋体"/>
          <w:kern w:val="0"/>
          <w:sz w:val="24"/>
          <w:szCs w:val="24"/>
        </w:rPr>
      </w:pPr>
    </w:p>
    <w:p>
      <w:pPr>
        <w:pStyle w:val="14"/>
        <w:rPr>
          <w:rFonts w:hint="eastAsia"/>
        </w:rPr>
      </w:pPr>
      <w:bookmarkStart w:id="18" w:name="_Toc4174061"/>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展望未来，供给侧改革仍为主线，2018年要打好防范化解重大风险、精准脱贫、污染防治三大攻坚战。当前经济有韧性，从高速转向高质，未来一段时间内经济向上动能仍然存在；政策基调近期仍以去杠杆、防风险为主，货币政策预计仍将维持中性偏紧状态。在上述基本面和政策面组合下，我们认为周期性行业龙头获利明显，权益市场机会大于债券市场，债券市场难有确定性的反转机会，应当以防御为主。我们会采取相对谨慎的操作策略，严格控制组合杠杆和久期，积极挖掘短久期、高票息的债券，在久期风险可控的情况下力求提高组合静态收益。除此之外，我们还会密切跟踪市场，关注行业安全边际较高的偏股型转债，择机参与波段交易以增厚组合收益。</w:t>
      </w:r>
    </w:p>
    <w:p>
      <w:pPr>
        <w:widowControl/>
        <w:jc w:val="left"/>
        <w:rPr>
          <w:rFonts w:hint="eastAsia" w:ascii="宋体" w:hAnsi="宋体" w:cs="宋体"/>
          <w:kern w:val="0"/>
          <w:sz w:val="24"/>
          <w:szCs w:val="24"/>
        </w:rPr>
      </w:pPr>
    </w:p>
    <w:p>
      <w:pPr>
        <w:pStyle w:val="14"/>
        <w:rPr>
          <w:rFonts w:hint="eastAsia"/>
        </w:rPr>
      </w:pPr>
      <w:bookmarkStart w:id="19" w:name="_Toc4174062"/>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4063"/>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4064"/>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4065"/>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截至本财务报告批准报出日，本基金已连续60个工作日基金资产净值低于五千万元，根据《公开募集证券投资基金运作管理办法》的有关规定，本基金管理人已向中国证监会报告并提出解决方案。</w:t>
      </w:r>
    </w:p>
    <w:p>
      <w:pPr>
        <w:widowControl/>
        <w:jc w:val="left"/>
        <w:rPr>
          <w:rFonts w:hint="eastAsia" w:ascii="宋体" w:hAnsi="宋体" w:cs="宋体"/>
          <w:kern w:val="0"/>
          <w:sz w:val="24"/>
          <w:szCs w:val="24"/>
        </w:rPr>
      </w:pPr>
    </w:p>
    <w:p>
      <w:pPr>
        <w:pStyle w:val="13"/>
        <w:rPr>
          <w:rFonts w:hint="eastAsia"/>
        </w:rPr>
      </w:pPr>
      <w:bookmarkStart w:id="23" w:name="_Toc417406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4067"/>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4068"/>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4069"/>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407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407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普华永道中天审字(2019)第24812号</w:t>
            </w:r>
          </w:p>
        </w:tc>
      </w:tr>
    </w:tbl>
    <w:p>
      <w:pPr>
        <w:widowControl/>
        <w:jc w:val="left"/>
        <w:rPr>
          <w:rFonts w:hint="eastAsia" w:ascii="宋体" w:hAnsi="宋体" w:cs="宋体"/>
          <w:kern w:val="0"/>
          <w:sz w:val="24"/>
          <w:szCs w:val="24"/>
        </w:rPr>
      </w:pPr>
    </w:p>
    <w:p>
      <w:pPr>
        <w:pStyle w:val="14"/>
        <w:rPr>
          <w:rFonts w:hint="eastAsia"/>
        </w:rPr>
      </w:pPr>
      <w:bookmarkStart w:id="29" w:name="_Toc417407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创金合信鑫收益灵活配置混合型证券投资基金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我们审计了创金合信鑫收益灵活配置混合型证券投资基金  (以下简称“创金合信鑫收益基金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收益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按照中国注册会计师职业道德守则，我们独立于创金合信鑫收益基金，并履行了职业道德方面的其他责任。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收益基金的持续经营能力，披露与持续经营相关的事项(如适用)，并运用持续经营假设，除非基金管理人管理层计划清算创金合信鑫收益基金、终止运营或别无其他现实的选择。 基金管理人治理层负责监督创金合信鑫收益基金的财务报告过程。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收益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收益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407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4074"/>
      <w:r>
        <w:rPr>
          <w:rFonts w:hint="eastAsia"/>
          <w:b/>
          <w:bCs/>
        </w:rPr>
        <w:t>7.1 资产负债表</w:t>
      </w:r>
      <w:bookmarkEnd w:id="31"/>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953,484.41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892,179.65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78,553.81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301,666,272.83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50,786,626.88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306,866.75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964,844.78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428.65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171,089.47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57,029.83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102,745.52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124,295.50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66,363,286.52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706,899.08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284,993,010.38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133,650.20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10,678,596.43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840,549.28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964,844.78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362,034,893.33</w:t>
            </w:r>
          </w:p>
        </w:tc>
      </w:tr>
    </w:tbl>
    <w:p>
      <w:pPr>
        <w:pStyle w:val="20"/>
        <w:rPr>
          <w:rFonts w:hint="eastAsia"/>
        </w:rPr>
      </w:pPr>
      <w:r>
        <w:rPr>
          <w:rFonts w:hint="eastAsia"/>
        </w:rPr>
        <w:t>注：报告截止日2018年12月31日，基金份额总额706,899.08份，其中下属A类基金份额19,433.38份，C类基金份额687,465.70份。下属A类基金份额净值1.036元，C类基金份额净值1.193元。</w:t>
      </w:r>
    </w:p>
    <w:p>
      <w:pPr>
        <w:widowControl/>
        <w:jc w:val="left"/>
        <w:rPr>
          <w:rFonts w:hint="eastAsia" w:ascii="宋体" w:hAnsi="宋体" w:cs="宋体"/>
          <w:kern w:val="0"/>
          <w:sz w:val="24"/>
          <w:szCs w:val="24"/>
        </w:rPr>
      </w:pPr>
    </w:p>
    <w:p>
      <w:pPr>
        <w:pStyle w:val="14"/>
        <w:rPr>
          <w:rFonts w:hint="eastAsia"/>
        </w:rPr>
      </w:pPr>
      <w:bookmarkStart w:id="32" w:name="_Toc4174075"/>
      <w:r>
        <w:rPr>
          <w:rFonts w:hint="eastAsia"/>
          <w:b/>
          <w:bCs/>
        </w:rPr>
        <w:t>7.2 利润表</w:t>
      </w:r>
      <w:bookmarkEnd w:id="32"/>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8,786,101.92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25,285,962.40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4,183,327.69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18,326,777.34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284,263.26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3,823,717.60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17,140,920.41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301,089.07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901,593.67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-1,739,361.58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12,902,311.69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-1,532,903.26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15,244,434.84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6,340,207.52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1,418,446.99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7,812,902.23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524,814.12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2,704,511.49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174,938.06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901,503.89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32,506.77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751,446.79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523,416.69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3,195,749.81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523,416.69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3,195,749.81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164,850.30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227,183.48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7,367,654.93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7,367,654.93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r>
    </w:tbl>
    <w:p>
      <w:pPr>
        <w:widowControl/>
        <w:jc w:val="left"/>
        <w:rPr>
          <w:rFonts w:hint="eastAsia" w:ascii="宋体" w:hAnsi="宋体" w:cs="宋体"/>
          <w:kern w:val="0"/>
          <w:sz w:val="24"/>
          <w:szCs w:val="24"/>
        </w:rPr>
      </w:pPr>
    </w:p>
    <w:p>
      <w:pPr>
        <w:pStyle w:val="14"/>
        <w:rPr>
          <w:rFonts w:hint="eastAsia"/>
        </w:rPr>
      </w:pPr>
      <w:bookmarkStart w:id="33" w:name="_Toc4174076"/>
      <w:r>
        <w:rPr>
          <w:rFonts w:hint="eastAsia"/>
          <w:b/>
          <w:bCs/>
        </w:rPr>
        <w:t>7.3 所有者权益（基金净值）变动表</w:t>
      </w:r>
      <w:bookmarkEnd w:id="33"/>
    </w:p>
    <w:p>
      <w:pPr>
        <w:pStyle w:val="17"/>
        <w:rPr>
          <w:rFonts w:hint="eastAsia"/>
        </w:rPr>
      </w:pPr>
      <w:r>
        <w:rPr>
          <w:rFonts w:hint="eastAsia"/>
        </w:rPr>
        <w:t>会计主体：创金合信鑫收益灵活配置混合型证券投资基金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284,993,010.38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10,678,596.43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7,367,654.93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7,367,654.93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-284,286,111.30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-17,912,601.16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-302,198,712.46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520,174.87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111,193.55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631,368.42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-284,806,286.17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-18,023,794.71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-302,830,080.88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706,899.08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133,650.20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840,549.28</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213,155,772.76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-14,915.95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213,140,856.81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17,473,060.17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71,837,237.62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-6,779,547.79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65,057,689.83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299,626,521.19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1,278,575.44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300,905,096.63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-227,789,283.57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-8,058,123.23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-235,847,406.80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284,993,010.38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10,678,596.43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295,671,606.81</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4077"/>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创金合信鑫收益灵活配置混合型证券投资基金(以下简称“本基金”)经中国证券监督管理委员会(以下简称“中国证监会”)证监许可 [2015]1688号《关于准予创金合信鑫收益灵活配置混合型证券投资基金注册的批复》核准，由创金合信基金管理有限公司依照《中华人民共和国证券投资基金法》和《创金合信鑫收益灵活配置混合型证券投资基金基金合同》负责公开募集。本基金为契约型开放式，存续期限不定，首次设立募集不包括认购资金利息共募集人民币213,147,227.55元，业经普华永道中天会计师事务所(特殊普通合伙)普华永道中天验字(2016)第1560号验资报告予以验证。经向中国证监会备案，《创金合信鑫收益灵活配置混合型证券投资基金基金合同》于2016年12月19日正式生效，基金合同生效日的基金份额总额为213,155,772.76份基金份额，其中认购资金利息折合8,545.21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根据《创金合信鑫收益灵活配置混合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鑫收益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证券公司短期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收益灵活配置混合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开放式基金在基金合同生效后，连续60个工作日出现基金份额持有人数量不满200人或者基金资产净值低于5,000万元情形的，基金管理人应当向中国证监会报告并提出解决方案，如转换运作方式、与其他基金合并或者终止基金合同等，并召开基金份额持有人大会进行表决。于2018年12月31日，本基金出现连续60个工作日基金资产净值低于5,000万元的情形，本基金的基金管理人已向中国证监会报告并在评估后续处理方案，故本财务报表仍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在符合有关基金分红条件的前提下，本基金每年收益分配次数最多为12次，每份基金份额每次收益分配比例不得低于该次该类基金份额可供分配利润的10%；若《基金合同》生效不满3个月可不进行收益分配。(2)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非货物期货，可以选择按照实际买入价计算销售额，或者以2017年最后一个交易日的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953,484.41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953,484.41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8,969,453.26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8,387,920.00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-581,533.26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209,370,751.34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203,575,352.83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-5,795,398.51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89,666,275.75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89,703,000.00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36,724.25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299,037,027.09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293,278,352.83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-5,758,674.26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308,006,480.35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301,666,272.83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-6,340,207.52</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44,586,626.88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50,786,626.88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4,200,778.40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172,947.56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4,375,016.08</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49,481.58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7,426.86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56,908.44</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122,416.15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创金合信鑫收益A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283,125,412.74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283,125,412.74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70,453.87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70,453.87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-283,176,433.23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-283,176,433.23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19,433.38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19,433.38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创金合信鑫收益C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1,867,597.64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1,867,597.64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449,721.00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449,721.00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-1,629,852.94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-1,629,852.94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687,465.70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687,465.70</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创金合信鑫收益A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17,440,083.43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-7,178,911.59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10,261,171.84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1,457,911.27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5,896,841.26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7,354,752.53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-18,904,741.39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1,289,517.11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-17,615,224.28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4,862.96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4,851.26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-18,909,604.35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1,289,528.81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-17,620,075.54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-6,746.69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7,446.78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700.09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创金合信鑫收益C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(创金合信鑫收益C)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472,381.73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-54,957.14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417,424.59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-430,463.86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443,366.26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12,902.40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-209,830.63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-87,546.25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-297,376.88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116,761.53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-10,419.24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106,342.29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-326,592.16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-77,127.01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-403,719.17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-167,912.76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300,862.87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132,950.11</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43,568.86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121,199.44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66,249.92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14,406.05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95,778.41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58,521.02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284,263.26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7,436,550.00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278,132,648.21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8,969,453.26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262,888,213.37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-1,532,903.26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15,244,434.84</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551,105,070.81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1,255,998,637.24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541,447,750.98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1,238,579,994.31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9,858,605.15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21,520,626.98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-201,285.32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-4,101,984.05</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1,759,860.90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6,340,207.52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581,533.26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-679,234.26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5,758,674.26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-5,409,720.84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6,340,207.52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-6,088,955.10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145,828.47</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14,777.21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739,266.79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751,446.79</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44,218.22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73,697.93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11,034.15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27,983.48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164,850.30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227,183.48</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根据本基金的基金管理人创金合信基金管理有限公司于2019年1月15日发布的《创金合信基金管理有限公司关于创金合信鑫收益灵活配置混合型证券投资基金增设基金份额及修改基金合同的公告》，经征求本基金托管人招商银行的同意，并报中国证监会备案，本基金的基金管理人创金合信基金管理有限公司决定自2019年1月16日起，为本基金增设E类基金份额。</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7,436,550.00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380,840,762.27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454,963,690.21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537,161,932.63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59.60%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7,845,617,000.00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58.58%</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275,842.81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43,123.21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87.15%</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524,814.12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2,704,511.49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3,246.03</w:t>
            </w:r>
          </w:p>
        </w:tc>
      </w:tr>
    </w:tbl>
    <w:p>
      <w:pPr>
        <w:pStyle w:val="20"/>
        <w:rPr>
          <w:rFonts w:hint="eastAsia"/>
        </w:rPr>
      </w:pPr>
      <w:r>
        <w:rPr>
          <w:rFonts w:hint="eastAsia"/>
        </w:rPr>
        <w:t>注：本基金的管理费按前一日基金资产净值的0.60%年费率计提。管理费的计算方法如下：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174,938.06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901,503.89</w:t>
            </w:r>
          </w:p>
        </w:tc>
      </w:tr>
    </w:tbl>
    <w:p>
      <w:pPr>
        <w:pStyle w:val="20"/>
        <w:rPr>
          <w:rFonts w:hint="eastAsia"/>
        </w:rPr>
      </w:pPr>
      <w:r>
        <w:rPr>
          <w:rFonts w:hint="eastAsia"/>
        </w:rPr>
        <w:t>注：本基金的托管费按前一日基金资产净值的0.2%的年费率计提。托管费的计算方法如下：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2906"/>
        <w:gridCol w:w="2906"/>
        <w:gridCol w:w="1876"/>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30,434.95</w:t>
            </w:r>
          </w:p>
        </w:tc>
      </w:tr>
    </w:tbl>
    <w:p>
      <w:pPr>
        <w:pStyle w:val="20"/>
        <w:rPr>
          <w:rFonts w:hint="eastAsia"/>
        </w:rPr>
      </w:pPr>
      <w:r>
        <w:rPr>
          <w:rFonts w:hint="eastAsia"/>
        </w:rPr>
        <w:t>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1945"/>
        <w:gridCol w:w="1945"/>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953,484.41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43,568.86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3,929,377.33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121,199.44</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 xml:space="preserve">本基金本报告期内未购买基金托管人招商银行发行的同业存单(上年度可比期间：购买同业存单金额为39,574,720.00元)，产生利息收入0.00元(上年度可比期间：利息收入23,853.94元)。截止2018年12月31日本基金未持有关联方发行的证券(2017年12月31日：同)。 </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50,185,000.00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50,185,000.00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按短期信用评级列示的同业存单投资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19,542,000.00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19,542,000.00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7.4.13.2.3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77,642,894.20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145,908,458.63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223,551,352.83</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953,484.41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本基金投资于交易所及银行间市场交易的固定收益品种比重较大，此外还持有银行存款、结算备付金、存出保证金及买入返售金融资产等利率敏感性资产，因此存在相应的利率风险。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07"/>
        <w:gridCol w:w="1789"/>
        <w:gridCol w:w="1789"/>
        <w:gridCol w:w="1789"/>
        <w:gridCol w:w="1907"/>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953,484.41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953,484.41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11,145.10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11,145.10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964,629.51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964,844.78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428.65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142.91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139.49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1,168.30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122,416.15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122,416.15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124,295.50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124,295.50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964,629.51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-124,080.23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840,549.28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3,929,377.33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3,929,377.33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892,179.65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892,179.65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78,553.81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78,553.81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157,216,972.03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68,923,684.30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67,137,696.50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8,387,920.00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301,666,272.83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50,786,626.88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50,786,626.88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306,866.75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306,866.75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4,375,016.08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4,375,016.08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212,903,709.70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68,923,684.30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67,137,696.50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13,069,802.83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362,034,893.33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65,800,000.00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65,800,000.00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171,089.47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171,089.47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57,029.83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57,029.83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495.79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56,908.44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56,908.44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102,745.52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102,745.52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65,800,000.00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563,286.52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66,363,286.52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147,103,709.70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68,923,684.30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67,137,696.50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12,506,516.31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295,671,606.81</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tbl>
      <w:tblPr>
        <w:tblStyle w:val="7"/>
        <w:tblW w:w="9120" w:type="dxa"/>
        <w:tblInd w:w="108" w:type="dxa"/>
        <w:tblLayout w:type="autofit"/>
        <w:tblCellMar>
          <w:top w:w="0" w:type="dxa"/>
          <w:left w:w="108" w:type="dxa"/>
          <w:bottom w:w="0" w:type="dxa"/>
          <w:right w:w="108" w:type="dxa"/>
        </w:tblCellMar>
      </w:tblPr>
      <w:tblGrid>
        <w:gridCol w:w="1081"/>
        <w:gridCol w:w="2889"/>
        <w:gridCol w:w="2575"/>
        <w:gridCol w:w="257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-610,764.21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615,692.32</w:t>
            </w:r>
          </w:p>
        </w:tc>
      </w:tr>
    </w:tbl>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8,387,920.00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8,387,920.00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2.84</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p>
      <w:pPr>
        <w:pStyle w:val="20"/>
        <w:rPr>
          <w:rFonts w:hint="eastAsia"/>
        </w:rPr>
      </w:pPr>
      <w:r>
        <w:rPr>
          <w:rFonts w:hint="eastAsia"/>
        </w:rPr>
        <w:t>于2018年12月31日，本基金持有的交易性权益类投资公允价值占基金资产净值的比例为0.00%(2017年12月31日：2.84%)，因此除市场利率和外汇汇率以外的市场价格因素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于2018年12月31日，本基金未持有以公允价值计量且其变动计入当期损益的金融资产(2017年12月31日：第一层次52,791,496.50元，第二层次248,874,776.33元，无第三层次)。</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4078"/>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4079"/>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953,484.41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11,360.37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964,844.78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4080"/>
      <w:r>
        <w:rPr>
          <w:rFonts w:hint="eastAsia"/>
          <w:b/>
          <w:bCs/>
        </w:rPr>
        <w:t>8.2 报告期末按行业分类的股票投资组合</w:t>
      </w:r>
      <w:bookmarkEnd w:id="37"/>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8" w:name="_Toc4174081"/>
      <w:r>
        <w:rPr>
          <w:rFonts w:hint="eastAsia"/>
          <w:b/>
          <w:bCs/>
        </w:rPr>
        <w:t>8.3 期末按公允价值占基金资产净值比例大小排序的所有股票投资明细</w:t>
      </w:r>
      <w:bookmarkEnd w:id="38"/>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4"/>
        <w:rPr>
          <w:rFonts w:hint="eastAsia"/>
        </w:rPr>
      </w:pPr>
      <w:bookmarkStart w:id="39" w:name="_Toc4174082"/>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20"/>
        <w:rPr>
          <w:rFonts w:hint="eastAsia"/>
        </w:rPr>
      </w:pPr>
      <w:r>
        <w:rPr>
          <w:rFonts w:hint="eastAsia"/>
        </w:rPr>
        <w:t>本基金本报告期内未持有股票。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2,711,880.00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万达电影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7,436,550.00</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4083"/>
      <w:r>
        <w:rPr>
          <w:rFonts w:hint="eastAsia"/>
          <w:b/>
          <w:bCs/>
        </w:rPr>
        <w:t>8.5 期末按债券品种分类的债券投资组合</w:t>
      </w:r>
      <w:bookmarkEnd w:id="40"/>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1" w:name="_Toc4174084"/>
      <w:r>
        <w:rPr>
          <w:rFonts w:hint="eastAsia"/>
          <w:b/>
          <w:bCs/>
        </w:rPr>
        <w:t>8.6 期末按公允价值占基金资产净值比例大小排序的前五名债券投资明细</w:t>
      </w:r>
      <w:bookmarkEnd w:id="41"/>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2" w:name="_Toc4174085"/>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4086"/>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4087"/>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4088"/>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4089"/>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4090"/>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11,145.10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11,360.37</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本基金本报告期末未持有股票。</w:t>
      </w:r>
    </w:p>
    <w:p>
      <w:pPr>
        <w:widowControl/>
        <w:jc w:val="left"/>
        <w:rPr>
          <w:rFonts w:hint="eastAsia" w:ascii="宋体" w:hAnsi="宋体" w:cs="宋体"/>
          <w:kern w:val="0"/>
          <w:sz w:val="24"/>
          <w:szCs w:val="24"/>
        </w:rPr>
      </w:pPr>
    </w:p>
    <w:p>
      <w:pPr>
        <w:pStyle w:val="13"/>
        <w:rPr>
          <w:rFonts w:hint="eastAsia"/>
        </w:rPr>
      </w:pPr>
      <w:bookmarkStart w:id="48" w:name="_Toc4174091"/>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4092"/>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19,433.38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687,465.70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706,899.08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4174093"/>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264"/>
        <w:gridCol w:w="1681"/>
        <w:gridCol w:w="2005"/>
        <w:gridCol w:w="2095"/>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16,254.13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w:t>
            </w:r>
          </w:p>
        </w:tc>
      </w:tr>
    </w:tbl>
    <w:p>
      <w:pPr>
        <w:widowControl/>
        <w:jc w:val="left"/>
        <w:rPr>
          <w:rFonts w:hint="eastAsia" w:ascii="宋体" w:hAnsi="宋体" w:cs="宋体"/>
          <w:kern w:val="0"/>
          <w:sz w:val="24"/>
          <w:szCs w:val="24"/>
        </w:rPr>
      </w:pPr>
    </w:p>
    <w:p>
      <w:pPr>
        <w:pStyle w:val="14"/>
        <w:rPr>
          <w:rFonts w:hint="eastAsia"/>
        </w:rPr>
      </w:pPr>
      <w:bookmarkStart w:id="51" w:name="_Toc4174094"/>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创金合信鑫收益C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3"/>
        <w:rPr>
          <w:rFonts w:hint="eastAsia"/>
        </w:rPr>
      </w:pPr>
      <w:bookmarkStart w:id="52" w:name="_Toc4174095"/>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创金合信鑫收益A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创金合信鑫收益C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基金合同生效日(2016年12月19日)基金份额总额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190,098,275.45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23,057,497.31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283,125,412.74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1,867,597.64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70,453.87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449,721.00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283,176,433.23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1,629,852.94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19,433.38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687,465.70</w:t>
            </w:r>
          </w:p>
        </w:tc>
      </w:tr>
    </w:tbl>
    <w:p>
      <w:pPr>
        <w:widowControl/>
        <w:jc w:val="left"/>
        <w:rPr>
          <w:rFonts w:hint="eastAsia" w:ascii="宋体" w:hAnsi="宋体" w:cs="宋体"/>
          <w:kern w:val="0"/>
          <w:sz w:val="24"/>
          <w:szCs w:val="24"/>
        </w:rPr>
      </w:pPr>
    </w:p>
    <w:p>
      <w:pPr>
        <w:pStyle w:val="13"/>
        <w:rPr>
          <w:rFonts w:hint="eastAsia"/>
        </w:rPr>
      </w:pPr>
      <w:bookmarkStart w:id="53" w:name="_Toc4174096"/>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174097"/>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174098"/>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174099"/>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174100"/>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174101"/>
      <w:r>
        <w:rPr>
          <w:rFonts w:hint="eastAsia"/>
          <w:b/>
          <w:bCs/>
        </w:rPr>
        <w:t>11.5 为基金进行审计的会计师事务所情况</w:t>
      </w:r>
      <w:bookmarkEnd w:id="58"/>
    </w:p>
    <w:p>
      <w:pPr>
        <w:pStyle w:val="20"/>
        <w:spacing w:before="0"/>
        <w:ind w:left="0" w:firstLine="480"/>
        <w:rPr>
          <w:rFonts w:hint="eastAsia"/>
        </w:rPr>
      </w:pPr>
      <w:r>
        <w:rPr>
          <w:rFonts w:hint="eastAsia"/>
        </w:rPr>
        <w:t>本报告期内本基金未更换会计师事务所,本年度支付给普华永道中天会计师事务所(特殊普通合伙)审计费用44,218.22元,该审计机构连续提供审计服务的年限为2年。</w:t>
      </w:r>
    </w:p>
    <w:p>
      <w:pPr>
        <w:widowControl/>
        <w:jc w:val="left"/>
        <w:rPr>
          <w:rFonts w:hint="eastAsia" w:ascii="宋体" w:hAnsi="宋体" w:cs="宋体"/>
          <w:kern w:val="0"/>
          <w:sz w:val="24"/>
          <w:szCs w:val="24"/>
        </w:rPr>
      </w:pPr>
    </w:p>
    <w:p>
      <w:pPr>
        <w:pStyle w:val="14"/>
        <w:rPr>
          <w:rFonts w:hint="eastAsia"/>
        </w:rPr>
      </w:pPr>
      <w:bookmarkStart w:id="59" w:name="_Toc4174102"/>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174103"/>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7,436,550.00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5,405.47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454,963,690.21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1,882,000,000.00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174104"/>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创金合信基金管理有限公司关于创金合信鑫收益灵活配置混合型证券投资基金修订基金合同、托管协议部分条款及调整赎回费相关规则的公告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创金合信鑫收益灵活配置混合型证券投资基金基金经理变更公告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2018-12-26</w:t>
            </w:r>
          </w:p>
        </w:tc>
      </w:tr>
    </w:tbl>
    <w:p>
      <w:pPr>
        <w:widowControl/>
        <w:jc w:val="left"/>
        <w:rPr>
          <w:rFonts w:hint="eastAsia" w:ascii="宋体" w:hAnsi="宋体" w:cs="宋体"/>
          <w:kern w:val="0"/>
          <w:sz w:val="24"/>
          <w:szCs w:val="24"/>
        </w:rPr>
      </w:pPr>
    </w:p>
    <w:p>
      <w:pPr>
        <w:pStyle w:val="13"/>
        <w:rPr>
          <w:rFonts w:hint="eastAsia"/>
        </w:rPr>
      </w:pPr>
      <w:bookmarkStart w:id="62" w:name="_Toc4174105"/>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174106"/>
      <w:r>
        <w:rPr>
          <w:rFonts w:hint="eastAsia"/>
          <w:b/>
          <w:bCs/>
        </w:rPr>
        <w:t>12.1 报告期内单一投资者持有基金份额比例达到或超过20%的情况</w:t>
      </w:r>
      <w:bookmarkEnd w:id="63"/>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283,094,494.09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283,094,494.09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4" w:name="_Toc4174107"/>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174108"/>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174109"/>
      <w:r>
        <w:rPr>
          <w:rFonts w:hint="eastAsia"/>
          <w:b/>
          <w:bCs/>
        </w:rPr>
        <w:t>13.1 备查文件目录</w:t>
      </w:r>
      <w:bookmarkEnd w:id="66"/>
    </w:p>
    <w:p>
      <w:pPr>
        <w:pStyle w:val="20"/>
        <w:spacing w:before="0"/>
        <w:ind w:left="0" w:firstLine="480"/>
        <w:rPr>
          <w:rFonts w:hint="eastAsia"/>
        </w:rPr>
      </w:pPr>
      <w:r>
        <w:rPr>
          <w:rFonts w:hint="eastAsia"/>
        </w:rPr>
        <w:t>1、《创金合信鑫收益灵活配置混合型证券投资基金基金合同》；</w:t>
      </w:r>
    </w:p>
    <w:p>
      <w:pPr>
        <w:pStyle w:val="20"/>
        <w:spacing w:before="0"/>
        <w:ind w:left="0" w:firstLine="480"/>
        <w:rPr>
          <w:rFonts w:hint="eastAsia"/>
        </w:rPr>
      </w:pPr>
      <w:r>
        <w:rPr>
          <w:rFonts w:hint="eastAsia"/>
        </w:rPr>
        <w:t>2、《创金合信鑫收益灵活配置混合型证券投资基金托管协议》；</w:t>
      </w:r>
    </w:p>
    <w:p>
      <w:pPr>
        <w:pStyle w:val="20"/>
        <w:spacing w:before="0"/>
        <w:ind w:left="0" w:firstLine="480"/>
        <w:rPr>
          <w:rFonts w:hint="eastAsia"/>
        </w:rPr>
      </w:pPr>
      <w:r>
        <w:rPr>
          <w:rFonts w:hint="eastAsia"/>
        </w:rPr>
        <w:t>3、创金合信鑫收益灵活配置混合型证券投资基金2018年年度报告。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174110"/>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174111"/>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37</w:t>
    </w:r>
    <w:r>
      <w:rPr>
        <w:rStyle w:val="10"/>
      </w:rPr>
      <w:fldChar w:fldCharType="end"/>
    </w:r>
  </w:p>
  <w:p>
    <w:pPr>
      <w:pStyle w:val="2"/>
      <w:jc w:val="center"/>
    </w:pPr>
    <w:r>
      <w:rPr>
        <w:rFonts w:hint="eastAsia"/>
      </w:rPr>
      <w:t xml:space="preserve">                   第       页，共65页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创金合信鑫收益灵活配置混合型证券投资基金2018年年度报告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1269"/>
    <w:rsid w:val="00091269"/>
    <w:rsid w:val="002848C7"/>
    <w:rsid w:val="003E77BC"/>
    <w:rsid w:val="005E3898"/>
    <w:rsid w:val="006C1409"/>
    <w:rsid w:val="00AA769E"/>
    <w:rsid w:val="00CA4A7B"/>
    <w:rsid w:val="5DC81D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7112</Words>
  <Characters>40544</Characters>
  <Lines>337</Lines>
  <Paragraphs>95</Paragraphs>
  <TotalTime>0</TotalTime>
  <ScaleCrop>false</ScaleCrop>
  <LinksUpToDate>false</LinksUpToDate>
  <CharactersWithSpaces>47561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2019-03-22T11:06:00Z</dcterms:created>
  <dc:creator>石怡翔</dc:creator>
  <cp:lastModifiedBy>Administrator</cp:lastModifiedBy>
  <dcterms:modified xsi:type="dcterms:W3CDTF">2019-12-26T14:11:20Z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