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创金合信鼎鑫睿选定期开放混合型证券投资基金（LOF）</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0271"/>
      <w:r>
        <w:rPr>
          <w:rFonts w:hint="eastAsia" w:hAnsi="Calibri"/>
          <w:b/>
          <w:color w:val="000000"/>
        </w:rPr>
        <w:t>§1  重要提示及目录</w:t>
      </w:r>
      <w:bookmarkEnd w:id="0"/>
      <w:r>
        <w:rPr>
          <w:rFonts w:hint="eastAsia"/>
        </w:rPr>
        <w:t xml:space="preserve"> </w:t>
      </w:r>
    </w:p>
    <w:p>
      <w:pPr>
        <w:pStyle w:val="13"/>
        <w:rPr>
          <w:rFonts w:hint="eastAsia"/>
        </w:rPr>
      </w:pPr>
      <w:bookmarkStart w:id="1" w:name="_Toc510100272"/>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本报告期自2017年07月07日起至2017年12月31日止。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0273"/>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"_Toc510100271"</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_Toc510100271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"_Toc510100272"</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_Toc510100272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"_Toc510100273"</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_Toc510100273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"_Toc510100274"</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_Toc510100274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"_Toc510100275"</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_Toc510100275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"_Toc510100276"</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_Toc510100276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"_Toc510100277"</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_Toc510100277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"_Toc510100278"</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_Toc510100278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"_Toc510100279"</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_Toc510100279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"_Toc510100280"</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_Toc510100280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"_Toc510100281"</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_Toc510100281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"_Toc510100282"</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_Toc510100282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"_Toc510100283"</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_Toc510100283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"_Toc510100284"</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_Toc510100284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"_Toc510100285"</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_Toc510100285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"_Toc510100286"</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_Toc510100286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"_Toc510100287"</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_Toc510100287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"_Toc510100288"</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_Toc510100288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"_Toc510100289"</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_Toc510100289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"_Toc510100290"</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_Toc510100290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"_Toc510100291"</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_Toc510100291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"_Toc510100292"</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_Toc510100292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"_Toc510100293"</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_Toc510100293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"_Toc510100294"</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_Toc510100294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"_Toc510100295"</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_Toc510100295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"_Toc510100296"</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_Toc510100296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"_Toc510100297"</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_Toc510100297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"_Toc510100298"</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_Toc510100298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"_Toc510100299"</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_Toc510100299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"_Toc510100300"</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_Toc510100300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"_Toc510100301"</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_Toc510100301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"_Toc510100302"</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_Toc510100302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"_Toc510100303"</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_Toc510100303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"_Toc510100304"</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_Toc510100304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"_Toc510100305"</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_Toc510100305 \h </w:instrText>
      </w:r>
      <w:r>
        <w:rPr>
          <w:lang/>
        </w:rPr>
        <w:fldChar w:fldCharType="separate"/>
      </w:r>
      <w:r>
        <w:rPr>
          <w:lang/>
        </w:rPr>
        <w:t>22</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"_Toc510100306"</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_Toc510100306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"_Toc510100307"</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_Toc510100307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"_Toc510100308"</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_Toc510100308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"_Toc510100309"</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_Toc510100309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"_Toc510100310"</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_Toc510100310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"_Toc510100311"</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_Toc510100311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"_Toc510100312"</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_Toc510100312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"_Toc510100313"</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_Toc510100313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"_Toc510100314"</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_Toc510100314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"_Toc510100315"</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_Toc510100315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"_Toc510100316"</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_Toc510100316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"_Toc510100317"</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_Toc510100317 \h </w:instrText>
      </w:r>
      <w:r>
        <w:rPr>
          <w:lang/>
        </w:rPr>
        <w:fldChar w:fldCharType="separate"/>
      </w:r>
      <w:r>
        <w:rPr>
          <w:lang/>
        </w:rPr>
        <w:t>56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"_Toc510100318"</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_Toc510100318 \h </w:instrText>
      </w:r>
      <w:r>
        <w:rPr>
          <w:lang/>
        </w:rPr>
        <w:fldChar w:fldCharType="separate"/>
      </w:r>
      <w:r>
        <w:rPr>
          <w:lang/>
        </w:rPr>
        <w:t>56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"_Toc510100319"</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_Toc510100319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"_Toc510100320"</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_Toc510100320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"_Toc510100321"</w:instrText>
      </w:r>
      <w:r>
        <w:rPr>
          <w:rStyle w:val="10"/>
          <w:lang/>
        </w:rPr>
        <w:instrText xml:space="preserve"> </w:instrText>
      </w:r>
      <w:r>
        <w:rPr>
          <w:rStyle w:val="10"/>
          <w:lang/>
        </w:rPr>
        <w:fldChar w:fldCharType="separate"/>
      </w:r>
      <w:r>
        <w:rPr>
          <w:rStyle w:val="10"/>
          <w:b/>
          <w:bCs/>
          <w:lang/>
        </w:rPr>
        <w:t>9.2</w:t>
      </w:r>
      <w:r>
        <w:rPr>
          <w:rStyle w:val="10"/>
          <w:rFonts w:hint="eastAsia"/>
          <w:b/>
          <w:bCs/>
          <w:lang/>
        </w:rPr>
        <w:t>期末上市基金前十名持有人</w:t>
      </w:r>
      <w:r>
        <w:rPr>
          <w:lang/>
        </w:rPr>
        <w:tab/>
      </w:r>
      <w:r>
        <w:rPr>
          <w:lang/>
        </w:rPr>
        <w:fldChar w:fldCharType="begin"/>
      </w:r>
      <w:r>
        <w:rPr>
          <w:lang/>
        </w:rPr>
        <w:instrText xml:space="preserve"> PAGEREF _Toc510100321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"_Toc510100322"</w:instrText>
      </w:r>
      <w:r>
        <w:rPr>
          <w:rStyle w:val="10"/>
          <w:lang/>
        </w:rPr>
        <w:instrText xml:space="preserve"> </w:instrText>
      </w:r>
      <w:r>
        <w:rPr>
          <w:rStyle w:val="10"/>
          <w:lang/>
        </w:rPr>
        <w:fldChar w:fldCharType="separate"/>
      </w:r>
      <w:r>
        <w:rPr>
          <w:rStyle w:val="10"/>
          <w:b/>
          <w:lang/>
        </w:rPr>
        <w:t>9.3</w:t>
      </w:r>
      <w:r>
        <w:rPr>
          <w:rStyle w:val="10"/>
          <w:rFonts w:hint="eastAsia"/>
          <w:b/>
          <w:lang/>
        </w:rPr>
        <w:t>期末基金管理人的从业人员持有本基金的情况</w:t>
      </w:r>
      <w:r>
        <w:rPr>
          <w:lang/>
        </w:rPr>
        <w:tab/>
      </w:r>
      <w:r>
        <w:rPr>
          <w:lang/>
        </w:rPr>
        <w:fldChar w:fldCharType="begin"/>
      </w:r>
      <w:r>
        <w:rPr>
          <w:lang/>
        </w:rPr>
        <w:instrText xml:space="preserve"> PAGEREF _Toc510100322 \h </w:instrText>
      </w:r>
      <w:r>
        <w:rPr>
          <w:lang/>
        </w:rPr>
        <w:fldChar w:fldCharType="separate"/>
      </w:r>
      <w:r>
        <w:rPr>
          <w:lang/>
        </w:rPr>
        <w:t>57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"_Toc510100323"</w:instrText>
      </w:r>
      <w:r>
        <w:rPr>
          <w:rStyle w:val="10"/>
          <w:lang/>
        </w:rPr>
        <w:instrText xml:space="preserve"> </w:instrText>
      </w:r>
      <w:r>
        <w:rPr>
          <w:rStyle w:val="10"/>
          <w:lang/>
        </w:rPr>
        <w:fldChar w:fldCharType="separate"/>
      </w:r>
      <w:r>
        <w:rPr>
          <w:rStyle w:val="10"/>
          <w:b/>
          <w:bCs/>
          <w:lang/>
        </w:rPr>
        <w:t>9.4</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_Toc510100323 \h </w:instrText>
      </w:r>
      <w:r>
        <w:rPr>
          <w:lang/>
        </w:rPr>
        <w:fldChar w:fldCharType="separate"/>
      </w:r>
      <w:r>
        <w:rPr>
          <w:lang/>
        </w:rPr>
        <w:t>57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"_Toc510100324"</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_Toc510100324 \h </w:instrText>
      </w:r>
      <w:r>
        <w:rPr>
          <w:lang/>
        </w:rPr>
        <w:fldChar w:fldCharType="separate"/>
      </w:r>
      <w:r>
        <w:rPr>
          <w:lang/>
        </w:rPr>
        <w:t>57</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"_Toc510100325"</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_Toc510100325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"_Toc510100326"</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_Toc510100326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"_Toc510100327"</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_Toc510100327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"_Toc510100328"</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_Toc510100328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"_Toc510100329"</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_Toc510100329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"_Toc510100330"</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_Toc510100330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"_Toc510100331"</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_Toc510100331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"_Toc510100332"</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_Toc510100332 \h </w:instrText>
      </w:r>
      <w:r>
        <w:rPr>
          <w:lang/>
        </w:rPr>
        <w:fldChar w:fldCharType="separate"/>
      </w:r>
      <w:r>
        <w:rPr>
          <w:lang/>
        </w:rPr>
        <w:t>58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"_Toc510100333"</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_Toc510100333 \h </w:instrText>
      </w:r>
      <w:r>
        <w:rPr>
          <w:lang/>
        </w:rPr>
        <w:fldChar w:fldCharType="separate"/>
      </w:r>
      <w:r>
        <w:rPr>
          <w:lang/>
        </w:rPr>
        <w:t>61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"_Toc510100334"</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_Toc510100334 \h </w:instrText>
      </w:r>
      <w:r>
        <w:rPr>
          <w:lang/>
        </w:rPr>
        <w:fldChar w:fldCharType="separate"/>
      </w:r>
      <w:r>
        <w:rPr>
          <w:lang/>
        </w:rPr>
        <w:t>64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"_Toc510100335"</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_Toc510100335 \h </w:instrText>
      </w:r>
      <w:r>
        <w:rPr>
          <w:lang/>
        </w:rPr>
        <w:fldChar w:fldCharType="separate"/>
      </w:r>
      <w:r>
        <w:rPr>
          <w:lang/>
        </w:rPr>
        <w:t>64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"_Toc510100336"</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_Toc510100336 \h </w:instrText>
      </w:r>
      <w:r>
        <w:rPr>
          <w:lang/>
        </w:rPr>
        <w:fldChar w:fldCharType="separate"/>
      </w:r>
      <w:r>
        <w:rPr>
          <w:lang/>
        </w:rPr>
        <w:t>65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"_Toc510100337"</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_Toc510100337 \h </w:instrText>
      </w:r>
      <w:r>
        <w:rPr>
          <w:lang/>
        </w:rPr>
        <w:fldChar w:fldCharType="separate"/>
      </w:r>
      <w:r>
        <w:rPr>
          <w:lang/>
        </w:rPr>
        <w:t>65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"_Toc510100338"</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_Toc510100338 \h </w:instrText>
      </w:r>
      <w:r>
        <w:rPr>
          <w:lang/>
        </w:rPr>
        <w:fldChar w:fldCharType="separate"/>
      </w:r>
      <w:r>
        <w:rPr>
          <w:lang/>
        </w:rPr>
        <w:t>65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"_Toc510100339"</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_Toc510100339 \h </w:instrText>
      </w:r>
      <w:r>
        <w:rPr>
          <w:lang/>
        </w:rPr>
        <w:fldChar w:fldCharType="separate"/>
      </w:r>
      <w:r>
        <w:rPr>
          <w:lang/>
        </w:rPr>
        <w:t>65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"_Toc510100340"</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_Toc510100340 \h </w:instrText>
      </w:r>
      <w:r>
        <w:rPr>
          <w:lang/>
        </w:rPr>
        <w:fldChar w:fldCharType="separate"/>
      </w:r>
      <w:r>
        <w:rPr>
          <w:lang/>
        </w:rPr>
        <w:t>65</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027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0275"/>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创金合信鼎鑫睿选定期开放混合型证券投资基金（LOF）</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创金合信鼎鑫睿选定开混合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场内简称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创金睿选</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501035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2017年07月07日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215,825,032.50份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基金份额上市的证券交易所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上海证券交易所</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上市日期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2017-09-18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0276"/>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在合理控制风险的基础上，力争实现基金资产的长期稳健增值。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行业轮动效应与定向增发项目优势的深入研究，优选能够改善、提升企业基本面与经营状况的定向增发股票进行投资。将定向增发改善企业基本面与产业结构作为投资主线，形成以定向增发为核心的投资策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中证定向增发事件指数收益率×75%+中债总指数（全价）收益率×25%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本基金为混合型基金，理论上其预期风险与预期收益水平低于股票型基金，高于债券型基金和货币市场基金。</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0277"/>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510100278"/>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证券时报、中国证券报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0279"/>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028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028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5934"/>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本期2017年07月07日（基金合同生效日）- 2017年12月31日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4.本基金合同生效日为2017年7月7日，截至报告期末，本基金成立不满一年。合同生效当期的相关数据和指标按实际存续期计算。</w:t>
      </w:r>
    </w:p>
    <w:p>
      <w:pPr>
        <w:pStyle w:val="13"/>
        <w:rPr>
          <w:rFonts w:hint="eastAsia"/>
        </w:rPr>
      </w:pPr>
      <w:bookmarkStart w:id="11" w:name="_Toc510100282"/>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-0.34%</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501035_FB010010_20180002_1.jpg" type="#_x0000_t75" style="height:286.2pt;width:441pt;" filled="f" stroked="f" coordsize="21600,21600">
            <v:path/>
            <v:fill on="f" focussize="0,0"/>
            <v:stroke on="f"/>
            <v:imagedata r:id="rId10" grayscale="f" bilevel="f" o:title="CN_50990000_501035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501035_FB010010_20180002_2.jpg" type="#_x0000_t75" style="height:285.95pt;width:440.6pt;" filled="f" stroked="f" coordsize="21600,21600">
            <v:path/>
            <v:fill on="f" focussize="0,0"/>
            <v:stroke on="f"/>
            <v:imagedata r:id="rId11" grayscale="f" bilevel="f" o:title="CN_50990000_501035_FB010010_20180002_2"/>
            <o:lock v:ext="edit" grouping="f" rotation="f" aspectratio="t"/>
            <w10:wrap type="none"/>
            <w10:anchorlock/>
          </v:shape>
        </w:pict>
      </w:r>
    </w:p>
    <w:p>
      <w:pPr>
        <w:pStyle w:val="13"/>
        <w:rPr>
          <w:rFonts w:hint="eastAsia"/>
        </w:rPr>
      </w:pPr>
      <w:bookmarkStart w:id="12" w:name="_Toc510100283"/>
      <w:r>
        <w:rPr>
          <w:rFonts w:hint="eastAsia" w:hAnsi="Calibri"/>
          <w:b/>
          <w:color w:val="000000"/>
        </w:rPr>
        <w:t>3.3 过去三年基金的利润分配情况</w:t>
      </w:r>
      <w:bookmarkEnd w:id="12"/>
    </w:p>
    <w:tbl>
      <w:tblPr>
        <w:tblStyle w:val="7"/>
        <w:tblW w:w="9045" w:type="dxa"/>
        <w:tblInd w:w="108" w:type="dxa"/>
        <w:tblLayout w:type="autofit"/>
        <w:tblCellMar>
          <w:top w:w="0" w:type="dxa"/>
          <w:left w:w="108" w:type="dxa"/>
          <w:bottom w:w="0" w:type="dxa"/>
          <w:right w:w="108" w:type="dxa"/>
        </w:tblCellMar>
      </w:tblPr>
      <w:tblGrid>
        <w:gridCol w:w="9045"/>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本基金自基金合同生效日(2017年7月7日)至本报告期末未发生利润分配。</w:t>
      </w:r>
    </w:p>
    <w:p>
      <w:pPr>
        <w:pStyle w:val="12"/>
        <w:rPr>
          <w:rFonts w:hint="eastAsia"/>
        </w:rPr>
      </w:pPr>
      <w:bookmarkStart w:id="13" w:name="_Toc51010028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0285"/>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张荣先生，中国国籍，北京大学金融学硕士，权益投资基金经理。投资中注重宏观研究，自上而下，把握行业趋势；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曹春林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春林先生，中国国籍，厦门大学经济学学士，1998年7月就职于中国银河证券，从事研究工作，2004年3月就职于茂业集团，从事资本运作、证券投资工作，成功操作了A股市场仅有的两例从二级市场收购并控股上市公司的案例，对上市公司的运作转型和并购重组有深刻的理解，擅长从实业的独特视角去看待资本市场，2010年4月加盟第一创业证券，历任资产管理部行业研究员、资产管理部投资部副总监。曾获《证券时报》“2013中国最佳财富管理机构评选”最佳资管产品经理；2014年获《中国基金报》“第一届中国最佳基金经理评选”三年期权益类投资最佳投资主办。2014年8月加入创金合信基金管理有限公司，曾任资管投资部副总监兼投资经理，现任研究部副总监。</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0286"/>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0287"/>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本报告期内，公司旗下所有投资组合参与的交易所公开竞价交易中，同日反向交易成交较少的单边交易量超过该证券当日成交量的5%的交易共1 次，与该基金发生反向交易的基金为公司量化选股策略的基金，同时该产品采用指数化策略进行投资，组合调仓时与量化选股策略基金发生反向，该交易未对当天的股票价格产生冲击。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0288"/>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受供给侧改革持续，企业盈利好转的影响，股票市场整体震荡向上，但其中仍然呈现一定的大小分化。在权益投资中主要配置受供给侧改革利好较多，同时在行业内处于领先地位的企业。同时产品通过合理控制产品股票仓位与债券仓位，在控制产品波动性的前提下追求更高的超额收益。</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截至报告期末创金合信鼎鑫睿选定开混合基金份额净值为1.0183元;本报告期内，基金份额净值增长率为1.83%，同期业绩比较基准收益率为-1.01%。</w:t>
      </w:r>
    </w:p>
    <w:p>
      <w:pPr>
        <w:widowControl/>
        <w:jc w:val="left"/>
        <w:rPr>
          <w:rFonts w:hint="eastAsia" w:ascii="宋体" w:hAnsi="宋体" w:cs="宋体"/>
          <w:kern w:val="0"/>
          <w:sz w:val="24"/>
          <w:szCs w:val="24"/>
        </w:rPr>
      </w:pPr>
    </w:p>
    <w:p>
      <w:pPr>
        <w:pStyle w:val="13"/>
        <w:rPr>
          <w:rFonts w:hint="eastAsia"/>
        </w:rPr>
      </w:pPr>
      <w:bookmarkStart w:id="18" w:name="_Toc510100289"/>
      <w:r>
        <w:rPr>
          <w:rFonts w:hint="eastAsia"/>
          <w:b/>
          <w:bCs/>
        </w:rPr>
        <w:t>4.5 管理人对宏观经济、证券市场及行业走势的简要展望</w:t>
      </w:r>
      <w:bookmarkEnd w:id="18"/>
    </w:p>
    <w:p>
      <w:pPr>
        <w:pStyle w:val="19"/>
        <w:rPr>
          <w:rFonts w:hint="eastAsia"/>
        </w:rPr>
      </w:pPr>
      <w:r>
        <w:rPr>
          <w:rFonts w:hint="eastAsia"/>
        </w:rPr>
        <w:t>  2018年利率债缺乏趋势性机会。一方面，虽然经济平稳可能略降，但经济韧性仍强，结构持续改善，货币政策整体难宽松，严监管还将持续；另一方面，银行资产负债扩张将继续放缓，债市配置力量预计维持较弱。2017年对同业理财的治理导致债市的大幅调整，2018年对银行理财的治理将成为债市的主要风险来源。而信用债方面，在资本利得机会不大的环境下，票息策略仍将是主要策略。当前债市收益率绝对水平处于历史较高位置，曲线期限利差较窄，短期债券的配置价值较高。经济总体偏稳下，伴随企业盈利的整体改善，信用出现系统性违约风险的概率较低，不过在银行信用扩张放缓阶段，弱资质民企获取流动性能力下降，发生信用风险的可能性加大。因此，综合来看，2018年债市投资选择上需要严格控制久期，不宜明显拉长，信用下沉程度要有所控制。</w:t>
      </w:r>
      <w:r>
        <w:rPr>
          <w:rFonts w:hint="eastAsia"/>
        </w:rPr>
        <w:br w:type="textWrapping"/>
      </w:r>
      <w:r>
        <w:rPr>
          <w:rFonts w:hint="eastAsia"/>
        </w:rPr>
        <w:t>  权益方面，旧经济市场出清，供给侧改革推进，新兴经济活跃，盈利具备持续转好基础；利率上行尚未明显损害经济，监管冲击未明显冲击风险情绪。市场短期回调震荡，结构分化特征将依旧存在。大盘股将继续受益于不高的估值和较确定的盈利增长，尤其是经济转型过程中龙头的优势提升；小盘股在偏高估值下，对利率上行和监管冲击的反应较为敏感，可能将继续底部震荡；关注中盘蓝筹机会。未来继续关注可中期战略配置的板块，如银行、消费、新能源车等。同时周期行业受益于供求出清，盈利改善有持续性，看好钢铁、煤炭等周期股。</w:t>
      </w:r>
    </w:p>
    <w:p>
      <w:pPr>
        <w:widowControl/>
        <w:jc w:val="left"/>
        <w:rPr>
          <w:rFonts w:hint="eastAsia" w:ascii="宋体" w:hAnsi="宋体" w:cs="宋体"/>
          <w:kern w:val="0"/>
          <w:sz w:val="24"/>
          <w:szCs w:val="24"/>
        </w:rPr>
      </w:pPr>
    </w:p>
    <w:p>
      <w:pPr>
        <w:pStyle w:val="13"/>
        <w:rPr>
          <w:rFonts w:hint="eastAsia"/>
        </w:rPr>
      </w:pPr>
      <w:bookmarkStart w:id="19" w:name="_Toc510100290"/>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0291"/>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0292"/>
      <w:r>
        <w:rPr>
          <w:rFonts w:hint="eastAsia"/>
          <w:b/>
          <w:bCs/>
        </w:rPr>
        <w:t>4.8 管理人对报告期内基金利润分配情况的说明</w:t>
      </w:r>
      <w:bookmarkEnd w:id="21"/>
    </w:p>
    <w:p>
      <w:pPr>
        <w:pStyle w:val="19"/>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100293"/>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029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0295"/>
      <w:r>
        <w:rPr>
          <w:rFonts w:hint="eastAsia"/>
          <w:b/>
          <w:bCs/>
        </w:rPr>
        <w:t>5.1 报告期内本基金托管人遵规守信情况声明</w:t>
      </w:r>
      <w:bookmarkEnd w:id="24"/>
    </w:p>
    <w:p>
      <w:pPr>
        <w:pStyle w:val="19"/>
        <w:rPr>
          <w:rFonts w:hint="eastAsia"/>
        </w:rPr>
      </w:pPr>
      <w:r>
        <w:rPr>
          <w:rFonts w:hint="eastAsia"/>
        </w:rPr>
        <w:t>  本报告期内，本基金托管人在对创金合信鼎鑫睿选定期开放混合型证券投资基金（LOF）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510100296"/>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创金合信鼎鑫睿选定期开放混合型证券投资基金（LOF）的管理人--创金合信基金管理有限公司在创金合信鼎鑫睿选定期开放混合型证券投资基金（LOF）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0297"/>
      <w:r>
        <w:rPr>
          <w:rFonts w:hint="eastAsia"/>
          <w:b/>
          <w:bCs/>
        </w:rPr>
        <w:t>5.3 托管人对本年度报告中财务信息等内容的真实、准确和完整发表意见</w:t>
      </w:r>
      <w:bookmarkEnd w:id="26"/>
    </w:p>
    <w:p>
      <w:pPr>
        <w:pStyle w:val="19"/>
        <w:rPr>
          <w:rFonts w:hint="eastAsia"/>
        </w:rPr>
      </w:pPr>
      <w:r>
        <w:rPr>
          <w:rFonts w:hint="eastAsia"/>
        </w:rPr>
        <w:t>  本托管人依法对创金合信基金管理有限公司编制和披露的创金合信鼎鑫睿选定期开放混合型证券投资基金（LOF）2017年年度报告中财务指标、净值表现、利润分配情况、财务会计报告、投资组合报告等内容进行了核查，以上内容真实、准确和完整。</w:t>
      </w:r>
    </w:p>
    <w:p>
      <w:pPr>
        <w:pStyle w:val="12"/>
        <w:rPr>
          <w:rFonts w:hint="eastAsia"/>
        </w:rPr>
      </w:pPr>
      <w:bookmarkStart w:id="27" w:name="_Toc51010029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0299"/>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普华永道中天审字(2018)第21828号</w:t>
            </w:r>
          </w:p>
        </w:tc>
      </w:tr>
    </w:tbl>
    <w:p>
      <w:pPr>
        <w:widowControl/>
        <w:jc w:val="left"/>
        <w:rPr>
          <w:rFonts w:hint="eastAsia" w:ascii="宋体" w:hAnsi="宋体" w:cs="宋体"/>
          <w:kern w:val="0"/>
          <w:sz w:val="24"/>
          <w:szCs w:val="24"/>
        </w:rPr>
      </w:pPr>
    </w:p>
    <w:p>
      <w:pPr>
        <w:pStyle w:val="13"/>
        <w:rPr>
          <w:rFonts w:hint="eastAsia"/>
        </w:rPr>
      </w:pPr>
      <w:bookmarkStart w:id="29" w:name="_Toc510100300"/>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创金合信鼎鑫睿选定期开放混合型证券投资基金(LOF)全体基金份额持有人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鼎鑫睿选定期开放混合型证券投资基金(LOF)(以下简称"创金合信鼎鑫睿选定开混合基金")的财务报表，包括2017年12月31日的资产负债表，2017年7月7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鼎鑫睿选定开混合基金2017年12月31日的财务状况以及2017年7月7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按照中国注册会计师职业道德守则，我们独立于创金合信鼎鑫睿选定开混合基金，并履行了职业道德方面的其他责任。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鼎鑫睿选定开混合基金的基金管理人创金合信基金管理有限公司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管理层负责评估创金合信鼎鑫睿选定开混合基金的持续经营能力，披露与持续经营相关的事项(如适用)，并运用持续经营假设，除非管理层计划清算创金合信鼎鑫睿选定开混合基金、终止运营或别无其他现实的选择。 创金合信鼎鑫睿选定开混合基金的基金管理人创金合信基金管理有限公司治理层负责监督创金合信鼎鑫睿选定开混合基金的财务报告过程。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一定会发现存在的重大错报。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鼎鑫睿选定开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鼎鑫睿选定开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030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0302"/>
      <w:r>
        <w:rPr>
          <w:rFonts w:hint="eastAsia"/>
          <w:b/>
          <w:bCs/>
        </w:rPr>
        <w:t>7.1 资产负债表</w:t>
      </w:r>
      <w:bookmarkEnd w:id="31"/>
    </w:p>
    <w:p>
      <w:pPr>
        <w:pStyle w:val="16"/>
        <w:rPr>
          <w:rFonts w:hint="eastAsia"/>
        </w:rPr>
      </w:pPr>
      <w:r>
        <w:rPr>
          <w:rFonts w:hint="eastAsia"/>
        </w:rPr>
        <w:t>会计主体：创金合信鼎鑫睿选定期开放混合型证券投资基金（LOF）</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5,178,800.15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46,680.22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388,343,892.85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335,821.98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402,243,925.17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181,754,028.11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27,428.46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280,450.75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46,741.78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45,358.40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161,053.20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182,464,560.70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402,243,925.17</w:t>
            </w:r>
          </w:p>
        </w:tc>
      </w:tr>
    </w:tbl>
    <w:p>
      <w:pPr>
        <w:pStyle w:val="19"/>
        <w:rPr>
          <w:rFonts w:hint="eastAsia"/>
        </w:rPr>
      </w:pPr>
      <w:r>
        <w:rPr>
          <w:rFonts w:hint="eastAsia"/>
        </w:rPr>
        <w:t>注：1.报告截止日2017年12月31日，基金份额净值1.0183元，基金份额总额215,825,032.50份。</w:t>
      </w:r>
      <w:r>
        <w:rPr>
          <w:rFonts w:hint="eastAsia"/>
        </w:rPr>
        <w:br w:type="textWrapping"/>
      </w:r>
      <w:r>
        <w:rPr>
          <w:rFonts w:hint="eastAsia"/>
        </w:rPr>
        <w:t>2.财务报表的实际编制期间为2017年7月7日(基金合同生效日)至2017年12月31日。截至报告期末本基金合同生效未满1年，本报告期的财务报表及报表附注均无同期对比数据。</w:t>
      </w:r>
    </w:p>
    <w:p>
      <w:pPr>
        <w:pStyle w:val="13"/>
        <w:rPr>
          <w:rFonts w:hint="eastAsia"/>
        </w:rPr>
      </w:pPr>
      <w:bookmarkStart w:id="32" w:name="_Toc510100303"/>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会计主体：创金合信鼎鑫睿选定期开放混合型证券投资基金（LOF）</w:t>
      </w:r>
    </w:p>
    <w:p>
      <w:pPr>
        <w:pStyle w:val="16"/>
        <w:rPr>
          <w:rFonts w:hint="eastAsia"/>
        </w:rPr>
      </w:pPr>
      <w:r>
        <w:rPr>
          <w:rFonts w:hint="eastAsia"/>
        </w:rPr>
        <w:t>本报告期：2017年07月07日（基金合同生效日）至2017年12月31日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本期2017年07月07日（基金合同生效日）至2017年12月31日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8,683,346.49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5,447,526.93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94,421.46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5,326,241.15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26,864.32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1,271,467.05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2,064,818.09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293,004.51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4,729,014.52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1,586,213.93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264,368.95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116,360.27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2,609,241.62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2,609,241.62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152,829.75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bl>
    <w:p>
      <w:pPr>
        <w:pStyle w:val="19"/>
        <w:rPr>
          <w:rFonts w:hint="eastAsia"/>
        </w:rPr>
      </w:pPr>
      <w:r>
        <w:rPr>
          <w:rFonts w:hint="eastAsia"/>
        </w:rPr>
        <w:t>注：本财务报表的实际编制报告期间为2017年7月7日(基金合同生效日)至2017年12月31日。截至报告期末本基金合同生效未满1年，本报告期的财务报表及报表附注均无同期对比数据。</w:t>
      </w:r>
    </w:p>
    <w:p>
      <w:pPr>
        <w:pStyle w:val="13"/>
        <w:rPr>
          <w:rFonts w:hint="eastAsia"/>
        </w:rPr>
      </w:pPr>
      <w:bookmarkStart w:id="33" w:name="_Toc510100304"/>
      <w:r>
        <w:rPr>
          <w:rFonts w:hint="eastAsia"/>
          <w:b/>
          <w:bCs/>
        </w:rPr>
        <w:t>7.3 所有者权益（基金净值）变动表</w:t>
      </w:r>
      <w:bookmarkEnd w:id="33"/>
    </w:p>
    <w:p>
      <w:pPr>
        <w:pStyle w:val="16"/>
        <w:rPr>
          <w:rFonts w:hint="eastAsia"/>
        </w:rPr>
      </w:pPr>
      <w:r>
        <w:rPr>
          <w:rFonts w:hint="eastAsia"/>
        </w:rPr>
        <w:t>会计主体：创金合信鼎鑫睿选定期开放混合型证券投资基金（LOF）</w:t>
      </w:r>
    </w:p>
    <w:p>
      <w:pPr>
        <w:pStyle w:val="16"/>
        <w:rPr>
          <w:rFonts w:hint="eastAsia"/>
        </w:rPr>
      </w:pPr>
      <w:r>
        <w:rPr>
          <w:rFonts w:hint="eastAsia"/>
        </w:rPr>
        <w:t>本报告期：2017年07月07日（基金合同生效日）至2017年12月31日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注：本财务报表的实际编制报告期间为2017年7月7日(基金合同生效日)至2017年12月31日。截至报告期末本基金合同生效未满1年，本报告期的财务报表及报表附注均无同期对比数据。</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0305"/>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鼎鑫睿选定期开放混合型证券投资基金(LOF)(以下简称"本基金")经中国证券监督管理委员会(以下简称"中国证监会")证监许可[2017]151号《关于准予创金合信鼎鑫睿选定期开放混合型证券投资基金(LOF)注册的批复》核准，由创金合信基金管理有限公司依照《中华人民共和国证券投资基金法》和《创金合信鼎鑫睿选定期开放混合型证券投资基金(LOF)基金合同》负责公开募集。本基金为契约型定期开放式，存续期限不定，首次设立募集不包括认购资金利息共募集人民币215,699,712.96元，业经普华永道中天会计师事务所(特殊普通合伙)普华永道中天验字(2017)第316号验资报告予以验证。经向中国证监会备案，《创金合信鼎鑫睿选定期开放混合型证券投资基金(LOF)基金合同》于2017年7月7日正式生效，基金合同生效日的基金份额总额为215,825,033.02份基金份额，其中认购资金利息折合125,320.06 份基金份额。本基金的基金管理人为创金合信基金管理有限公司，基金托管人为中国工商银行股份有限公司(以下简称"中国工商银行")，登记机构为中国证券登记结算有限责任公司。</w:t>
      </w:r>
      <w:r>
        <w:rPr>
          <w:rFonts w:hint="eastAsia"/>
        </w:rPr>
        <w:br w:type="textWrapping"/>
      </w:r>
      <w:r>
        <w:rPr>
          <w:rFonts w:hint="eastAsia"/>
        </w:rPr>
        <w:t>  根据《创金合信鼎鑫睿选定期开放混合型证券投资基金(LOF)基金合同》的相关规定，本基金的封闭期为自基金合同生效之日起(含)至18个月(含18个月)后的对应日止，若该日的次日为非工作日，则该封闭期结束日延长至下一工作日的前一日。下一个封闭期为首个开放期结束日的次一工作日起至18个月后的对应日的期间，以此类推。本基金在封闭期内不办理申购与赎回业务，但投资人可在本基金上市交易后通过上海证券交易所(以下简称"上交所")转让基金份额。</w:t>
      </w:r>
      <w:r>
        <w:rPr>
          <w:rFonts w:hint="eastAsia"/>
        </w:rPr>
        <w:br w:type="textWrapping"/>
      </w:r>
      <w:r>
        <w:rPr>
          <w:rFonts w:hint="eastAsia"/>
        </w:rPr>
        <w:t>  经上交所[2017]324号文审核同意，本基金32,663,801.00份基金份额于2017年9月18日在上交所挂牌交易。未上市交易的基金份额托管在场外，基金份额持有人可通过跨系统转托管业务将其转至上交所场内后即可上市流通。</w:t>
      </w:r>
      <w:r>
        <w:rPr>
          <w:rFonts w:hint="eastAsia"/>
        </w:rPr>
        <w:br w:type="textWrapping"/>
      </w:r>
      <w:r>
        <w:rPr>
          <w:rFonts w:hint="eastAsia"/>
        </w:rPr>
        <w:t>  根据《中华人民共和国证券投资基金法》和《创金合信鼎鑫睿选定期开放混合型证券投资基金(LOF)基金合同》的有关规定，本基金的投资范围包括国内依法发行上市的股票(包括创业板、中小板以及其他经中国证监会允许基金投资的股票)、债券(包括国债、央行票据、地方政府债、金融债、企业债、公司债、次级债、中期票据、短期融资券、可转换债券、可交换债券等)、资产支持证券、债券回购、银行存款、同业存单、金融衍生品(包括权证、股指期货等)及法律法规或中国证监会允许基金投资的其他金融工具(但须符合中国证监会的相关规定)。本基金的业绩比较基准为：中证定向增发事件指数收益率×75%+中债总指数(全价)收益率×25%。</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鼎鑫睿选定期开放混合型证券投资基金（LOF）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基金2017年7月7日(基金合同生效日)至2017年12月31日止期间财务报表符合企业会计准则的要求，真实、完整地反映了本基金2017年12月31日的财务状况以及2017年7月7日(基金合同生效日)至2017年12月31日止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本基金会计年度为公历1月1日起至12月31日止。本期财务报表的实际编制期间为2017年7月7日（基金合同生效日）至2017年12月31日。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本基金持有的股票投资和债券投资按如下原则确定公允价值并进行估值：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本基金的管理人报酬和托管费和在费用涵盖期间按基金合同约定的费率和计算方法逐日确认。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 每一基金份额享有同等分配权；(2) 在符合有关基金分红条件的前提下，本基金每年收益分配次数最多为12次，每份基金份额每次收益分配比例不得低于每份基金份额该次可供分配利润的10%，若《基金合同》生效不满3个月可不进行收益分配；(3) 本基金收益分配方式分两种：现金分红与红利再投资。登记在登记结算系统中的基金份额，基金份额持有人可选择获取现金红利或将现金红利自动转为基金份额进行再投资，红利再投资的计算方法等有关事项遵循登记机构的相关规定；若基金份额持有人不选择，本基金默认的收益分配方式是现金分红。登记在证券登记系统中的基金份额只能采取现金分红方式，基金份额持有人不能选择红利再投资；(4) 基金收益分配后基金份额净值不能低于面值，即基金收益分配基准日的基金份额净值减去每单位基金份额收益分配金额后不能低于面值；(5) 基金收益分配的发放日距离收益分配基准日的时间不得超过15个工作日；(6) 法律法规或监管机关另有规定的，或证券交易所与登记机构的相关业务规则另有规定的，从其规定。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105,519,538.01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5,841,074.44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182,029,385.13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179,288,780.40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-2,740,604.73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98,830,617.20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97,694,500.00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-1,136,117.20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280,860,002.33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-3,876,721.93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386,379,540.34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388,343,892.85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本基金于本期末未持有买断式逆回购交易中取得的债券。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2,563.55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5,269,119.83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33,868.88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11,489.52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45,358.40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本期2017年07月07日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bl>
    <w:p>
      <w:pPr>
        <w:pStyle w:val="19"/>
        <w:rPr>
          <w:rFonts w:hint="eastAsia"/>
        </w:rPr>
      </w:pPr>
      <w:r>
        <w:rPr>
          <w:rFonts w:hint="eastAsia"/>
        </w:rPr>
        <w:t>注：1.申购含红利再投、转换入份(金)额；赎回含转换出份(金)额。</w:t>
      </w:r>
      <w:r>
        <w:rPr>
          <w:rFonts w:hint="eastAsia"/>
        </w:rPr>
        <w:br w:type="textWrapping"/>
      </w:r>
      <w:r>
        <w:rPr>
          <w:rFonts w:hint="eastAsia"/>
        </w:rPr>
        <w:t>2.本基金自2017年4月17日至2017年6月30日止期间公开发售，共募集有效净认购资金人民币215,699,712.96元。根据《创金合信鼎鑫睿选定期开放混合型证券投资基金(LOF)基金合同》的规定，本基金设立募集期内认购资金产生的利息收入人民币125,320.06元在本基金成立后，折算为125,320.06份基金份额，划入基金份额持有人账户。</w:t>
      </w:r>
      <w:r>
        <w:rPr>
          <w:rFonts w:hint="eastAsia"/>
        </w:rPr>
        <w:br w:type="textWrapping"/>
      </w:r>
      <w:r>
        <w:rPr>
          <w:rFonts w:hint="eastAsia"/>
        </w:rPr>
        <w:t>3.根据《创金合信鼎鑫睿选定期开放混合型证券投资基金(LOF)基金合同》的相关规定，本基金的封闭期为2017年7月7日(基金合同生效日)至2019年1月7日(含)止期间，封闭期内本基金不办理申购与赎回业务，但投资人可在本基金上市交易后通过上交所转让基金份额。</w:t>
      </w:r>
      <w:r>
        <w:rPr>
          <w:rFonts w:hint="eastAsia"/>
        </w:rPr>
        <w:br w:type="textWrapping"/>
      </w:r>
      <w:r>
        <w:rPr>
          <w:rFonts w:hint="eastAsia"/>
        </w:rPr>
        <w:t>4.截至2017年12月31日止，本基金于上交所上市的基金份额为34,455,220.00份，托管在场外未上市交易的基金份额为181,369,812.50份。上市的基金份额登记在证券登记结算系统，可选择按市价流通或按基金份额净值申购或赎回；未上市的基金份额登记在注册登记系统，按基金份额净值申购或赎回。通过跨系统转登记可实现基金份额在两个系统之间的转换。</w:t>
      </w:r>
      <w:r>
        <w:rPr>
          <w:rFonts w:hint="eastAsia"/>
        </w:rPr>
        <w:br w:type="textWrapping"/>
      </w:r>
      <w:r>
        <w:rPr>
          <w:rFonts w:hint="eastAsia"/>
        </w:rPr>
        <w:t>5.根据本基金管理人创金合信基金管理有限公司于2017年9月22日发布的《创金合信基金管理有限公司关于旗下创金合信鼎鑫睿选定期开放混合型证券投资基金(LOF)调整最低持有份额的公告》，本基金自2017年9月25日起将最低持有份额调整为0.01份，即对单个交易账户的基金份额余额小于0.01份的进行赎回。截止2017年12月31日，本基金由于单个交易账户基金份额余额小于0.01份而赎回的基金份额为0.52份。</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1,989,979.46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3,954,331.97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47,634.69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46,509.69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94,421.46</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4,642,580.54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2,577,762.45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2,064,818.09</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156,098,794.27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152,221,345.16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4,963,804.66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-1,086,355.55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本基金于本报告期无衍生工具收益。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293,004.51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293,004.51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5,841,074.44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-3,876,721.93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1,964,352.51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113,947.77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2,412.50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116,360.27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152,829.75</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本基金于本期未通过关联方交易单元进行股票交易。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本基金于本期未通过关联方交易单元进行权证交易。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本基金于本期末无应支付关联方的佣金。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1,586,213.93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337,199.46</w:t>
            </w:r>
          </w:p>
        </w:tc>
      </w:tr>
    </w:tbl>
    <w:p>
      <w:pPr>
        <w:pStyle w:val="19"/>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2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264,368.95</w:t>
            </w:r>
          </w:p>
        </w:tc>
      </w:tr>
    </w:tbl>
    <w:p>
      <w:pPr>
        <w:pStyle w:val="19"/>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2967"/>
        <w:gridCol w:w="2967"/>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2017年07月07日（基金合同生效日）至2017年12月31日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47,634.69</w:t>
            </w:r>
          </w:p>
        </w:tc>
      </w:tr>
    </w:tbl>
    <w:p>
      <w:pPr>
        <w:pStyle w:val="19"/>
        <w:rPr>
          <w:rFonts w:hint="eastAsia"/>
        </w:rPr>
      </w:pPr>
      <w:r>
        <w:rPr>
          <w:rFonts w:hint="eastAsia"/>
        </w:rPr>
        <w:t>注：本基金的银行存款由基金托管人中国工商银行保管，按银行同业存款利率计息。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7.4.12.2 期末持有的暂时停牌等流通受限股票</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widowControl/>
        <w:jc w:val="left"/>
        <w:rPr>
          <w:rFonts w:hint="eastAsia" w:ascii="宋体" w:hAnsi="宋体" w:cs="宋体"/>
          <w:kern w:val="0"/>
          <w:sz w:val="24"/>
          <w:szCs w:val="24"/>
        </w:rPr>
      </w:pPr>
      <w:r>
        <w:rPr>
          <w:rFonts w:hint="eastAsia" w:ascii="宋体" w:hAnsi="宋体" w:cs="宋体"/>
          <w:kern w:val="0"/>
          <w:sz w:val="24"/>
          <w:szCs w:val="24"/>
        </w:rPr>
        <w:t xml:space="preserve">  截至本报告期末2017年12月31日止，本基金从事银行间市场债券正回购交易形成的卖出回购证券款余额61,254,028.11元，是以如下债券作为抵押： </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1500"/>
        <w:gridCol w:w="1499"/>
        <w:gridCol w:w="1499"/>
        <w:gridCol w:w="1499"/>
        <w:gridCol w:w="1702"/>
        <w:gridCol w:w="149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12绵阳投控债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3,075,790.00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12筑住投债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5,062,500.00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12玉环交投债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7,110,250.00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12绵阳投控债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1,144,480.00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12玉环交投债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1,015,750.00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1382272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13盾安集MTN1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20,104,000.00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13新郑债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13新郑债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9,344,350.00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1280075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12绵阳投控债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11,087,150.00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1,024,000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62,995,270.00</w:t>
            </w:r>
          </w:p>
        </w:tc>
      </w:tr>
    </w:tbl>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基金从事证券交易所债券正回购交易形成的卖出回购证券款余额120,500,000.00元，于2018年1月2日、2018年1月4日先后到期。该类交易要求本基金在回购期内持有的证券交易所交易的债券和/或在新质押式回购下转入质押库的债券，按证券交易所规定的比例折算为标准券后，不低于债券回购交易的余额。</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9"/>
        <w:rPr>
          <w:rFonts w:hint="eastAsia"/>
        </w:rPr>
      </w:pPr>
      <w:r>
        <w:rPr>
          <w:rFonts w:hint="eastAsia"/>
        </w:rPr>
        <w:t>本基金本报告期末未持有按短期信用评级列示的债券投资。</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58,074,029.00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218,909,251.40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181754028.11元将在1个月以内到期且计息(该利息金额不重大)外，本基金所承担的其他金融负债的合约约定到期日均为一个月以内且不计息，因此账面余额约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且于基金开放期内按照《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于开放期内，本基金的基金管理人每日对基金组合资产中7个工作日可变现资产的可变现价值进行审慎评估与测算，确保每日确认的净赎回申请不得超过7个工作日可变现资产的可变现价值。</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本报告期内本基金尚处于封闭期，封闭期内不办理申购与赎回业务，因此综合上述各项流动性风险管理措施的实施，本基金在本报告期内不存在未能以合理价格及时变现基金资产以支付投资者赎回款项的风险。</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508"/>
        <w:gridCol w:w="1595"/>
        <w:gridCol w:w="1507"/>
        <w:gridCol w:w="1421"/>
        <w:gridCol w:w="1507"/>
        <w:gridCol w:w="1507"/>
      </w:tblGrid>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3,064,306.58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5,178,800.15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5,178,800.15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46,680.22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46,680.22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52,975,900.00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205,043,351.40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18,964,029.00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388,343,892.85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335,821.98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335,821.98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61,265,686.95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205,043,351.40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18,964,029.00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116,970,857.82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402,243,925.17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181,754,028.11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181,754,028.11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27,428.46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27,428.46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280,450.75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280,450.75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46,741.78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46,741.78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45,358.40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161,053.20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161,053.20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181,754,028.11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710,532.59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182,464,560.70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-120,488,341.16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205,043,351.40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18,964,029.00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116,260,325.23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219,779,364.47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8"/>
        <w:gridCol w:w="5109"/>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-548,478.86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551,361.55</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4788"/>
        <w:gridCol w:w="2661"/>
        <w:gridCol w:w="159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111,360,612.45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111,360,612.45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50.67</w:t>
            </w:r>
          </w:p>
        </w:tc>
      </w:tr>
    </w:tbl>
    <w:p>
      <w:pPr>
        <w:pStyle w:val="14"/>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60"/>
        <w:gridCol w:w="3244"/>
        <w:gridCol w:w="4894"/>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2,451,195.76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-2,451,195.76</w:t>
            </w:r>
          </w:p>
        </w:tc>
      </w:tr>
    </w:tbl>
    <w:p>
      <w:pPr>
        <w:pStyle w:val="19"/>
        <w:rPr>
          <w:rFonts w:hint="eastAsia"/>
        </w:rPr>
      </w:pPr>
      <w:r>
        <w:rPr>
          <w:rFonts w:hint="eastAsia"/>
        </w:rPr>
        <w:t>本基金的业绩比较基准=中证定向增发事件指数收益率×75%+中债总指数(全价)收益率×25%</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于2017年12月31日，本基金持有的以公允价值计量且其变动计入当期损益的金融资产中属于第一层次的余额为139,984,125.40元，属于第二层次的余额为248,359,767.45元，无属于第三层次的余额。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100306"/>
      <w:r>
        <w:rPr>
          <w:rFonts w:hint="eastAsia" w:hAnsi="Calibri"/>
          <w:b/>
          <w:color w:val="000000"/>
        </w:rPr>
        <w:t>§8 投资组合报告</w:t>
      </w:r>
      <w:bookmarkEnd w:id="35"/>
    </w:p>
    <w:p>
      <w:pPr>
        <w:pStyle w:val="13"/>
        <w:rPr>
          <w:rFonts w:hint="eastAsia"/>
        </w:rPr>
      </w:pPr>
      <w:bookmarkStart w:id="36" w:name="_Toc510100307"/>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8,243,106.73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5,656,925.59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402,243,925.17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0308"/>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2,441,322.00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40,064,065.17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3,012,633.20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4,881,306.00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3,550,377.32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2,750,185.76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284,152.00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3,899,756.00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43,419,087.00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5,411,757.00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627,348.00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1,018,623.00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111,360,612.45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50.67</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3"/>
      </w:pPr>
      <w:bookmarkStart w:id="38" w:name="_Toc510100309"/>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10,951,870.00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5,370,673.00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4,341,392.00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3,206,124.00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3,134,655.00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2,959,992.00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2,564,730.00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2,175,620.00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2,101,271.00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1,975,380.00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1,950,882.00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1,851,619.00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1,816,668.00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1,621,620.00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1,593,735.00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1,281,584.00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964,862.00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959,816.00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806,323.00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790,508.00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761,250.00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744,152.00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泰禾集团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704,704.00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699,704.00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669,800.00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清新环境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627,348.00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616,226.00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林洋能源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609,809.46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605,827.00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598,019.32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590,304.00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584,760.00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578,116.00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577,962.00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冀中能源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576,008.00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574,448.00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572,322.00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556,416.00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549,250.00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548,080.00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543,380.00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540,790.00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539,150.00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537,280.00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535,568.00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焦作万方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532,040.00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富奥股份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新洋丰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523,664.00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宏图高科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521,248.00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518,322.00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帝龙文化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516,420.00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499,204.00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494,816.00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490,568.00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蓝盾股份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远光软件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480,476.00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479,024.00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飞乐音响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469,392.00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460,776.00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安洁科技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453,966.00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星辉娱乐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447,984.00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欧普照明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445,536.00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思维列控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432,870.00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新华文轩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431,103.00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桃李面包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428,670.00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296,940.00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锦江股份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木林森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金卡智能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开元股份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飞科电器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隆鑫通用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中国银河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江阴银行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无锡银行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完美世界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r>
    </w:tbl>
    <w:p>
      <w:pPr>
        <w:pStyle w:val="13"/>
        <w:rPr>
          <w:rFonts w:hint="eastAsia"/>
        </w:rPr>
      </w:pPr>
      <w:bookmarkStart w:id="39" w:name="_Toc510100310"/>
      <w:r>
        <w:rPr>
          <w:rFonts w:hint="eastAsia"/>
          <w:b/>
          <w:bCs/>
        </w:rPr>
        <w:t>8.4 报告期内股票投资组合的重大变动</w:t>
      </w:r>
      <w:bookmarkEnd w:id="39"/>
    </w:p>
    <w:p>
      <w:pPr>
        <w:pStyle w:val="14"/>
        <w:rPr>
          <w:rFonts w:hint="eastAsia"/>
        </w:rPr>
      </w:pPr>
      <w:r>
        <w:rPr>
          <w:rFonts w:hint="eastAsia"/>
          <w:b/>
          <w:bCs/>
        </w:rPr>
        <w:t>8.4.1 累计买入金额超出期末基金资产净值2%或前20名的股票明细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8,240,804.80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3,854,440.97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3,725,053.00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3,284,204.00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3,020,790.00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2,650,778.00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2,252,877.00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2,229,074.00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2,116,852.00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2,091,227.00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2,060,149.00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1,876,335.00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1,742,345.00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1,714,731.00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1,615,894.15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1,542,911.00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1,447,176.00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1,208,818.00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1,110,585.00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0.46</w:t>
            </w:r>
          </w:p>
        </w:tc>
      </w:tr>
    </w:tbl>
    <w:p>
      <w:pPr>
        <w:pStyle w:val="19"/>
        <w:rPr>
          <w:rFonts w:hint="eastAsia"/>
        </w:rPr>
      </w:pPr>
      <w:r>
        <w:rPr>
          <w:rFonts w:hint="eastAsia"/>
        </w:rPr>
        <w:t>注：本期累计买入金额按买卖成交金额,不考虑相关交易费用。</w:t>
      </w:r>
    </w:p>
    <w:p>
      <w:pPr>
        <w:pStyle w:val="14"/>
        <w:rPr>
          <w:rFonts w:hint="eastAsia"/>
        </w:rPr>
      </w:pPr>
      <w:r>
        <w:rPr>
          <w:rFonts w:hint="eastAsia"/>
          <w:b/>
          <w:bCs/>
        </w:rPr>
        <w:t>8.4.2 累计卖出金额超出期末基金资产净值2%或前20名的股票明细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财通证券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349,570.53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华能水电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314,400.71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合盛硅业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183,741.20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山东出版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139,878.08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璞泰来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137,002.88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掌阅科技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111,681.73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恒银金融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104,196.40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爱柯迪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102,431.20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风语筑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99,498.13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辰欣药业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88,775.70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畅联股份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80,283.52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74,077.50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横店影视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72,354.80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珀莱雅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70,270.29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振江股份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67,164.85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65,659.20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国芳集团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62,919.15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台华新材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62,489.58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bl>
    <w:p>
      <w:pPr>
        <w:pStyle w:val="19"/>
        <w:rPr>
          <w:rFonts w:hint="eastAsia"/>
        </w:rPr>
      </w:pPr>
      <w:r>
        <w:rPr>
          <w:rFonts w:hint="eastAsia"/>
        </w:rPr>
        <w:t>注：本期累计卖出金额按买卖成交金额,不考虑相关交易费用。</w:t>
      </w: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108,097,300.46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4,642,580.54</w:t>
            </w:r>
          </w:p>
        </w:tc>
      </w:tr>
    </w:tbl>
    <w:p>
      <w:pPr>
        <w:pStyle w:val="19"/>
        <w:rPr>
          <w:rFonts w:hint="eastAsia"/>
        </w:rPr>
      </w:pPr>
      <w:r>
        <w:rPr>
          <w:rFonts w:hint="eastAsia"/>
        </w:rPr>
        <w:t>注：买入股票成本、卖出股票收入均按买卖成交金额填列，不考虑相关交易费用。</w:t>
      </w:r>
    </w:p>
    <w:p>
      <w:pPr>
        <w:pStyle w:val="13"/>
        <w:rPr>
          <w:rFonts w:hint="eastAsia"/>
        </w:rPr>
      </w:pPr>
      <w:bookmarkStart w:id="40" w:name="_Toc510100311"/>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208,152,400.00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48,726,880.40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276,983,280.40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126.03</w:t>
            </w:r>
          </w:p>
        </w:tc>
      </w:tr>
    </w:tbl>
    <w:p>
      <w:pPr>
        <w:pStyle w:val="13"/>
        <w:rPr>
          <w:rFonts w:hint="eastAsia"/>
        </w:rPr>
      </w:pPr>
      <w:bookmarkStart w:id="41" w:name="_Toc510100312"/>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1382272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13盾安集MTN1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20,104,000.00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16曲文01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16徐工01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19,644,000.00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136247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16华综01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17中油EB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8.86</w:t>
            </w:r>
          </w:p>
        </w:tc>
      </w:tr>
    </w:tbl>
    <w:p>
      <w:pPr>
        <w:pStyle w:val="13"/>
        <w:rPr>
          <w:rFonts w:hint="eastAsia"/>
        </w:rPr>
      </w:pPr>
      <w:bookmarkStart w:id="42" w:name="_Toc510100313"/>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100314"/>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0315"/>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0316"/>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0317"/>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0318"/>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46,680.22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335,821.98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5,274,423.39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5,656,925.59</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6"/>
        <w:gridCol w:w="2053"/>
        <w:gridCol w:w="2053"/>
        <w:gridCol w:w="2053"/>
        <w:gridCol w:w="209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113011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18,964,029.00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110032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三一转债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10,181,174.40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本基金本报告期末前十名股票不存在流通受限的情况。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0319"/>
      <w:r>
        <w:rPr>
          <w:rFonts w:hint="eastAsia" w:hAnsi="Calibri"/>
          <w:b/>
          <w:color w:val="000000"/>
        </w:rPr>
        <w:t>§9  基金份额持有人信息</w:t>
      </w:r>
      <w:bookmarkEnd w:id="48"/>
    </w:p>
    <w:p>
      <w:pPr>
        <w:pStyle w:val="13"/>
        <w:rPr>
          <w:rFonts w:hint="eastAsia"/>
        </w:rPr>
      </w:pPr>
      <w:bookmarkStart w:id="49" w:name="_Toc510100320"/>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911"/>
        <w:gridCol w:w="991"/>
        <w:gridCol w:w="1911"/>
        <w:gridCol w:w="9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108,563.90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113,822,565.29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102,002,467.21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47.26%</w:t>
            </w:r>
          </w:p>
        </w:tc>
      </w:tr>
    </w:tbl>
    <w:p>
      <w:pPr>
        <w:pStyle w:val="13"/>
        <w:rPr>
          <w:rFonts w:hint="eastAsia"/>
        </w:rPr>
      </w:pPr>
      <w:bookmarkStart w:id="50" w:name="_Toc510100321"/>
      <w:r>
        <w:rPr>
          <w:rFonts w:hint="eastAsia"/>
          <w:b/>
          <w:bCs/>
        </w:rPr>
        <w:t>9.2期末上市基金前十名持有人</w:t>
      </w:r>
      <w:bookmarkEnd w:id="50"/>
    </w:p>
    <w:tbl>
      <w:tblPr>
        <w:tblStyle w:val="7"/>
        <w:tblW w:w="9045" w:type="dxa"/>
        <w:tblInd w:w="108" w:type="dxa"/>
        <w:tblLayout w:type="autofit"/>
        <w:tblCellMar>
          <w:top w:w="0" w:type="dxa"/>
          <w:left w:w="108" w:type="dxa"/>
          <w:bottom w:w="0" w:type="dxa"/>
          <w:right w:w="108" w:type="dxa"/>
        </w:tblCellMar>
      </w:tblPr>
      <w:tblGrid>
        <w:gridCol w:w="9045"/>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widowControl/>
        <w:jc w:val="left"/>
        <w:rPr>
          <w:rFonts w:ascii="宋体" w:hAnsi="宋体" w:cs="宋体"/>
          <w:kern w:val="0"/>
          <w:sz w:val="24"/>
          <w:szCs w:val="24"/>
        </w:rPr>
      </w:pPr>
    </w:p>
    <w:p>
      <w:pPr>
        <w:pStyle w:val="13"/>
        <w:rPr>
          <w:rFonts w:hint="eastAsia"/>
        </w:rPr>
      </w:pPr>
      <w:bookmarkStart w:id="51" w:name="_Toc510100322"/>
      <w:r>
        <w:rPr>
          <w:rFonts w:hint="eastAsia" w:hAnsi="Calibri"/>
          <w:b/>
          <w:color w:val="000000"/>
        </w:rPr>
        <w:t>9.3期末基金管理人的从业人员持有本基金的情况</w:t>
      </w:r>
      <w:bookmarkEnd w:id="51"/>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49,594.54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0.0200%</w:t>
            </w:r>
          </w:p>
        </w:tc>
      </w:tr>
    </w:tbl>
    <w:p>
      <w:pPr>
        <w:widowControl/>
        <w:jc w:val="left"/>
        <w:rPr>
          <w:rFonts w:hint="eastAsia" w:ascii="宋体" w:hAnsi="宋体" w:cs="宋体"/>
          <w:kern w:val="0"/>
          <w:sz w:val="24"/>
          <w:szCs w:val="24"/>
        </w:rPr>
      </w:pPr>
    </w:p>
    <w:p>
      <w:pPr>
        <w:pStyle w:val="13"/>
        <w:rPr>
          <w:rFonts w:hint="eastAsia"/>
        </w:rPr>
      </w:pPr>
      <w:bookmarkStart w:id="52" w:name="_Toc510100323"/>
      <w:r>
        <w:rPr>
          <w:rFonts w:hint="eastAsia"/>
          <w:b/>
          <w:bCs/>
        </w:rPr>
        <w:t>9.4期末基金管理人的从业人员持有本开放式基金份额总量区间情况</w:t>
      </w:r>
      <w:bookmarkEnd w:id="52"/>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3" w:name="_Toc510100324"/>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基金合同生效日(2017年07月07日)基金份额总额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215,825,033.02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0.52</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215,825,032.50</w:t>
            </w:r>
          </w:p>
        </w:tc>
      </w:tr>
    </w:tbl>
    <w:p>
      <w:pPr>
        <w:pStyle w:val="12"/>
        <w:rPr>
          <w:rFonts w:hint="eastAsia"/>
        </w:rPr>
      </w:pPr>
      <w:bookmarkStart w:id="54" w:name="_Toc510100325"/>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3"/>
        <w:rPr>
          <w:rFonts w:hint="eastAsia"/>
        </w:rPr>
      </w:pPr>
      <w:bookmarkStart w:id="55" w:name="_Toc510100326"/>
      <w:r>
        <w:rPr>
          <w:rFonts w:hint="eastAsia"/>
          <w:b/>
          <w:bCs/>
        </w:rPr>
        <w:t>11.1 基金份额持有人大会决议</w:t>
      </w:r>
      <w:bookmarkEnd w:id="55"/>
    </w:p>
    <w:p>
      <w:pPr>
        <w:pStyle w:val="19"/>
        <w:rPr>
          <w:rFonts w:hint="eastAsia"/>
        </w:rPr>
      </w:pPr>
      <w:r>
        <w:rPr>
          <w:rFonts w:hint="eastAsia"/>
        </w:rPr>
        <w:t>  本报告期内未召开基金份额持有人大会。</w:t>
      </w:r>
    </w:p>
    <w:p>
      <w:pPr>
        <w:pStyle w:val="13"/>
        <w:rPr>
          <w:rFonts w:hint="eastAsia"/>
        </w:rPr>
      </w:pPr>
      <w:bookmarkStart w:id="56" w:name="_Toc510100327"/>
      <w:r>
        <w:rPr>
          <w:rFonts w:hint="eastAsia"/>
          <w:b/>
          <w:bCs/>
        </w:rPr>
        <w:t>11.2 基金管理人、基金托管人的专门基金托管部门的重大人事变动</w:t>
      </w:r>
      <w:bookmarkEnd w:id="56"/>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7" w:name="_Toc510100328"/>
      <w:r>
        <w:rPr>
          <w:rFonts w:hint="eastAsia"/>
          <w:b/>
          <w:bCs/>
        </w:rPr>
        <w:t>11.3 涉及基金管理人、基金财产、基金托管业务的诉讼</w:t>
      </w:r>
      <w:bookmarkEnd w:id="57"/>
    </w:p>
    <w:p>
      <w:pPr>
        <w:pStyle w:val="19"/>
        <w:rPr>
          <w:rFonts w:hint="eastAsia"/>
        </w:rPr>
      </w:pPr>
      <w:r>
        <w:rPr>
          <w:rFonts w:hint="eastAsia"/>
        </w:rPr>
        <w:t>  本报告期内，未出现涉及基金管理人、基金财产、基金托管业务的诉讼。</w:t>
      </w:r>
    </w:p>
    <w:p>
      <w:pPr>
        <w:pStyle w:val="13"/>
        <w:rPr>
          <w:rFonts w:hint="eastAsia"/>
        </w:rPr>
      </w:pPr>
      <w:bookmarkStart w:id="58" w:name="_Toc510100329"/>
      <w:r>
        <w:rPr>
          <w:rFonts w:hint="eastAsia"/>
          <w:b/>
          <w:bCs/>
        </w:rPr>
        <w:t>11.4 基金投资策略的改变</w:t>
      </w:r>
      <w:bookmarkEnd w:id="58"/>
    </w:p>
    <w:p>
      <w:pPr>
        <w:pStyle w:val="19"/>
        <w:rPr>
          <w:rFonts w:hint="eastAsia"/>
        </w:rPr>
      </w:pPr>
      <w:r>
        <w:rPr>
          <w:rFonts w:hint="eastAsia"/>
        </w:rPr>
        <w:t>  本报告期内基金投资策略无重大改变。</w:t>
      </w:r>
    </w:p>
    <w:p>
      <w:pPr>
        <w:pStyle w:val="13"/>
        <w:rPr>
          <w:rFonts w:hint="eastAsia"/>
        </w:rPr>
      </w:pPr>
      <w:bookmarkStart w:id="59" w:name="_Toc510100330"/>
      <w:r>
        <w:rPr>
          <w:rFonts w:hint="eastAsia"/>
          <w:b/>
          <w:bCs/>
        </w:rPr>
        <w:t>11.5 为基金进行审计的会计师事务所情况</w:t>
      </w:r>
      <w:bookmarkEnd w:id="59"/>
    </w:p>
    <w:p>
      <w:pPr>
        <w:pStyle w:val="19"/>
        <w:rPr>
          <w:rFonts w:hint="eastAsia"/>
        </w:rPr>
      </w:pPr>
      <w:r>
        <w:rPr>
          <w:rFonts w:hint="eastAsia"/>
        </w:rPr>
        <w:t>  本报告期内本基金未更换会计师事务所,本年度支付给普华永道中天会计师事务所(特殊普通合伙)审计费用65,000.00元,该审计机构连续提供审计服务的年限为1年。 </w:t>
      </w:r>
    </w:p>
    <w:p>
      <w:pPr>
        <w:pStyle w:val="13"/>
        <w:rPr>
          <w:rFonts w:hint="eastAsia"/>
        </w:rPr>
      </w:pPr>
      <w:bookmarkStart w:id="60" w:name="_Toc510100331"/>
      <w:r>
        <w:rPr>
          <w:rFonts w:hint="eastAsia"/>
          <w:b/>
          <w:bCs/>
        </w:rPr>
        <w:t>11.6 管理人、托管人及其高级管理人员受稽查或处罚等情况</w:t>
      </w:r>
      <w:bookmarkEnd w:id="60"/>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1" w:name="_Toc510100332"/>
      <w:r>
        <w:rPr>
          <w:rFonts w:hint="eastAsia"/>
          <w:b/>
          <w:bCs/>
        </w:rPr>
        <w:t>11.7 基金租用证券公司交易单元的有关情况</w:t>
      </w:r>
      <w:bookmarkEnd w:id="61"/>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20"/>
        <w:gridCol w:w="1050"/>
        <w:gridCol w:w="1276"/>
        <w:gridCol w:w="1070"/>
        <w:gridCol w:w="698"/>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64,839,021.52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60,053.09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919,705.02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563,522.36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412.10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696,641.52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509.45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362,262.71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264.92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43,981,097.53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31,676.80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727"/>
        <w:gridCol w:w="1050"/>
        <w:gridCol w:w="769"/>
        <w:gridCol w:w="1050"/>
        <w:gridCol w:w="599"/>
        <w:gridCol w:w="1050"/>
        <w:gridCol w:w="59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366,787,280.59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5,004,160,000.00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578,500,000.00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373,100,000.00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18,049,767.29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423,900,000.00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218,500,000.00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855,400,000.00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2" w:name="_Toc510100333"/>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创金合信鼎鑫睿选定期开放混合型证券投资基金（LOF）开展场外认购费率优惠活动的公告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创金合信鼎鑫睿选定期开放混合型证券投资基金（LOF）上网发售提示性公告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创金合信鼎鑫睿选定期开放混合型证券投资基金（LOF）关于增加招商银行为代销机构的公告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创金合信鼎鑫睿选定期开放混合型证券投资基金（LOF）关于增加光大证券为代销机构的公告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创金合信鼎鑫睿选定期开放混合型证券投资基金（LOF）关于基金合同、基金合同摘要、托管协议、招募说明书的更正公告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创金合信基金管理有限公司关于创金合信鼎鑫睿选定期开放混合型证券投资基金（LOF）延长募集期的公告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创金合信鼎鑫睿选定期开放混合型证券投资基金（LOF）关于增加海通证券为代销机构的公告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创金合信基金管理有限公司旗下部分开放式证券投资基金增加东莞证券股份有限公司为代销机构的公告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创金合信基金管理有限公司关于创金合信鼎鑫睿选定期开放混合型证券投资基金（LOF）延长募集期的公告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创金合信鼎鑫睿选定期开放混合型证券投资基金（LOF）关于增加长城证券为代销机构暨参加长城证券费率优惠活动的公告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创金合信鼎鑫睿选定期开放混合型证券投资基金（LOF）上市交易公告书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创金合信基金管理有限公司关于创金合信鼎鑫睿选定期开放混合型证券投资基金（LOF）开通跨系统转托管业务的公告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创金合信鼎鑫睿选定期开放混合型证券投资基金（LOF）上市交易提示性公告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创金合信基金管理有限公司关于旗下创金合信鼎鑫睿选定期开放混合型证券投资基金（LOF）调整最低持有份额的公告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创金合信鼎鑫睿选定期开放混合型证券投资基金2017年第3季度报告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3" w:name="_Toc510100334"/>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0335"/>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20170707-20171231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90,007,100.00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90,007,100.00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336"/>
      <w:r>
        <w:rPr>
          <w:rFonts w:hint="eastAsia"/>
          <w:b/>
          <w:bCs/>
        </w:rPr>
        <w:t>12.2 影响投资者决策的其他重要信息</w:t>
      </w:r>
      <w:bookmarkEnd w:id="65"/>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6" w:name="_Toc510100337"/>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3"/>
        <w:rPr>
          <w:rFonts w:hint="eastAsia"/>
        </w:rPr>
      </w:pPr>
      <w:bookmarkStart w:id="67" w:name="_Toc510100338"/>
      <w:r>
        <w:rPr>
          <w:rFonts w:hint="eastAsia"/>
          <w:b/>
          <w:bCs/>
        </w:rPr>
        <w:t>13.1 备查文件目录</w:t>
      </w:r>
      <w:r>
        <w:rPr>
          <w:rFonts w:hint="eastAsia"/>
        </w:rPr>
        <w:t>.</w:t>
      </w:r>
      <w:bookmarkEnd w:id="67"/>
    </w:p>
    <w:p>
      <w:pPr>
        <w:pStyle w:val="19"/>
        <w:rPr>
          <w:rFonts w:hint="eastAsia"/>
        </w:rPr>
      </w:pPr>
      <w:r>
        <w:rPr>
          <w:rFonts w:hint="eastAsia"/>
        </w:rPr>
        <w:t>  1、《创金合信鼎鑫睿选定期开放混合型证券投资基金（LOF）基金合同》;</w:t>
      </w:r>
      <w:r>
        <w:rPr>
          <w:rFonts w:hint="eastAsia"/>
        </w:rPr>
        <w:br w:type="textWrapping"/>
      </w:r>
      <w:r>
        <w:rPr>
          <w:rFonts w:hint="eastAsia"/>
        </w:rPr>
        <w:t>  2、《创金合信鼎鑫睿选定期开放混合型证券投资基金（LOF）托管协议》;</w:t>
      </w:r>
      <w:r>
        <w:rPr>
          <w:rFonts w:hint="eastAsia"/>
        </w:rPr>
        <w:br w:type="textWrapping"/>
      </w:r>
      <w:r>
        <w:rPr>
          <w:rFonts w:hint="eastAsia"/>
        </w:rPr>
        <w:t>  3、创金合信鼎鑫睿选定期开放混合型证券投资基金（LOF）2017年年度报告</w:t>
      </w:r>
    </w:p>
    <w:p>
      <w:pPr>
        <w:pStyle w:val="13"/>
        <w:rPr>
          <w:rFonts w:hint="eastAsia"/>
        </w:rPr>
      </w:pPr>
      <w:bookmarkStart w:id="68" w:name="_Toc510100339"/>
      <w:r>
        <w:rPr>
          <w:rFonts w:hint="eastAsia"/>
          <w:b/>
          <w:bCs/>
        </w:rPr>
        <w:t>13.2 存放地点</w:t>
      </w:r>
      <w:bookmarkEnd w:id="68"/>
    </w:p>
    <w:p>
      <w:pPr>
        <w:pStyle w:val="19"/>
        <w:rPr>
          <w:rFonts w:hint="eastAsia"/>
        </w:rPr>
      </w:pPr>
      <w:r>
        <w:rPr>
          <w:rFonts w:hint="eastAsia"/>
        </w:rPr>
        <w:t>  深圳市福田中心区福华一路115号投行大厦15楼</w:t>
      </w:r>
    </w:p>
    <w:p>
      <w:pPr>
        <w:pStyle w:val="13"/>
        <w:rPr>
          <w:rFonts w:hint="eastAsia"/>
        </w:rPr>
      </w:pPr>
      <w:bookmarkStart w:id="69" w:name="_Toc510100340"/>
      <w:r>
        <w:rPr>
          <w:rFonts w:hint="eastAsia"/>
          <w:b/>
          <w:bCs/>
        </w:rPr>
        <w:t>13.3 查阅方式</w:t>
      </w:r>
      <w:bookmarkEnd w:id="69"/>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5</w:t>
    </w:r>
    <w:r>
      <w:rPr>
        <w:rStyle w:val="9"/>
      </w:rPr>
      <w:fldChar w:fldCharType="end"/>
    </w:r>
  </w:p>
  <w:p>
    <w:pPr>
      <w:pStyle w:val="2"/>
      <w:jc w:val="center"/>
    </w:pPr>
    <w:r>
      <w:rPr>
        <w:rFonts w:hint="eastAsia"/>
      </w:rPr>
      <w:t xml:space="preserve">                   第       页，共68页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创金合信鼎鑫睿选定期开放混合型证券投资基金（LOF）2017年年度报告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76AD"/>
    <w:rsid w:val="00006BA6"/>
    <w:rsid w:val="000476AD"/>
    <w:rsid w:val="0087563C"/>
    <w:rsid w:val="00C16FFC"/>
    <w:rsid w:val="3A2B0CB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 w:type="character" w:customStyle="1" w:styleId="29">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7990</Words>
  <Characters>45544</Characters>
  <Lines>379</Lines>
  <Paragraphs>106</Paragraphs>
  <TotalTime>0</TotalTime>
  <ScaleCrop>false</ScaleCrop>
  <LinksUpToDate>false</LinksUpToDate>
  <CharactersWithSpaces>53428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2018-03-29T07:22:00Z</dcterms:created>
  <dc:creator>贺祎琪</dc:creator>
  <cp:lastModifiedBy>Administrator</cp:lastModifiedBy>
  <dcterms:modified xsi:type="dcterms:W3CDTF">2019-12-26T14:11:24Z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