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创金合信鼎鑫睿选定期开放混合型证券投资基金（LOF）</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526110"/>
      <w:r>
        <w:rPr>
          <w:rFonts w:hint="eastAsia" w:hAnsi="Calibri"/>
          <w:b/>
          <w:color w:val="000000"/>
        </w:rPr>
        <w:t>§1  重要提示及目录</w:t>
      </w:r>
      <w:bookmarkEnd w:id="0"/>
      <w:r>
        <w:rPr>
          <w:rFonts w:hint="eastAsia"/>
        </w:rPr>
        <w:t xml:space="preserve"> </w:t>
      </w:r>
    </w:p>
    <w:p>
      <w:pPr>
        <w:pStyle w:val="13"/>
        <w:rPr>
          <w:rFonts w:hint="eastAsia"/>
        </w:rPr>
      </w:pPr>
      <w:bookmarkStart w:id="1" w:name="_Toc4526111"/>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526112"/>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"_Toc4526110"</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_Toc4526110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"_Toc4526111"</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_Toc4526111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"_Toc4526112"</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_Toc4526112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"_Toc4526113"</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_Toc4526113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"_Toc4526114"</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_Toc4526114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"_Toc4526115"</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_Toc4526115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"_Toc4526116"</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_Toc4526116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"_Toc4526117"</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_Toc4526117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"_Toc4526118"</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_Toc4526118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"_Toc4526119"</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_Toc4526119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"_Toc4526120"</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_Toc4526120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"_Toc4526121"</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_Toc4526121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"_Toc4526122"</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_Toc4526122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"_Toc4526123"</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_Toc4526123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"_Toc4526124"</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_Toc4526124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"_Toc4526125"</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_Toc4526125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"_Toc4526126"</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_Toc4526126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"_Toc4526127"</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_Toc4526127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"_Toc4526128"</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_Toc4526128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"_Toc4526129"</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_Toc4526129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"_Toc4526130"</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_Toc4526130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"_Toc4526131"</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_Toc4526131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"_Toc4526132"</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_Toc4526132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"_Toc4526133"</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_Toc4526133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"_Toc4526134"</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_Toc4526134 \h </w:instrText>
      </w:r>
      <w:r>
        <w:rPr>
          <w:lang/>
        </w:rPr>
        <w:fldChar w:fldCharType="separate"/>
      </w:r>
      <w:r>
        <w:rPr>
          <w:lang/>
        </w:rPr>
        <w:t>16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"_Toc4526135"</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_Toc4526135 \h </w:instrText>
      </w:r>
      <w:r>
        <w:rPr>
          <w:lang/>
        </w:rPr>
        <w:fldChar w:fldCharType="separate"/>
      </w:r>
      <w:r>
        <w:rPr>
          <w:lang/>
        </w:rPr>
        <w:t>16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"_Toc4526136"</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_Toc4526136 \h </w:instrText>
      </w:r>
      <w:r>
        <w:rPr>
          <w:lang/>
        </w:rPr>
        <w:fldChar w:fldCharType="separate"/>
      </w:r>
      <w:r>
        <w:rPr>
          <w:lang/>
        </w:rPr>
        <w:t>16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"_Toc4526137"</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_Toc4526137 \h </w:instrText>
      </w:r>
      <w:r>
        <w:rPr>
          <w:lang/>
        </w:rPr>
        <w:fldChar w:fldCharType="separate"/>
      </w:r>
      <w:r>
        <w:rPr>
          <w:lang/>
        </w:rPr>
        <w:t>16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"_Toc4526138"</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_Toc4526138 \h </w:instrText>
      </w:r>
      <w:r>
        <w:rPr>
          <w:lang/>
        </w:rPr>
        <w:fldChar w:fldCharType="separate"/>
      </w:r>
      <w:r>
        <w:rPr>
          <w:lang/>
        </w:rPr>
        <w:t>16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"_Toc4526139"</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_Toc4526139 \h </w:instrText>
      </w:r>
      <w:r>
        <w:rPr>
          <w:lang/>
        </w:rPr>
        <w:fldChar w:fldCharType="separate"/>
      </w:r>
      <w:r>
        <w:rPr>
          <w:lang/>
        </w:rPr>
        <w:t>16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"_Toc4526140"</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_Toc4526140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"_Toc4526141"</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_Toc4526141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"_Toc4526142"</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_Toc4526142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"_Toc4526143"</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_Toc4526143 \h </w:instrText>
      </w:r>
      <w:r>
        <w:rPr>
          <w:lang/>
        </w:rPr>
        <w:fldChar w:fldCharType="separate"/>
      </w:r>
      <w:r>
        <w:rPr>
          <w:lang/>
        </w:rPr>
        <w:t>22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"_Toc4526144"</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_Toc4526144 \h </w:instrText>
      </w:r>
      <w:r>
        <w:rPr>
          <w:lang/>
        </w:rPr>
        <w:fldChar w:fldCharType="separate"/>
      </w:r>
      <w:r>
        <w:rPr>
          <w:lang/>
        </w:rPr>
        <w:t>24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"_Toc4526145"</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_Toc4526145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"_Toc4526146"</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_Toc4526146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"_Toc4526147"</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_Toc4526147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"_Toc4526148"</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_Toc4526148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"_Toc4526149"</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_Toc4526149 \h </w:instrText>
      </w:r>
      <w:r>
        <w:rPr>
          <w:lang/>
        </w:rPr>
        <w:fldChar w:fldCharType="separate"/>
      </w:r>
      <w:r>
        <w:rPr>
          <w:lang/>
        </w:rPr>
        <w:t>64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"_Toc4526150"</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_Toc4526150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"_Toc4526151"</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_Toc4526151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"_Toc4526152"</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_Toc4526152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"_Toc4526153"</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_Toc4526153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"_Toc4526154"</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_Toc4526154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"_Toc4526155"</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_Toc4526155 \h </w:instrText>
      </w:r>
      <w:r>
        <w:rPr>
          <w:lang/>
        </w:rPr>
        <w:fldChar w:fldCharType="separate"/>
      </w:r>
      <w:r>
        <w:rPr>
          <w:lang/>
        </w:rPr>
        <w:t>67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"_Toc4526156"</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_Toc4526156 \h </w:instrText>
      </w:r>
      <w:r>
        <w:rPr>
          <w:lang/>
        </w:rPr>
        <w:fldChar w:fldCharType="separate"/>
      </w:r>
      <w:r>
        <w:rPr>
          <w:lang/>
        </w:rPr>
        <w:t>67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"_Toc4526157"</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_Toc4526157 \h </w:instrText>
      </w:r>
      <w:r>
        <w:rPr>
          <w:lang/>
        </w:rPr>
        <w:fldChar w:fldCharType="separate"/>
      </w:r>
      <w:r>
        <w:rPr>
          <w:lang/>
        </w:rPr>
        <w:t>67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"_Toc4526158"</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_Toc4526158 \h </w:instrText>
      </w:r>
      <w:r>
        <w:rPr>
          <w:lang/>
        </w:rPr>
        <w:fldChar w:fldCharType="separate"/>
      </w:r>
      <w:r>
        <w:rPr>
          <w:lang/>
        </w:rPr>
        <w:t>68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"_Toc4526159"</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_Toc4526159 \h </w:instrText>
      </w:r>
      <w:r>
        <w:rPr>
          <w:lang/>
        </w:rPr>
        <w:fldChar w:fldCharType="separate"/>
      </w:r>
      <w:r>
        <w:rPr>
          <w:lang/>
        </w:rPr>
        <w:t>68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"_Toc4526160"</w:instrText>
      </w:r>
      <w:r>
        <w:rPr>
          <w:rStyle w:val="10"/>
          <w:lang/>
        </w:rPr>
        <w:instrText xml:space="preserve"> </w:instrText>
      </w:r>
      <w:r>
        <w:rPr>
          <w:rStyle w:val="10"/>
          <w:lang/>
        </w:rPr>
        <w:fldChar w:fldCharType="separate"/>
      </w:r>
      <w:r>
        <w:rPr>
          <w:rStyle w:val="10"/>
          <w:b/>
          <w:bCs/>
          <w:lang/>
        </w:rPr>
        <w:t xml:space="preserve">9.2 </w:t>
      </w:r>
      <w:r>
        <w:rPr>
          <w:rStyle w:val="10"/>
          <w:rFonts w:hint="eastAsia"/>
          <w:b/>
          <w:bCs/>
          <w:lang/>
        </w:rPr>
        <w:t>期末上市基金前十名持有人</w:t>
      </w:r>
      <w:r>
        <w:rPr>
          <w:lang/>
        </w:rPr>
        <w:tab/>
      </w:r>
      <w:r>
        <w:rPr>
          <w:lang/>
        </w:rPr>
        <w:fldChar w:fldCharType="begin"/>
      </w:r>
      <w:r>
        <w:rPr>
          <w:lang/>
        </w:rPr>
        <w:instrText xml:space="preserve"> PAGEREF _Toc4526160 \h </w:instrText>
      </w:r>
      <w:r>
        <w:rPr>
          <w:lang/>
        </w:rPr>
        <w:fldChar w:fldCharType="separate"/>
      </w:r>
      <w:r>
        <w:rPr>
          <w:lang/>
        </w:rPr>
        <w:t>68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"_Toc4526161"</w:instrText>
      </w:r>
      <w:r>
        <w:rPr>
          <w:rStyle w:val="10"/>
          <w:lang/>
        </w:rPr>
        <w:instrText xml:space="preserve"> </w:instrText>
      </w:r>
      <w:r>
        <w:rPr>
          <w:rStyle w:val="10"/>
          <w:lang/>
        </w:rPr>
        <w:fldChar w:fldCharType="separate"/>
      </w:r>
      <w:r>
        <w:rPr>
          <w:rStyle w:val="10"/>
          <w:b/>
          <w:lang/>
        </w:rPr>
        <w:t xml:space="preserve">9.3 </w:t>
      </w:r>
      <w:r>
        <w:rPr>
          <w:rStyle w:val="10"/>
          <w:rFonts w:hint="eastAsia"/>
          <w:b/>
          <w:lang/>
        </w:rPr>
        <w:t>期末基金管理人的从业人员持有本基金的情况</w:t>
      </w:r>
      <w:r>
        <w:rPr>
          <w:lang/>
        </w:rPr>
        <w:tab/>
      </w:r>
      <w:r>
        <w:rPr>
          <w:lang/>
        </w:rPr>
        <w:fldChar w:fldCharType="begin"/>
      </w:r>
      <w:r>
        <w:rPr>
          <w:lang/>
        </w:rPr>
        <w:instrText xml:space="preserve"> PAGEREF _Toc4526161 \h </w:instrText>
      </w:r>
      <w:r>
        <w:rPr>
          <w:lang/>
        </w:rPr>
        <w:fldChar w:fldCharType="separate"/>
      </w:r>
      <w:r>
        <w:rPr>
          <w:lang/>
        </w:rPr>
        <w:t>68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"_Toc4526162"</w:instrText>
      </w:r>
      <w:r>
        <w:rPr>
          <w:rStyle w:val="10"/>
          <w:lang/>
        </w:rPr>
        <w:instrText xml:space="preserve"> </w:instrText>
      </w:r>
      <w:r>
        <w:rPr>
          <w:rStyle w:val="10"/>
          <w:lang/>
        </w:rPr>
        <w:fldChar w:fldCharType="separate"/>
      </w:r>
      <w:r>
        <w:rPr>
          <w:rStyle w:val="10"/>
          <w:b/>
          <w:bCs/>
          <w:lang/>
        </w:rPr>
        <w:t xml:space="preserve">9.4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_Toc4526162 \h </w:instrText>
      </w:r>
      <w:r>
        <w:rPr>
          <w:lang/>
        </w:rPr>
        <w:fldChar w:fldCharType="separate"/>
      </w:r>
      <w:r>
        <w:rPr>
          <w:lang/>
        </w:rPr>
        <w:t>69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"_Toc4526163"</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_Toc4526163 \h </w:instrText>
      </w:r>
      <w:r>
        <w:rPr>
          <w:lang/>
        </w:rPr>
        <w:fldChar w:fldCharType="separate"/>
      </w:r>
      <w:r>
        <w:rPr>
          <w:lang/>
        </w:rPr>
        <w:t>69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"_Toc4526164"</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_Toc4526164 \h </w:instrText>
      </w:r>
      <w:r>
        <w:rPr>
          <w:lang/>
        </w:rPr>
        <w:fldChar w:fldCharType="separate"/>
      </w:r>
      <w:r>
        <w:rPr>
          <w:lang/>
        </w:rPr>
        <w:t>69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"_Toc4526165"</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_Toc4526165 \h </w:instrText>
      </w:r>
      <w:r>
        <w:rPr>
          <w:lang/>
        </w:rPr>
        <w:fldChar w:fldCharType="separate"/>
      </w:r>
      <w:r>
        <w:rPr>
          <w:lang/>
        </w:rPr>
        <w:t>69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"_Toc4526166"</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_Toc4526166 \h </w:instrText>
      </w:r>
      <w:r>
        <w:rPr>
          <w:lang/>
        </w:rPr>
        <w:fldChar w:fldCharType="separate"/>
      </w:r>
      <w:r>
        <w:rPr>
          <w:lang/>
        </w:rPr>
        <w:t>69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"_Toc4526167"</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_Toc4526167 \h </w:instrText>
      </w:r>
      <w:r>
        <w:rPr>
          <w:lang/>
        </w:rPr>
        <w:fldChar w:fldCharType="separate"/>
      </w:r>
      <w:r>
        <w:rPr>
          <w:lang/>
        </w:rPr>
        <w:t>69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"_Toc4526168"</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_Toc4526168 \h </w:instrText>
      </w:r>
      <w:r>
        <w:rPr>
          <w:lang/>
        </w:rPr>
        <w:fldChar w:fldCharType="separate"/>
      </w:r>
      <w:r>
        <w:rPr>
          <w:lang/>
        </w:rPr>
        <w:t>69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"_Toc4526169"</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_Toc4526169 \h </w:instrText>
      </w:r>
      <w:r>
        <w:rPr>
          <w:lang/>
        </w:rPr>
        <w:fldChar w:fldCharType="separate"/>
      </w:r>
      <w:r>
        <w:rPr>
          <w:lang/>
        </w:rPr>
        <w:t>69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"_Toc4526170"</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_Toc4526170 \h </w:instrText>
      </w:r>
      <w:r>
        <w:rPr>
          <w:lang/>
        </w:rPr>
        <w:fldChar w:fldCharType="separate"/>
      </w:r>
      <w:r>
        <w:rPr>
          <w:lang/>
        </w:rPr>
        <w:t>70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"_Toc4526171"</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_Toc4526171 \h </w:instrText>
      </w:r>
      <w:r>
        <w:rPr>
          <w:lang/>
        </w:rPr>
        <w:fldChar w:fldCharType="separate"/>
      </w:r>
      <w:r>
        <w:rPr>
          <w:lang/>
        </w:rPr>
        <w:t>70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"_Toc4526172"</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_Toc4526172 \h </w:instrText>
      </w:r>
      <w:r>
        <w:rPr>
          <w:lang/>
        </w:rPr>
        <w:fldChar w:fldCharType="separate"/>
      </w:r>
      <w:r>
        <w:rPr>
          <w:lang/>
        </w:rPr>
        <w:t>74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"_Toc4526173"</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_Toc4526173 \h </w:instrText>
      </w:r>
      <w:r>
        <w:rPr>
          <w:lang/>
        </w:rPr>
        <w:fldChar w:fldCharType="separate"/>
      </w:r>
      <w:r>
        <w:rPr>
          <w:lang/>
        </w:rPr>
        <w:t>76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"_Toc4526174"</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_Toc4526174 \h </w:instrText>
      </w:r>
      <w:r>
        <w:rPr>
          <w:lang/>
        </w:rPr>
        <w:fldChar w:fldCharType="separate"/>
      </w:r>
      <w:r>
        <w:rPr>
          <w:lang/>
        </w:rPr>
        <w:t>77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"_Toc4526175"</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_Toc4526175 \h </w:instrText>
      </w:r>
      <w:r>
        <w:rPr>
          <w:lang/>
        </w:rPr>
        <w:fldChar w:fldCharType="separate"/>
      </w:r>
      <w:r>
        <w:rPr>
          <w:lang/>
        </w:rPr>
        <w:t>77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"_Toc4526176"</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_Toc4526176 \h </w:instrText>
      </w:r>
      <w:r>
        <w:rPr>
          <w:lang/>
        </w:rPr>
        <w:fldChar w:fldCharType="separate"/>
      </w:r>
      <w:r>
        <w:rPr>
          <w:lang/>
        </w:rPr>
        <w:t>77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"_Toc4526177"</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_Toc4526177 \h </w:instrText>
      </w:r>
      <w:r>
        <w:rPr>
          <w:lang/>
        </w:rPr>
        <w:fldChar w:fldCharType="separate"/>
      </w:r>
      <w:r>
        <w:rPr>
          <w:lang/>
        </w:rPr>
        <w:t>77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"_Toc4526178"</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_Toc4526178 \h </w:instrText>
      </w:r>
      <w:r>
        <w:rPr>
          <w:lang/>
        </w:rPr>
        <w:fldChar w:fldCharType="separate"/>
      </w:r>
      <w:r>
        <w:rPr>
          <w:lang/>
        </w:rPr>
        <w:t>78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"_Toc4526179"</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_Toc4526179 \h </w:instrText>
      </w:r>
      <w:r>
        <w:rPr>
          <w:lang/>
        </w:rPr>
        <w:fldChar w:fldCharType="separate"/>
      </w:r>
      <w:r>
        <w:rPr>
          <w:lang/>
        </w:rPr>
        <w:t>78</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526113"/>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526114"/>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创金合信鼎鑫睿选定期开放混合型证券投资基金（LOF）</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创金合信鼎鑫睿选定开混合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场内简称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创金睿选</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501035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2017年07月07日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215,825,032.50份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基金份额上市的证券交易所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上海证券交易所</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上市日期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2017-09-18</w:t>
            </w:r>
          </w:p>
        </w:tc>
      </w:tr>
    </w:tbl>
    <w:p>
      <w:pPr>
        <w:widowControl/>
        <w:jc w:val="left"/>
        <w:rPr>
          <w:rFonts w:hint="eastAsia" w:ascii="宋体" w:hAnsi="宋体" w:cs="宋体"/>
          <w:kern w:val="0"/>
          <w:sz w:val="24"/>
          <w:szCs w:val="24"/>
        </w:rPr>
      </w:pPr>
    </w:p>
    <w:p>
      <w:pPr>
        <w:pStyle w:val="13"/>
        <w:rPr>
          <w:rFonts w:hint="eastAsia"/>
        </w:rPr>
      </w:pPr>
      <w:bookmarkStart w:id="5" w:name="_Toc4526115"/>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在合理控制风险的基础上，力争实现基金资产的长期稳健增值。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行业轮动效应与定向增发项目优势的深入研究，优选能够改善、提升企业基本面与经营状况的定向增发股票进行投资。将定向增发改善企业基本面与产业结构作为投资主线，形成以定向增发为核心的投资策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中证定向增发事件指数收益率×75%+中债总指数（全价）收益率×25%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本基金为混合型基金，理论上其预期风险与预期收益水平低于股票型基金，高于债券型基金和货币市场基金。</w:t>
            </w:r>
          </w:p>
        </w:tc>
      </w:tr>
    </w:tbl>
    <w:p>
      <w:pPr>
        <w:widowControl/>
        <w:jc w:val="left"/>
        <w:rPr>
          <w:rFonts w:hint="eastAsia" w:ascii="宋体" w:hAnsi="宋体" w:cs="宋体"/>
          <w:kern w:val="0"/>
          <w:sz w:val="24"/>
          <w:szCs w:val="24"/>
        </w:rPr>
      </w:pPr>
    </w:p>
    <w:p>
      <w:pPr>
        <w:pStyle w:val="13"/>
        <w:rPr>
          <w:rFonts w:hint="eastAsia"/>
        </w:rPr>
      </w:pPr>
      <w:bookmarkStart w:id="6" w:name="_Toc4526116"/>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4526117"/>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注：本基金自2019年1月19日起信息披露报纸由《证券时报》、《中国证券报》变更为《证券时报》。</w:t>
      </w:r>
    </w:p>
    <w:p>
      <w:pPr>
        <w:widowControl/>
        <w:jc w:val="left"/>
        <w:rPr>
          <w:rFonts w:hint="eastAsia" w:ascii="宋体" w:hAnsi="宋体" w:cs="宋体"/>
          <w:kern w:val="0"/>
          <w:sz w:val="24"/>
          <w:szCs w:val="24"/>
        </w:rPr>
      </w:pPr>
    </w:p>
    <w:p>
      <w:pPr>
        <w:pStyle w:val="13"/>
        <w:rPr>
          <w:rFonts w:hint="eastAsia"/>
        </w:rPr>
      </w:pPr>
      <w:bookmarkStart w:id="8" w:name="_Toc4526118"/>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中国证券登记结算有限责任公司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北京市西城区太平桥大街17号</w:t>
            </w:r>
          </w:p>
        </w:tc>
      </w:tr>
    </w:tbl>
    <w:p>
      <w:pPr>
        <w:widowControl/>
        <w:jc w:val="left"/>
        <w:rPr>
          <w:rFonts w:hint="eastAsia" w:ascii="宋体" w:hAnsi="宋体" w:cs="宋体"/>
          <w:kern w:val="0"/>
          <w:sz w:val="24"/>
          <w:szCs w:val="24"/>
        </w:rPr>
      </w:pPr>
    </w:p>
    <w:p>
      <w:pPr>
        <w:pStyle w:val="12"/>
        <w:rPr>
          <w:rFonts w:hint="eastAsia"/>
        </w:rPr>
      </w:pPr>
      <w:bookmarkStart w:id="9" w:name="_Toc4526119"/>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526120"/>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508"/>
        <w:gridCol w:w="4426"/>
      </w:tblGrid>
      <w:tr>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2017年07月07日（基金合同生效日）-2017年12月31日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-7,933,488.24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-19,218,423.39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-15,264,091.42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200,560,941.08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4.本基金合同生效日为2017年7月7日，上年度可比期间的相关数据和指标按实际存续期计算。</w:t>
      </w:r>
    </w:p>
    <w:p>
      <w:pPr>
        <w:widowControl/>
        <w:jc w:val="left"/>
        <w:rPr>
          <w:rFonts w:hint="eastAsia" w:ascii="宋体" w:hAnsi="宋体" w:cs="宋体"/>
          <w:kern w:val="0"/>
          <w:sz w:val="24"/>
          <w:szCs w:val="24"/>
        </w:rPr>
      </w:pPr>
    </w:p>
    <w:p>
      <w:pPr>
        <w:pStyle w:val="13"/>
        <w:rPr>
          <w:rFonts w:hint="eastAsia"/>
        </w:rPr>
      </w:pPr>
      <w:bookmarkStart w:id="11" w:name="_Toc4526121"/>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-0.41%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-0.28%</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E:\Bin-0326新客户端\MOD\TMP\CN_50990000_501035_FB010010_20190002_1.jpg" type="#_x0000_t75" style="height:286.5pt;width:441pt;" filled="f" stroked="f" coordsize="21600,21600">
            <v:path/>
            <v:fill on="f" focussize="0,0"/>
            <v:stroke on="f"/>
            <v:imagedata r:id="rId7" grayscale="f" bilevel="f" o:title="CN_50990000_501035_FB010010_20190002_1"/>
            <o:lock v:ext="edit" grouping="f" rotation="f" aspectratio="t"/>
            <w10:wrap type="none"/>
            <w10:anchorlock/>
          </v:shape>
        </w:pict>
      </w:r>
    </w:p>
    <w:p>
      <w:pPr>
        <w:pStyle w:val="19"/>
        <w:rPr>
          <w:rFonts w:hint="eastAsia"/>
        </w:rPr>
      </w:pPr>
      <w:r>
        <w:rPr>
          <w:rFonts w:hint="eastAsia"/>
        </w:rPr>
        <w:t>注：本基金的合同生效日为2017年7月7日，本基金在6个月建仓期结束时，各项资产配置比例符合合同规定。</w: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E:\Bin-0326新客户端\MOD\TMP\CN_50990000_501035_FB010010_20190002_3.jpg" type="#_x0000_t75" style="height:286.5pt;width:441pt;" filled="f" stroked="f" coordsize="21600,21600">
            <v:path/>
            <v:fill on="f" focussize="0,0"/>
            <v:stroke on="f"/>
            <v:imagedata r:id="rId8" grayscale="f" bilevel="f" o:title="CN_50990000_501035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526122"/>
      <w:r>
        <w:rPr>
          <w:rFonts w:hint="eastAsia" w:hAnsi="Calibri"/>
          <w:b/>
          <w:color w:val="000000"/>
        </w:rPr>
        <w:t>3.3 过去三年基金的利润分配情况</w:t>
      </w:r>
      <w:bookmarkEnd w:id="12"/>
    </w:p>
    <w:p>
      <w:pPr>
        <w:pStyle w:val="19"/>
        <w:rPr>
          <w:rFonts w:hint="eastAsia"/>
        </w:rPr>
      </w:pPr>
      <w:r>
        <w:rPr>
          <w:rFonts w:hint="eastAsia"/>
        </w:rPr>
        <w:t>本基金自基金合同生效日(2017年7月7日)至本报告期末未发生利润分配。</w:t>
      </w:r>
    </w:p>
    <w:p>
      <w:pPr>
        <w:widowControl/>
        <w:jc w:val="left"/>
        <w:rPr>
          <w:rFonts w:hint="eastAsia" w:ascii="宋体" w:hAnsi="宋体" w:cs="宋体"/>
          <w:kern w:val="0"/>
          <w:sz w:val="24"/>
          <w:szCs w:val="24"/>
        </w:rPr>
      </w:pPr>
    </w:p>
    <w:p>
      <w:pPr>
        <w:pStyle w:val="12"/>
        <w:rPr>
          <w:rFonts w:hint="eastAsia"/>
        </w:rPr>
      </w:pPr>
      <w:bookmarkStart w:id="13" w:name="_Toc4526123"/>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526124"/>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曹春林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春林先生，中国国籍，厦门大学经济学学士，1998年7月就职于中国银河证券，从事研究工作，2004年3月就职于茂业集团，从事资本运作、证券投资工作，成功操作了A股市场仅有的两例从二级市场收购并控股上市公司的案例，对上市公司的运作转型和并购重组有深刻的理解，擅长从实业的独特视角去看待资本市场，2010年4月加盟第一创业证券，历任资产管理部行业研究员、资产管理部投资部副总监。曾获《证券时报》“2013中国最佳财富管理机构评选”最佳资管产品经理；2014年获《中国基金报》“第一届中国最佳基金经理评选”三年期权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526125"/>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526126"/>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5次，与本基金发生反向交易的基金为公司量化选股策略的基金，同时该产品采用指数化策略进行投资，组合调仓时与量化选股策略基金发生反向，该交易未对当天的股票价格产生冲击。</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526127"/>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hAnsi="Calibri"/>
          <w:color w:val="000000"/>
        </w:rPr>
      </w:pPr>
      <w:r>
        <w:rPr>
          <w:rFonts w:hint="eastAsia" w:hAnsi="Calibri"/>
          <w:color w:val="000000"/>
        </w:rPr>
        <w:t>权益方面，外部中美贸易摩擦有所缓和，主要矛盾转移到内部矛盾中。在过去金融去杠杆的大环境下，企业融资环境转差，流动性压力增大。明年政策预计将继续着力于稳增长，是宽政策之年。不过，预计政策刺激力度可能有限。12月刚召开的中央政治局会议确定了明年稳增长的总体工作方向，但"继续打好三大攻坚战"，即防风险、精准脱贫和环保。稳增长权重阶段性调升，但防风险的政策目标并未放弃。鉴于杠杆是金融风险的源头，因此，面对融资平台和国企在内的广义地方政府债务压力，以及房价泡沫化的制约，过往"地产+基建"的刺激模式将难以大幅实行。</w:t>
      </w:r>
    </w:p>
    <w:p>
      <w:pPr>
        <w:pStyle w:val="19"/>
        <w:spacing w:before="0"/>
        <w:ind w:left="0" w:firstLine="480"/>
        <w:rPr>
          <w:rFonts w:hint="eastAsia" w:hAnsi="Calibri"/>
          <w:color w:val="000000"/>
        </w:rPr>
      </w:pPr>
      <w:r>
        <w:rPr>
          <w:rFonts w:hint="eastAsia" w:hAnsi="Calibri"/>
          <w:color w:val="000000"/>
        </w:rPr>
        <w:t>固收方面，四季度债券市场行情走牛，收益率整体下行，期限利差和信用利差总体压缩，呈现牛平态势。1年AAA信用债小幅下行10bp，10年国开债明显下行56bp至3.64%左右。债市继续走牛的主要因素仍在于经济持续走弱，且货币政策维持中性偏宽的状态。一方面，中美贸易摩擦和美国经济短周期下行，构成中国经济的外部下行压力，而前期政策收紧导致的信用收缩未得到显著缓解，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w:t>
      </w:r>
    </w:p>
    <w:p>
      <w:pPr>
        <w:pStyle w:val="19"/>
        <w:spacing w:before="0"/>
        <w:ind w:left="0" w:firstLine="480"/>
        <w:rPr>
          <w:rFonts w:hint="eastAsia"/>
        </w:rPr>
      </w:pPr>
      <w:r>
        <w:rPr>
          <w:rFonts w:hint="eastAsia" w:hAnsi="Calibri"/>
          <w:color w:val="000000"/>
        </w:rPr>
        <w:t>本产品将继续维持短久期、中高评级的债券投资策略，降低股票市场波动对产品净值的影响，提升产品流动性，更好的把握后续投资机会。</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截至报告期末创金合信鼎鑫睿选定开混合基金份额净值为0.9293元，本报告期内，基金份额净值增长率为-8.74%，同期业绩比较基准收益率为-33.21%。</w:t>
      </w:r>
    </w:p>
    <w:p>
      <w:pPr>
        <w:widowControl/>
        <w:jc w:val="left"/>
        <w:rPr>
          <w:rFonts w:hint="eastAsia" w:ascii="宋体" w:hAnsi="宋体" w:cs="宋体"/>
          <w:kern w:val="0"/>
          <w:sz w:val="24"/>
          <w:szCs w:val="24"/>
        </w:rPr>
      </w:pPr>
    </w:p>
    <w:p>
      <w:pPr>
        <w:pStyle w:val="13"/>
        <w:rPr>
          <w:rFonts w:hint="eastAsia"/>
        </w:rPr>
      </w:pPr>
      <w:bookmarkStart w:id="18" w:name="_Toc4526128"/>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w:t>
      </w:r>
      <w:r>
        <w:rPr>
          <w:rFonts w:hAnsi="Calibri"/>
          <w:color w:val="000000"/>
        </w:rPr>
        <w:t>019</w:t>
      </w:r>
      <w:r>
        <w:rPr>
          <w:rFonts w:hint="eastAsia" w:hAnsi="Calibri"/>
          <w:color w:val="000000"/>
        </w:rPr>
        <w:t>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526129"/>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526130"/>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526131"/>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4526132"/>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526133"/>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526134"/>
      <w:r>
        <w:rPr>
          <w:rFonts w:hint="eastAsia"/>
          <w:b/>
          <w:bCs/>
        </w:rPr>
        <w:t>5.1 报告期内本基金托管人遵规守信情况声明</w:t>
      </w:r>
      <w:bookmarkEnd w:id="24"/>
    </w:p>
    <w:p>
      <w:pPr>
        <w:pStyle w:val="19"/>
        <w:spacing w:before="0"/>
        <w:ind w:left="0" w:firstLine="480"/>
        <w:rPr>
          <w:rFonts w:hint="eastAsia"/>
        </w:rPr>
      </w:pPr>
      <w:r>
        <w:rPr>
          <w:rFonts w:hint="eastAsia"/>
        </w:rPr>
        <w:t>本报告期内，本基金托管人在对创金合信鼎鑫睿选定期开放混合型证券投资基金（LOF）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4526135"/>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本报告期内，创金合信鼎鑫睿选定期开放混合型证券投资基金（LOF）的管理人--创金合信基金管理有限公司在创金合信鼎鑫睿选定期开放混合型证券投资基金（LOF）的投资运作、基金资产净值计算、基金份额申购赎回价格计算、基金费用开支等问题上，不存在任何损害基金份额持有人利益的行为，在各重要方面的运作严格按照基金合同的规定进行。本报告期内，创金合信鼎鑫睿选定期开放混合型证券投资基金（LOF）未进行利润分配。</w:t>
      </w:r>
    </w:p>
    <w:p>
      <w:pPr>
        <w:widowControl/>
        <w:jc w:val="left"/>
        <w:rPr>
          <w:rFonts w:hint="eastAsia" w:ascii="宋体" w:hAnsi="宋体" w:cs="宋体"/>
          <w:kern w:val="0"/>
          <w:sz w:val="24"/>
          <w:szCs w:val="24"/>
        </w:rPr>
      </w:pPr>
    </w:p>
    <w:p>
      <w:pPr>
        <w:pStyle w:val="13"/>
        <w:rPr>
          <w:rFonts w:hint="eastAsia"/>
        </w:rPr>
      </w:pPr>
      <w:bookmarkStart w:id="26" w:name="_Toc4526136"/>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托管人依法对创金合信基金管理有限公司编制和披露的创金合信鼎鑫睿选定期开放混合型证券投资基金（LOF）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2"/>
        <w:rPr>
          <w:rFonts w:hint="eastAsia"/>
        </w:rPr>
      </w:pPr>
      <w:bookmarkStart w:id="27" w:name="_Toc4526137"/>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526138"/>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普华永道中天审字(2019)第24813号</w:t>
            </w:r>
          </w:p>
        </w:tc>
      </w:tr>
    </w:tbl>
    <w:p>
      <w:pPr>
        <w:widowControl/>
        <w:jc w:val="left"/>
        <w:rPr>
          <w:rFonts w:hint="eastAsia" w:ascii="宋体" w:hAnsi="宋体" w:cs="宋体"/>
          <w:kern w:val="0"/>
          <w:sz w:val="24"/>
          <w:szCs w:val="24"/>
        </w:rPr>
      </w:pPr>
    </w:p>
    <w:p>
      <w:pPr>
        <w:pStyle w:val="13"/>
        <w:rPr>
          <w:rFonts w:hint="eastAsia"/>
        </w:rPr>
      </w:pPr>
      <w:bookmarkStart w:id="29" w:name="_Toc4526139"/>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创金合信鼎鑫睿选定期开放混合型证券投资基金(LOF)全体基金份额持有人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我们审计了创金合信鼎鑫睿选定期开放混合型证券投资基金(LOF) (以下简称“ 创金合信鼎鑫睿选定开混合基金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鼎鑫睿选定开混合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按照中国注册会计师职业道德守则，我们独立于创金合信鼎鑫睿选定开混合基金，并履行了职业道德方面的其他责任。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我们提醒财务报表使用者关注，如财务报表附注“7.4.2 会计报表的编制基础”所述， 创金合信鼎鑫睿选定开混合基金的基金管理人创金合信基金管理有限公司(以下简称“基金管理人”)拟在资产负债表日后清算创金合信鼎鑫睿选定开混合基金的剩余资产。因此，上述创金合信鼎鑫睿选定开混合基金的财务报表以清算基础编制。该事项不影响已发表的审计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鼎鑫睿选定开混合基金的持续经营能力，披露与持续经营相关的事项(如适用)，并运用持续经营假设，除非基金管理人管理层计划清算创金合信鼎鑫睿选定开混合基金、终止运营或别无其他现实的选择。参见财务报表附注7.4.2有关以清算基础编制财务报表的说明。 基金管理人治理层负责监督创金合信鼎鑫睿选定开混合基金的财务报告过程。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鼎鑫睿选定开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鼎鑫睿选定开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2019-03-14</w:t>
            </w:r>
          </w:p>
        </w:tc>
      </w:tr>
    </w:tbl>
    <w:p>
      <w:pPr>
        <w:widowControl/>
        <w:jc w:val="left"/>
        <w:rPr>
          <w:rFonts w:hint="eastAsia" w:ascii="宋体" w:hAnsi="宋体" w:cs="宋体"/>
          <w:kern w:val="0"/>
          <w:sz w:val="24"/>
          <w:szCs w:val="24"/>
        </w:rPr>
      </w:pPr>
    </w:p>
    <w:p>
      <w:pPr>
        <w:pStyle w:val="12"/>
        <w:rPr>
          <w:rFonts w:hint="eastAsia"/>
        </w:rPr>
      </w:pPr>
      <w:bookmarkStart w:id="30" w:name="_Toc4526140"/>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526141"/>
      <w:r>
        <w:rPr>
          <w:rFonts w:hint="eastAsia"/>
          <w:b/>
          <w:bCs/>
        </w:rPr>
        <w:t>7.1 资产负债表</w:t>
      </w:r>
      <w:bookmarkEnd w:id="31"/>
    </w:p>
    <w:p>
      <w:pPr>
        <w:pStyle w:val="16"/>
        <w:rPr>
          <w:rFonts w:hint="eastAsia"/>
        </w:rPr>
      </w:pPr>
      <w:r>
        <w:rPr>
          <w:rFonts w:hint="eastAsia"/>
        </w:rPr>
        <w:t>会计主体：创金合信鼎鑫睿选定期开放混合型证券投资基金（LOF）</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68,702,115.06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3,332,877.17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5,178,800.15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46,680.22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138,776,089.71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388,343,892.85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98,219,367.71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40,556,722.00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335,821.98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969,036.18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211,795,085.00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402,243,925.17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181,754,028.11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10,623,470.70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27,428.46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260,918.28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280,450.75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43,486.36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46,741.78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35,740.87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45,358.40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6,896.11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161,053.20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11,234,143.92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182,464,560.70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-15,264,091.42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200,560,941.08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211,795,085.00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402,243,925.17</w:t>
            </w:r>
          </w:p>
        </w:tc>
      </w:tr>
    </w:tbl>
    <w:p>
      <w:pPr>
        <w:pStyle w:val="19"/>
        <w:rPr>
          <w:rFonts w:hint="eastAsia"/>
        </w:rPr>
      </w:pPr>
      <w:r>
        <w:rPr>
          <w:rFonts w:hint="eastAsia"/>
        </w:rPr>
        <w:t>注：1.报告截止日2018年12月31日，基金份额净值0.9293元，基金份额总额215,825,032.50份。</w:t>
      </w:r>
      <w:r>
        <w:rPr>
          <w:rFonts w:hint="eastAsia"/>
        </w:rPr>
        <w:br w:type="textWrapping"/>
      </w:r>
      <w:r>
        <w:rPr>
          <w:rFonts w:hint="eastAsia"/>
        </w:rPr>
        <w:t>2.本基金合同生效日为2017年7月7日，上年度可比期间为2017年7月7日至2017年12月31日。</w:t>
      </w:r>
    </w:p>
    <w:p>
      <w:pPr>
        <w:widowControl/>
        <w:jc w:val="left"/>
        <w:rPr>
          <w:rFonts w:hint="eastAsia" w:ascii="宋体" w:hAnsi="宋体" w:cs="宋体"/>
          <w:kern w:val="0"/>
          <w:sz w:val="24"/>
          <w:szCs w:val="24"/>
        </w:rPr>
      </w:pPr>
    </w:p>
    <w:p>
      <w:pPr>
        <w:pStyle w:val="13"/>
        <w:rPr>
          <w:rFonts w:hint="eastAsia"/>
        </w:rPr>
      </w:pPr>
      <w:bookmarkStart w:id="32" w:name="_Toc4526142"/>
      <w:r>
        <w:rPr>
          <w:rFonts w:hint="eastAsia"/>
          <w:b/>
          <w:bCs/>
        </w:rPr>
        <w:t>7.2 利润表</w:t>
      </w:r>
      <w:bookmarkEnd w:id="32"/>
    </w:p>
    <w:p>
      <w:pPr>
        <w:pStyle w:val="16"/>
        <w:rPr>
          <w:rFonts w:hint="eastAsia"/>
        </w:rPr>
      </w:pPr>
      <w:r>
        <w:rPr>
          <w:rFonts w:hint="eastAsia"/>
        </w:rPr>
        <w:t>会计主体：创金合信鼎鑫睿选定期开放混合型证券投资基金（LOF）</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2017年07月07日（基金合同生效日）至2017年12月31日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-10,730,731.98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8,683,346.49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7,502,852.34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5,447,526.93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110,891.57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94,421.46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7,384,519.31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5,326,241.15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7,441.46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26,864.32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-6,948,649.17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1,271,467.05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-8,364,319.66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2,064,818.09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-1,022,353.08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2,438,023.57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293,004.51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-11,284,935.15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8,487,691.41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4,729,014.52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3,216,395.95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1,586,213.93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536,065.95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264,368.95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576,228.66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116,360.27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3,859,950.99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2,609,241.62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3,859,950.99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2,609,241.62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280,651.67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152,829.75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-19,218,423.39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-19,218,423.39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bl>
    <w:p>
      <w:pPr>
        <w:pStyle w:val="19"/>
        <w:rPr>
          <w:rFonts w:hint="eastAsia"/>
        </w:rPr>
      </w:pPr>
      <w:r>
        <w:rPr>
          <w:rFonts w:hint="eastAsia"/>
        </w:rPr>
        <w:t>注：本基金合同生效日为2017年7月7日，上年度可比期间为2017年7月7日至2017年12月31日。</w:t>
      </w:r>
    </w:p>
    <w:p>
      <w:pPr>
        <w:widowControl/>
        <w:jc w:val="left"/>
        <w:rPr>
          <w:rFonts w:hint="eastAsia" w:ascii="宋体" w:hAnsi="宋体" w:cs="宋体"/>
          <w:kern w:val="0"/>
          <w:sz w:val="24"/>
          <w:szCs w:val="24"/>
        </w:rPr>
      </w:pPr>
    </w:p>
    <w:p>
      <w:pPr>
        <w:pStyle w:val="13"/>
        <w:rPr>
          <w:rFonts w:hint="eastAsia"/>
        </w:rPr>
      </w:pPr>
      <w:bookmarkStart w:id="33" w:name="_Toc4526143"/>
      <w:r>
        <w:rPr>
          <w:rFonts w:hint="eastAsia"/>
          <w:b/>
          <w:bCs/>
        </w:rPr>
        <w:t>7.3 所有者权益（基金净值）变动表</w:t>
      </w:r>
      <w:bookmarkEnd w:id="33"/>
    </w:p>
    <w:p>
      <w:pPr>
        <w:pStyle w:val="16"/>
        <w:rPr>
          <w:rFonts w:hint="eastAsia"/>
        </w:rPr>
      </w:pPr>
      <w:r>
        <w:rPr>
          <w:rFonts w:hint="eastAsia"/>
        </w:rPr>
        <w:t>会计主体：创金合信鼎鑫睿选定期开放混合型证券投资基金（LOF）</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-19,218,423.39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-19,218,423.39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-15,264,091.42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200,560,941.08</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2017年07月07日（基金合同生效日）至2017年12月31日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bl>
    <w:p>
      <w:pPr>
        <w:pStyle w:val="19"/>
        <w:rPr>
          <w:rFonts w:hint="eastAsia"/>
        </w:rPr>
      </w:pPr>
      <w:r>
        <w:rPr>
          <w:rFonts w:hint="eastAsia"/>
        </w:rPr>
        <w:t>注：本基金合同生效日为2017年7月7日，上年度可比期间为2017年7月7日至2017年12月31日。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526144"/>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创金合信鼎鑫睿选定期开放混合型证券投资基金(LOF)(以下简称“本基金”)经中国证券监督管理委员会(以下简称“中国证监会”)证监许可[2017]第151 号《关于准予创金合信鼎鑫睿选定期开放混合型证券投资基金(LOF)注册的批复》核准，由创金合信基金管理有限公司依照《中华人民共和国证券投资基金法》和《创金合信鼎鑫睿选定期开放混合型证券投资基金(LOF)基金合同》负责公开募集。本基金为契约型定期开放式，存续期限不定，首次设立募集不包括认购资金利息共募集人民币215,699,712.96元，业经普华永道中天会计师事务所(特殊普通合伙)普华永道中天验字(2017)第316号验资报告予以验证。经向中国证监会备案，《创金合信鼎鑫睿选定期开放混合型证券投资基金(LOF)基金合同》于2017 年7 月7 日正式生效，基金合同生效日的基金份额总额为215,825,033.02份基金份额，其中认购资金利息折合125,320.06 份基金份额。本基金的基金管理人为创金合信基金管理有限公司，基金托管人为中国工商银行股份有限公司(以下简称“中国工商银行”)。登记机构为中国证券登记结算有限责任公司。</w:t>
      </w:r>
    </w:p>
    <w:p>
      <w:pPr>
        <w:pStyle w:val="19"/>
        <w:spacing w:before="0"/>
        <w:ind w:left="0" w:firstLine="480"/>
        <w:rPr>
          <w:rFonts w:hint="eastAsia"/>
        </w:rPr>
      </w:pPr>
      <w:r>
        <w:rPr>
          <w:rFonts w:hint="eastAsia"/>
        </w:rPr>
        <w:t>根据《创金合信鼎鑫睿选定期开放混合型证券投资基金(LOF)基金合同》的相关规定，本基金的封闭期为自基金合同生效之日起(含)至18个月(含18个月)后的对应日止，若该对应日的次日为非工作日或无该对应日，则该封闭期结束日顺延至下一工作日的前一日。下一个封闭期为首个开放期结束之日次日起至18个月后的对应日的期间，以此类推。本基金在封闭期内不办理申购与赎回业务，但投资人可在本基金上市交易后通过上海证券交易所(以下简称“上交所”) 转让基金份额。</w:t>
      </w:r>
    </w:p>
    <w:p>
      <w:pPr>
        <w:pStyle w:val="19"/>
        <w:spacing w:before="0"/>
        <w:ind w:left="0" w:firstLine="480"/>
        <w:rPr>
          <w:rFonts w:hint="eastAsia"/>
        </w:rPr>
      </w:pPr>
      <w:r>
        <w:rPr>
          <w:rFonts w:hint="eastAsia"/>
        </w:rPr>
        <w:t>经上交所[2017]324号文审核同意，本基金32,663,801.00份基金份额于2017年9月18日在上交所挂牌交易。未上市交易的基金份额托管在场外，基金份额持有人可通过跨系统转托管业务将其转至上交所场内后即可上市流通。</w:t>
      </w:r>
    </w:p>
    <w:p>
      <w:pPr>
        <w:pStyle w:val="19"/>
        <w:spacing w:before="0"/>
        <w:ind w:left="0" w:firstLine="480"/>
        <w:rPr>
          <w:rFonts w:hint="eastAsia"/>
        </w:rPr>
      </w:pPr>
      <w:r>
        <w:rPr>
          <w:rFonts w:hint="eastAsia"/>
        </w:rPr>
        <w:t>根据《中华人民共和国证券投资基金法》和《创金合信鼎鑫睿选定期开放混合型证券投资基金(LOF)基金合同》的有关规定，本基金的投资范围包括国内依法发行上市的股票(包括创业板、中小板以及其他经中国证监会允许基金投资的股票)、债券(包括国债、央行票据、地方政府债、金融债、企业债、公司债、次级债、中期票据、短期融资券、可转换债券、可交换债券等)、资产支持证券、债券回购、银行存款、同业存单、金融衍生品(包括权证、股指期货等)及法律法规或中国证监会允许基金投资的其他金融工具(但须符合中国证监会的相关规定)。本基金的业绩比较基准为：中证定向增发事件指数收益率×75%+中债总指数(全价)收益率×25%。</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鼎鑫睿选定期开放混合型证券投资基金(LOF)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根据《创金合信鼎鑫睿选定期开放混合型证券投资基金(LOF)基金合同》、基金管理人创金合信基金管理有限公司于2019年2月12日发布的《关于创金合信鼎鑫睿选定期开放混合型证券投资基金(LOF)触发基金合同终止情形的公告》及2019年2月19日发布的《关于创金合信鼎鑫睿选定期开放混合型证券投资基金(LOF)基金合同终止及基金财产清算的公告》，本基金于2019年2月26日进入财产清算期，详情参见附注7.4.8.2资产负债表日后事项，因此本基金财务报表以清算基础编制。于2018年12月31日，所有资产以可收回金额和账面价值孰低计量，负债以预计需要清偿的金额计量，其中本基金持有的交易性金融资产的可收回金额为其公允价值减去处置费用后的净额与预计未来现金流量的现值两者之间的较高者。</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本基金会计年度为公历1月1日起至12月31日止。比较财务报表的实际编制期间为2017年7月7日(基金合同生效日)至2017年12月31日。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本基金持有的股票投资、债券投资、资产支持证券投资和衍生工具按如下原则确定公允价值并进行估值：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 每一基金份额享有同等分配权；(2) 在符合有关基金分红条件的前提下，本基金每年收益分配次数最多为12次，每份基金份额每次收益分配比例不得低于每份基金份额该次可供分配利润的10%，若《基金合同》生效不满3个月可不进行收益分配；(3) 本基金收益分配方式分两种：现金分红与红利再投资。登记在登记结算系统中的基金份额，基金份额持有人可选择获取现金红利或将现金红利自动转为基金份额进行再投资，红利再投资的计算方法等有关事项遵循登记机构的相关规定；若基金份额持有人不选择，本基金默认的收益分配方式是现金分红。登记在证券登记系统中的基金份额只能采取现金分红方式，基金份额持有人不能选择红利再投资；(4) 基金收益分配后基金份额净值不能低于面值，即基金收益分配基准日的基金份额净值减去每单位基金份额收益分配金额后不能低于面值；(5) 基金收益分配的发放日距离收益分配基准日的时间不得超过15个工作日；(6) 法律法规或监管机关另有规定的，或证券交易所与登记机构的相关业务规则另有规定的，从其规定。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19"/>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19"/>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pStyle w:val="19"/>
        <w:spacing w:before="0"/>
        <w:ind w:left="0" w:firstLine="480"/>
        <w:rPr>
          <w:rFonts w:hint="eastAsia"/>
        </w:rPr>
      </w:pPr>
      <w:r>
        <w:rPr>
          <w:rFonts w:hint="eastAsia"/>
        </w:rPr>
        <w:t>本基金各项资产的可收回金额为资产的公允价值减去处置费用后的净额与资产预计未来现金流量的现值两者之间的较高者。</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(4) 基金卖出股票按0.1%的税率缴纳股票交易印花税，买入股票不征收股票交易印花税。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68,702,115.06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68,702,115.06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107,541,521.20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98,219,367.71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-9,322,153.49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14,304,709.60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14,317,722.00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13,012.40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26,250,441.55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26,239,000.00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-11,441.55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40,555,151.15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40,556,722.00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1,570.85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148,096,672.35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138,776,089.71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-9,320,582.64</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105,519,538.01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5,841,074.44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182,029,385.13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179,288,780.40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-2,740,604.73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98,830,617.20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97,694,500.00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-1,136,117.20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280,860,002.33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-3,876,721.93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386,379,540.34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388,343,892.85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2,563.55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960,738.98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5,269,119.83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969,036.18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33,343.97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33,868.88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2,396.90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11,489.52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35,740.87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45,358.40</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-7,933,488.24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-11,284,935.15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-19,218,423.39</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-5,943,508.78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-9,320,582.64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-15,264,091.42</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39,407.64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47,634.69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71,141.35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46,509.69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110,891.57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94,421.46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247,086,585.59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4,642,580.54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255,450,905.25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2,577,762.45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-8,364,319.66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2,064,818.09</w:t>
            </w:r>
          </w:p>
        </w:tc>
      </w:tr>
    </w:tbl>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-1,022,353.08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-1,022,353.08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330,749,612.65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156,098,794.27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322,757,133.72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152,221,345.16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9,014,832.01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4,963,804.66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-1,022,353.08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2,438,023.57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293,004.51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2,438,023.57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293,004.51</w:t>
            </w:r>
          </w:p>
        </w:tc>
      </w:tr>
    </w:tbl>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-11,284,935.15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-15,163,227.93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5,841,074.44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3,878,292.78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-3,876,721.93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-11,284,935.15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574,306.16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113,947.77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576,228.66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116,360.27</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280,651.67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152,829.75</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根据《创金合信鼎鑫睿选定期开放混合型证券投资基金(LOF)基金合同》、基金管理人创金合信基金管理有限公司于2019年2月12日发布的《关于创金合信鼎鑫睿选定期开放混合型证券投资基金(LOF)触发基金合同终止情形的公告》及2019年2月19日发布的《关于创金合信鼎鑫睿选定期开放混合型证券投资基金(LOF)基金合同终止及基金财产清算的公告》，本基金于2019年2月26日进入财产清算程序。</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pPr>
      <w:r>
        <w:rPr>
          <w:rFonts w:hint="eastAsia"/>
        </w:rPr>
        <w:t>本报告期不存在重大关联方发生变化的情况。</w:t>
      </w:r>
    </w:p>
    <w:p>
      <w:pPr>
        <w:pStyle w:val="14"/>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3,216,395.95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1,586,213.93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613,721.46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337,199.46</w:t>
            </w:r>
          </w:p>
        </w:tc>
      </w:tr>
    </w:tbl>
    <w:p>
      <w:pPr>
        <w:pStyle w:val="19"/>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2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536,065.95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264,368.95</w:t>
            </w:r>
          </w:p>
        </w:tc>
      </w:tr>
    </w:tbl>
    <w:p>
      <w:pPr>
        <w:pStyle w:val="19"/>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68,702,115.06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39,407.64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47,634.69</w:t>
            </w:r>
          </w:p>
        </w:tc>
      </w:tr>
    </w:tbl>
    <w:p>
      <w:pPr>
        <w:pStyle w:val="19"/>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125,800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2,187,926.95</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2,014,058.00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20,086,000.00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20,086,000.00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58,074,029.00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218,909,251.40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14,317,722.00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20,470,722.00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于2018年12月31日本基金所承担的全部金融负债的合约约定到期日均为一个月以内且不计息，因此账面余额约为未折现的合约到期现金流量。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1.03%。</w:t>
      </w:r>
    </w:p>
    <w:p>
      <w:pPr>
        <w:pStyle w:val="19"/>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1949"/>
        <w:gridCol w:w="1836"/>
        <w:gridCol w:w="1723"/>
        <w:gridCol w:w="1836"/>
        <w:gridCol w:w="183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68,702,115.06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68,702,115.06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3,332,877.17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3,332,877.17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14,966.88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14,966.88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40,556,722.00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98,219,367.71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138,776,089.71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969,036.18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969,036.18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112,606,681.11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99,188,403.89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211,795,085.00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10,623,470.70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10,623,470.70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260,918.28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260,918.28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43,486.36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43,486.36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35,740.87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35,740.87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6,896.11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6,896.11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-868.40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-868.40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264,500.00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11,234,143.92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11,234,143.92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112,606,681.11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87,954,259.97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200,560,941.08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3,064,306.58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3,064,306.58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5,178,800.15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5,178,800.15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46,680.22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46,680.22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52,975,900.00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205,043,351.40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18,964,029.00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111,360,612.45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388,343,892.85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335,821.98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5,274,423.39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5,274,423.39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61,265,686.95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205,043,351.40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18,964,029.00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116,970,857.82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402,243,925.17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181,754,028.11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181,754,028.11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27,428.46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27,428.46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280,450.75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280,450.75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46,741.78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46,741.78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45,358.40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45,358.40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161,053.20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161,053.20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181,754,028.11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710,532.59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182,464,560.70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-120,488,341.16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205,043,351.40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18,964,029.00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116,260,325.23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219,779,364.47</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-40,753.67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-548,478.86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40,864.71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551,361.55</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19"/>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98,219,367.71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111,360,612.45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98,219,367.71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111,360,612.45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50.67</w:t>
            </w:r>
          </w:p>
        </w:tc>
      </w:tr>
    </w:tbl>
    <w:p>
      <w:pPr>
        <w:widowControl/>
        <w:jc w:val="left"/>
        <w:rPr>
          <w:rFonts w:hint="eastAsia" w:ascii="宋体" w:hAnsi="宋体" w:cs="宋体"/>
          <w:kern w:val="0"/>
          <w:sz w:val="24"/>
          <w:szCs w:val="24"/>
        </w:rPr>
      </w:pPr>
    </w:p>
    <w:p>
      <w:pPr>
        <w:pStyle w:val="14"/>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4,210,290.73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2,451,195.76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-4,210,290.73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-2,451,195.76</w:t>
            </w:r>
          </w:p>
        </w:tc>
      </w:tr>
    </w:tbl>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(1)公允价值</w:t>
      </w:r>
    </w:p>
    <w:p>
      <w:pPr>
        <w:pStyle w:val="19"/>
        <w:spacing w:before="0"/>
        <w:ind w:left="0" w:firstLine="480"/>
        <w:rPr>
          <w:rFonts w:hint="eastAsia"/>
        </w:rPr>
      </w:pPr>
      <w:r>
        <w:rPr>
          <w:rFonts w:hint="eastAsia"/>
        </w:rPr>
        <w:t>(a)金融工具公允价值计量的方法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(b)持续的以公允价值计量的金融工具</w:t>
      </w:r>
    </w:p>
    <w:p>
      <w:pPr>
        <w:pStyle w:val="19"/>
        <w:spacing w:before="0"/>
        <w:ind w:left="0" w:firstLine="480"/>
        <w:rPr>
          <w:rFonts w:hint="eastAsia"/>
        </w:rPr>
      </w:pPr>
      <w:r>
        <w:rPr>
          <w:rFonts w:hint="eastAsia"/>
        </w:rPr>
        <w:t>(i)各层次金融工具公允价值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一层次的余额为96,155,163.91元，属于第二层次的余额为42,620,925.80元，无属于第三层次的余额(2017年12月31日：第一层次139,984,125.40元，第二层次248,359,767.45元，无第三层次) 。</w:t>
      </w:r>
    </w:p>
    <w:p>
      <w:pPr>
        <w:pStyle w:val="19"/>
        <w:spacing w:before="0"/>
        <w:ind w:left="0" w:firstLine="480"/>
        <w:rPr>
          <w:rFonts w:hint="eastAsia"/>
        </w:rPr>
      </w:pPr>
      <w:r>
        <w:rPr>
          <w:rFonts w:hint="eastAsia"/>
        </w:rPr>
        <w:t>(ii)公允价值所属层次间的重大变动</w:t>
      </w:r>
    </w:p>
    <w:p>
      <w:pPr>
        <w:pStyle w:val="19"/>
        <w:spacing w:before="0"/>
        <w:ind w:left="0" w:firstLine="480"/>
        <w:rPr>
          <w:rFonts w:hint="eastAsia"/>
        </w:rPr>
      </w:pPr>
      <w:r>
        <w:rPr>
          <w:rFonts w:hint="eastAsia"/>
        </w:rPr>
        <w:t>本基金以导致各层次之间转换的事项发生日为确认各层次之间转换的时点。</w:t>
      </w:r>
    </w:p>
    <w:p>
      <w:pPr>
        <w:pStyle w:val="19"/>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19"/>
        <w:spacing w:before="0"/>
        <w:ind w:left="0" w:firstLine="480"/>
        <w:rPr>
          <w:rFonts w:hint="eastAsia"/>
        </w:rPr>
      </w:pPr>
      <w:r>
        <w:rPr>
          <w:rFonts w:hint="eastAsia"/>
        </w:rPr>
        <w:t>(iii)第三层次公允价值余额和本期变动金额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526145"/>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526146"/>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98,219,367.71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98,219,367.71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40,556,722.00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40,556,722.00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72,034,992.23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984,003.06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211,795,085.00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526147"/>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641,478.00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3,447,200.00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35,708,752.96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1,592,403.00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4,318,903.00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1,676,684.00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2,596,792.00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3,498,977.00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38,639,809.60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4,210,786.00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507,237.00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27,838.00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222,696.15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98,219,367.71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48.97</w:t>
            </w:r>
          </w:p>
        </w:tc>
      </w:tr>
    </w:tbl>
    <w:p>
      <w:pPr>
        <w:widowControl/>
        <w:jc w:val="left"/>
        <w:rPr>
          <w:rFonts w:hint="eastAsia" w:ascii="宋体" w:hAnsi="宋体" w:cs="宋体"/>
          <w:kern w:val="0"/>
          <w:sz w:val="24"/>
          <w:szCs w:val="24"/>
        </w:rPr>
      </w:pPr>
    </w:p>
    <w:p>
      <w:pPr>
        <w:pStyle w:val="13"/>
        <w:rPr>
          <w:rFonts w:hint="eastAsia"/>
        </w:rPr>
      </w:pPr>
      <w:bookmarkStart w:id="38" w:name="_Toc4526148"/>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9,649,200.00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4,779,081.00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2,968,578.00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2,608,296.00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2,560,338.00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2,223,936.00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2,014,058.00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1,988,844.00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1,482,852.00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1,449,930.00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1,338,165.00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1,284,438.00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1,058,948.00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982,012.00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978,677.40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963,312.00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896,375.00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848,513.00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820,479.00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782,285.00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733,338.00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568,881.00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433,394.06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380,230.50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塔牌集团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以岭药业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平潭发展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广西广电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省广集团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万马股份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南京高科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华映科技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中材国际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中国银河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洪都航空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神州泰岳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三六零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龙净环保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上海凯宝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京能电力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力帆股份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巨力索具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史丹利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106,759.15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领益智造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泰和新材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富森美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白云机场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海普瑞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湘电股份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新大陆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71,749.80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中兵红箭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普邦股份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上海贝岭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古越龙山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金杯电工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吉林高速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重庆港九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北玻股份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益盛药业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维力医疗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珠江啤酒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浙江医药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江特电机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曲江文旅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海南海药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莱宝高科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翠微股份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高鸿股份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浙商证券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金陵药业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胜利精密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华东科技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粤水电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辉煌科技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九阳股份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宗申动力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深桑达A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出版传媒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龙溪股份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建研集团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七匹狼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华联综超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国风塑业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皇氏集团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新希望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南玻A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24,179.40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东信和平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创新医疗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民丰特纸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铁汉生态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新凤鸣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东富龙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朗源股份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景峰医药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皖通高速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石英股份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澳柯玛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吉林化纤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世纪瑞尔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吉林森工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武汉控股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东方盛虹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中电兴发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五洲交通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祥源文化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高盟新材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青山纸业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东华测试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TCL集团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普丽盛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11,529.70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联络互动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国际实业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中闽能源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3"/>
        <w:rPr>
          <w:rFonts w:hint="eastAsia"/>
        </w:rPr>
      </w:pPr>
      <w:bookmarkStart w:id="39" w:name="_Toc4526149"/>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2,496,281.46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1,976,306.00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1,789,195.00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1,746,349.00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1,439,756.00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1,397,893.00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1,395,528.00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1,386,318.00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1,303,694.00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1,303,050.00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1,297,302.00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1,232,437.00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万华化学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1,221,662.50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1,194,909.38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晨鸣纸业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1,193,761.00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1,192,999.74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1,178,352.00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bl>
    <w:p>
      <w:pPr>
        <w:pStyle w:val="19"/>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1,816,525.28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1,688,146.00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1,642,902.90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1,582,320.00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泰禾集团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1,575,219.00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1,566,064.00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1,557,147.00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1,524,162.00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1,444,875.00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1,419,112.00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1,345,399.00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1,336,153.00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1,328,299.00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1,314,821.00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1,311,776.00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1,296,407.00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1,288,364.64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1,253,695.00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0.57</w:t>
            </w:r>
          </w:p>
        </w:tc>
      </w:tr>
    </w:tbl>
    <w:p>
      <w:pPr>
        <w:pStyle w:val="19"/>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257,472,888.44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247,086,585.59</w:t>
            </w:r>
          </w:p>
        </w:tc>
      </w:tr>
    </w:tbl>
    <w:p>
      <w:pPr>
        <w:pStyle w:val="19"/>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3"/>
        <w:rPr>
          <w:rFonts w:hint="eastAsia"/>
        </w:rPr>
      </w:pPr>
      <w:bookmarkStart w:id="40" w:name="_Toc4526150"/>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34,403,722.00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34,403,722.00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40,556,722.00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20.22</w:t>
            </w:r>
          </w:p>
        </w:tc>
      </w:tr>
    </w:tbl>
    <w:p>
      <w:pPr>
        <w:widowControl/>
        <w:jc w:val="left"/>
        <w:rPr>
          <w:rFonts w:hint="eastAsia" w:ascii="宋体" w:hAnsi="宋体" w:cs="宋体"/>
          <w:kern w:val="0"/>
          <w:sz w:val="24"/>
          <w:szCs w:val="24"/>
        </w:rPr>
      </w:pPr>
    </w:p>
    <w:p>
      <w:pPr>
        <w:pStyle w:val="13"/>
        <w:rPr>
          <w:rFonts w:hint="eastAsia"/>
        </w:rPr>
      </w:pPr>
      <w:bookmarkStart w:id="41" w:name="_Toc4526151"/>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18农发07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20,086,000.00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14,317,722.00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12玉环交投债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6,153,000.00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r>
    </w:tbl>
    <w:p>
      <w:pPr>
        <w:widowControl/>
        <w:jc w:val="left"/>
        <w:rPr>
          <w:rFonts w:hint="eastAsia" w:ascii="宋体" w:hAnsi="宋体" w:cs="宋体"/>
          <w:kern w:val="0"/>
          <w:sz w:val="24"/>
          <w:szCs w:val="24"/>
        </w:rPr>
      </w:pPr>
    </w:p>
    <w:p>
      <w:pPr>
        <w:pStyle w:val="13"/>
        <w:rPr>
          <w:rFonts w:hint="eastAsia"/>
        </w:rPr>
      </w:pPr>
      <w:bookmarkStart w:id="42" w:name="_Toc4526152"/>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526153"/>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526154"/>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526155"/>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526156"/>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526157"/>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14,966.88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969,036.18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984,003.06</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2,014,058.00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2"/>
        <w:rPr>
          <w:rFonts w:hint="eastAsia"/>
        </w:rPr>
      </w:pPr>
      <w:bookmarkStart w:id="48" w:name="_Toc4526158"/>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526159"/>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108,237.23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103,678,855.29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112,146,177.21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51.96%</w:t>
            </w:r>
          </w:p>
        </w:tc>
      </w:tr>
    </w:tbl>
    <w:p>
      <w:pPr>
        <w:widowControl/>
        <w:jc w:val="left"/>
        <w:rPr>
          <w:rFonts w:hint="eastAsia" w:ascii="宋体" w:hAnsi="宋体" w:cs="宋体"/>
          <w:kern w:val="0"/>
          <w:sz w:val="24"/>
          <w:szCs w:val="24"/>
        </w:rPr>
      </w:pPr>
    </w:p>
    <w:p>
      <w:pPr>
        <w:pStyle w:val="13"/>
        <w:rPr>
          <w:rFonts w:hint="eastAsia"/>
        </w:rPr>
      </w:pPr>
      <w:bookmarkStart w:id="50" w:name="_Toc4526160"/>
      <w:r>
        <w:rPr>
          <w:rFonts w:hint="eastAsia"/>
          <w:b/>
          <w:bCs/>
        </w:rPr>
        <w:t>9.2 期末上市基金前十名持有人</w:t>
      </w:r>
      <w:bookmarkEnd w:id="50"/>
    </w:p>
    <w:tbl>
      <w:tblPr>
        <w:tblStyle w:val="7"/>
        <w:tblW w:w="9045" w:type="dxa"/>
        <w:tblInd w:w="108" w:type="dxa"/>
        <w:tblLayout w:type="autofit"/>
        <w:tblCellMar>
          <w:top w:w="0" w:type="dxa"/>
          <w:left w:w="108" w:type="dxa"/>
          <w:bottom w:w="0" w:type="dxa"/>
          <w:right w:w="108" w:type="dxa"/>
        </w:tblCellMar>
      </w:tblPr>
      <w:tblGrid>
        <w:gridCol w:w="1118"/>
        <w:gridCol w:w="2925"/>
        <w:gridCol w:w="2501"/>
        <w:gridCol w:w="250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持有人名称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持有份额(份)</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占上市总份额比例(%)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谢西就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4,883,077.00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赵本营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朱群江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3,768,462.00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何燕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谢卓鹏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1,445,550.00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沈盛杰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麻炎平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林宇轩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990,999.00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陆鹿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东莞首富电子有限公司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869,958.00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r>
    </w:tbl>
    <w:p>
      <w:pPr>
        <w:widowControl/>
        <w:jc w:val="left"/>
        <w:rPr>
          <w:rFonts w:hint="eastAsia" w:ascii="宋体" w:hAnsi="宋体" w:cs="宋体"/>
          <w:kern w:val="0"/>
          <w:sz w:val="24"/>
          <w:szCs w:val="24"/>
        </w:rPr>
      </w:pPr>
    </w:p>
    <w:p>
      <w:pPr>
        <w:pStyle w:val="13"/>
        <w:rPr>
          <w:rFonts w:hint="eastAsia"/>
        </w:rPr>
      </w:pPr>
      <w:bookmarkStart w:id="51" w:name="_Toc4526161"/>
      <w:r>
        <w:rPr>
          <w:rFonts w:hint="eastAsia" w:hAnsi="Calibri"/>
          <w:b/>
          <w:color w:val="000000"/>
        </w:rPr>
        <w:t>9.3 期末基金管理人的从业人员持有本基金的情况</w:t>
      </w:r>
      <w:bookmarkEnd w:id="51"/>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3"/>
        <w:rPr>
          <w:rFonts w:hint="eastAsia"/>
        </w:rPr>
      </w:pPr>
      <w:bookmarkStart w:id="52" w:name="_Toc4526162"/>
      <w:r>
        <w:rPr>
          <w:rFonts w:hint="eastAsia"/>
          <w:b/>
          <w:bCs/>
        </w:rPr>
        <w:t>9.4 期末基金管理人的从业人员持有本开放式基金份额总量区间情况</w:t>
      </w:r>
      <w:bookmarkEnd w:id="52"/>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3" w:name="_Toc4526163"/>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基金合同生效日(2017年07月07日)基金份额总额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bl>
    <w:p>
      <w:pPr>
        <w:widowControl/>
        <w:jc w:val="left"/>
        <w:rPr>
          <w:rFonts w:hint="eastAsia" w:ascii="宋体" w:hAnsi="宋体" w:cs="宋体"/>
          <w:kern w:val="0"/>
          <w:sz w:val="24"/>
          <w:szCs w:val="24"/>
        </w:rPr>
      </w:pPr>
    </w:p>
    <w:p>
      <w:pPr>
        <w:pStyle w:val="12"/>
        <w:rPr>
          <w:rFonts w:hint="eastAsia"/>
        </w:rPr>
      </w:pPr>
      <w:bookmarkStart w:id="54" w:name="_Toc4526164"/>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3"/>
        <w:rPr>
          <w:rFonts w:hint="eastAsia"/>
        </w:rPr>
      </w:pPr>
      <w:bookmarkStart w:id="55" w:name="_Toc4526165"/>
      <w:r>
        <w:rPr>
          <w:rFonts w:hint="eastAsia"/>
          <w:b/>
          <w:bCs/>
        </w:rPr>
        <w:t>11.1 基金份额持有人大会决议</w:t>
      </w:r>
      <w:bookmarkEnd w:id="55"/>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6" w:name="_Toc4526166"/>
      <w:r>
        <w:rPr>
          <w:rFonts w:hint="eastAsia"/>
          <w:b/>
          <w:bCs/>
        </w:rPr>
        <w:t>11.2 基金管理人、基金托管人的专门基金托管部门的重大人事变动</w:t>
      </w:r>
      <w:bookmarkEnd w:id="56"/>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7" w:name="_Toc4526167"/>
      <w:r>
        <w:rPr>
          <w:rFonts w:hint="eastAsia"/>
          <w:b/>
          <w:bCs/>
        </w:rPr>
        <w:t>11.3 涉及基金管理人、基金财产、基金托管业务的诉讼</w:t>
      </w:r>
      <w:bookmarkEnd w:id="57"/>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8" w:name="_Toc4526168"/>
      <w:r>
        <w:rPr>
          <w:rFonts w:hint="eastAsia"/>
          <w:b/>
          <w:bCs/>
        </w:rPr>
        <w:t>11.4 基金投资策略的改变</w:t>
      </w:r>
      <w:bookmarkEnd w:id="58"/>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9" w:name="_Toc4526169"/>
      <w:r>
        <w:rPr>
          <w:rFonts w:hint="eastAsia"/>
          <w:b/>
          <w:bCs/>
        </w:rPr>
        <w:t>11.5 为基金进行审计的会计师事务所情况</w:t>
      </w:r>
      <w:bookmarkEnd w:id="59"/>
    </w:p>
    <w:p>
      <w:pPr>
        <w:pStyle w:val="19"/>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3"/>
        <w:rPr>
          <w:rFonts w:hint="eastAsia"/>
        </w:rPr>
      </w:pPr>
      <w:bookmarkStart w:id="60" w:name="_Toc4526170"/>
      <w:r>
        <w:rPr>
          <w:rFonts w:hint="eastAsia"/>
          <w:b/>
          <w:bCs/>
        </w:rPr>
        <w:t>11.6 管理人、托管人及其高级管理人员受稽查或处罚等情况</w:t>
      </w:r>
      <w:bookmarkEnd w:id="60"/>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1" w:name="_Toc4526171"/>
      <w:r>
        <w:rPr>
          <w:rFonts w:hint="eastAsia"/>
          <w:b/>
          <w:bCs/>
        </w:rPr>
        <w:t>11.7 基金租用证券公司交易单元的有关情况</w:t>
      </w:r>
      <w:bookmarkEnd w:id="61"/>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612,642.90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45,500,578.44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32,804.86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90,143,495.95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38,034.30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125,112.31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48,122,150.24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15,435.11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41,887,650.82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17,596.10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4,932,090.27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3,591.83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72,213,700.30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30,417.30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84,444,170.37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60,854.69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113,990,688.18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82,206.45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10,081,238.35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422,100,000.00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19,949,078.42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222,332,000.00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13,782,929.45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1,297,100,000.00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221,000,000.00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126,859,003.88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152,500,000.00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179,100,000.00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521,765.76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286,850,000.00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39,920,250.13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1,139,600,000.00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294,000,000.00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968,600,000.00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190,700,000.00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29,415,301.70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1,154,400,000.00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42,294,849.80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2,469,660,000.00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156,300,000.00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2" w:name="_Toc4526172"/>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创金合信鼎鑫睿选定期开放混合型证券投资基金（LOF）招募说明书（更新）摘要（2018年第1号）（2018年3月修订）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创金合信基金管理有限公司关于创金合信鼎鑫睿选定期开放混合型证券投资基金（LOF）修订基金合同、托管协议部分条款的公告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2"/>
        <w:rPr>
          <w:rFonts w:hint="eastAsia"/>
        </w:rPr>
      </w:pPr>
      <w:bookmarkStart w:id="63" w:name="_Toc4526173"/>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3"/>
        <w:rPr>
          <w:rFonts w:hint="eastAsia"/>
        </w:rPr>
      </w:pPr>
      <w:bookmarkStart w:id="64" w:name="_Toc4526174"/>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90,007,100.00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90,007,100.00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41.70%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5" w:name="_Toc4526175"/>
      <w:r>
        <w:rPr>
          <w:rFonts w:hint="eastAsia"/>
          <w:b/>
          <w:bCs/>
        </w:rPr>
        <w:t>12.2 影响投资者决策的其他重要信息</w:t>
      </w:r>
      <w:bookmarkEnd w:id="65"/>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6" w:name="_Toc4526176"/>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3"/>
        <w:rPr>
          <w:rFonts w:hint="eastAsia"/>
        </w:rPr>
      </w:pPr>
      <w:bookmarkStart w:id="67" w:name="_Toc4526177"/>
      <w:r>
        <w:rPr>
          <w:rFonts w:hint="eastAsia"/>
          <w:b/>
          <w:bCs/>
        </w:rPr>
        <w:t>13.1 备查文件目录</w:t>
      </w:r>
      <w:bookmarkEnd w:id="67"/>
    </w:p>
    <w:p>
      <w:pPr>
        <w:pStyle w:val="19"/>
        <w:spacing w:before="0"/>
        <w:ind w:left="0" w:firstLine="480"/>
        <w:rPr>
          <w:rFonts w:hint="eastAsia"/>
        </w:rPr>
      </w:pPr>
      <w:r>
        <w:rPr>
          <w:rFonts w:hint="eastAsia"/>
        </w:rPr>
        <w:t>1、《创金合信鼎鑫睿选定期开放混合型证券投资基金(LOF)基金合同》；</w:t>
      </w:r>
    </w:p>
    <w:p>
      <w:pPr>
        <w:pStyle w:val="19"/>
        <w:spacing w:before="0"/>
        <w:ind w:left="0" w:firstLine="480"/>
        <w:rPr>
          <w:rFonts w:hint="eastAsia"/>
        </w:rPr>
      </w:pPr>
      <w:r>
        <w:rPr>
          <w:rFonts w:hint="eastAsia"/>
        </w:rPr>
        <w:t>2、《创金合信鼎鑫睿选定期开放混合型证券投资基金(LOF)托管协议》；</w:t>
      </w:r>
    </w:p>
    <w:p>
      <w:pPr>
        <w:pStyle w:val="19"/>
        <w:spacing w:before="0"/>
        <w:ind w:left="0" w:firstLine="480"/>
        <w:rPr>
          <w:rFonts w:hint="eastAsia"/>
        </w:rPr>
      </w:pPr>
      <w:r>
        <w:rPr>
          <w:rFonts w:hint="eastAsia"/>
        </w:rPr>
        <w:t>3、创金合信鼎鑫睿选定期开放混合型证券投资基金(LOF)2018年年度报告。</w:t>
      </w:r>
    </w:p>
    <w:p>
      <w:pPr>
        <w:widowControl/>
        <w:jc w:val="left"/>
        <w:rPr>
          <w:rFonts w:hint="eastAsia" w:ascii="宋体" w:hAnsi="宋体" w:cs="宋体"/>
          <w:kern w:val="0"/>
          <w:sz w:val="24"/>
          <w:szCs w:val="24"/>
        </w:rPr>
      </w:pPr>
    </w:p>
    <w:p>
      <w:pPr>
        <w:pStyle w:val="13"/>
        <w:rPr>
          <w:rFonts w:hint="eastAsia"/>
        </w:rPr>
      </w:pPr>
      <w:bookmarkStart w:id="68" w:name="_Toc4526178"/>
      <w:r>
        <w:rPr>
          <w:rFonts w:hint="eastAsia"/>
          <w:b/>
          <w:bCs/>
        </w:rPr>
        <w:t>13.2 存放地点</w:t>
      </w:r>
      <w:bookmarkEnd w:id="68"/>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9" w:name="_Toc4526179"/>
      <w:r>
        <w:rPr>
          <w:rFonts w:hint="eastAsia"/>
          <w:b/>
          <w:bCs/>
        </w:rPr>
        <w:t>13.3 查阅方式</w:t>
      </w:r>
      <w:bookmarkEnd w:id="69"/>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51</w:t>
    </w:r>
    <w:r>
      <w:rPr>
        <w:rStyle w:val="9"/>
      </w:rPr>
      <w:fldChar w:fldCharType="end"/>
    </w:r>
  </w:p>
  <w:p>
    <w:pPr>
      <w:pStyle w:val="2"/>
      <w:jc w:val="center"/>
    </w:pPr>
    <w:r>
      <w:rPr>
        <w:rFonts w:hint="eastAsia"/>
      </w:rPr>
      <w:t xml:space="preserve">                   第       页，共80页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创金合信鼎鑫睿选定期开放混合型证券投资基金（LOF）2018年年度报告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0E03"/>
    <w:rsid w:val="0038318C"/>
    <w:rsid w:val="003E41F9"/>
    <w:rsid w:val="007A6D37"/>
    <w:rsid w:val="0080267E"/>
    <w:rsid w:val="008E0C15"/>
    <w:rsid w:val="00E00E03"/>
    <w:rsid w:val="00E25710"/>
    <w:rsid w:val="00F572B5"/>
    <w:rsid w:val="778B34B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79</Pages>
  <Words>10050</Words>
  <Characters>57291</Characters>
  <Lines>477</Lines>
  <Paragraphs>134</Paragraphs>
  <TotalTime>0</TotalTime>
  <ScaleCrop>false</ScaleCrop>
  <LinksUpToDate>false</LinksUpToDate>
  <CharactersWithSpaces>67207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2019-03-26T12:54:00Z</dcterms:created>
  <dc:creator>石怡翔</dc:creator>
  <cp:lastModifiedBy>Administrator</cp:lastModifiedBy>
  <dcterms:modified xsi:type="dcterms:W3CDTF">2019-12-26T14:11:29Z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