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32"/>
        </w:rPr>
        <w:t>Informe Técnico de Proyecto</w:t>
      </w:r>
    </w:p>
    <w:p>
      <w:pPr>
        <w:spacing w:after="120"/>
        <w:jc w:val="center"/>
      </w:pPr>
      <w:r>
        <w:rPr>
          <w:i/>
          <w:sz w:val="22"/>
        </w:rPr>
        <w:t>Optimización de Mantenimiento Predictivo Industrial mediante Aprendizaje por Refuerzo (DQN)</w:t>
      </w:r>
    </w:p>
    <w:p>
      <w:pPr>
        <w:spacing w:after="200"/>
      </w:pPr>
      <w:r>
        <w:rPr>
          <w:b/>
          <w:sz w:val="21"/>
        </w:rPr>
        <w:t xml:space="preserve">Integrantes: </w:t>
      </w:r>
      <w:r>
        <w:rPr>
          <w:sz w:val="21"/>
        </w:rPr>
        <w:t>César Nelson Abarca Araujo · Iván Fernando Vega Salazar · Santiago Paúl Guallichico Ati</w:t>
      </w:r>
    </w:p>
    <w:p>
      <w:pPr>
        <w:spacing w:before="160" w:after="60"/>
      </w:pPr>
      <w:r>
        <w:rPr>
          <w:b/>
          <w:color w:val="1F3A5F"/>
          <w:sz w:val="26"/>
        </w:rPr>
        <w:t>1. Descripción de la problemática</w:t>
      </w:r>
    </w:p>
    <w:p>
      <w:r>
        <w:rPr>
          <w:sz w:val="21"/>
        </w:rPr>
        <w:t>En la gestión de activos e ingeniería industrial, la transición de un mantenimiento reactivo o programado por calendario hacia un mantenimiento predictivo es clave para maximizar la rentabilidad y evitar paradas de línea costosas. Se diseñó una planta industrial simulada (entorno Gymnasium personalizado) compuesta por 4 máquinas operando en paralelo, cada una sujeta a un desgaste estocástico continuo (distribución exponencial). En cada paso de tiempo, un agente debe decidir si continuar la operación normal o intervenir con mantenimiento preventivo sobre la máquina más desgastada, buscando evitar averías catastróficas sin incurrir en intervenciones innecesarias (sobremantenimiento).</w:t>
      </w:r>
    </w:p>
    <w:p>
      <w:pPr>
        <w:spacing w:before="160" w:after="60"/>
      </w:pPr>
      <w:r>
        <w:rPr>
          <w:b/>
          <w:color w:val="1F3A5F"/>
          <w:sz w:val="26"/>
        </w:rPr>
        <w:t>2. Justificación del algoritmo seleccionado: DQN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B"/>
          </w:tcPr>
          <w:p>
            <w:pPr>
              <w:spacing w:after="0"/>
            </w:pPr>
            <w:r/>
            <w:r>
              <w:rPr>
                <w:i/>
                <w:sz w:val="21"/>
              </w:rPr>
              <w:t>El estado del entorno es un vector continuo de 4 dimensiones (salud de 0% a 100% por máquina). Los métodos tabulares vistos en clase — Q-Learning, SARSA y Monte Carlo — requieren un espacio de estados discreto y finito; aplicarlos aquí exigiría discretizar la salud en rangos, perdiendo precisión y sin garantía de que la tabla resultante capture bien la dinámica continua del desgaste. Se seleccionó Deep Q-Network (DQN) porque es, en esencia, Q-Learning — misma actualización basada en la ecuación de Bellman, misma política ε-greedy con decaimiento — extendido con una red neuronal como aproximador de función, que permite operar directamente sobre el estado continuo sin discretización. DQN se mantiene así dentro de la familia de Q-Learning permitida por el enunciado, resolviendo su limitación tabular para este problema en particular.</w:t>
            </w:r>
          </w:p>
        </w:tc>
      </w:tr>
    </w:tbl>
    <w:p>
      <w:pPr>
        <w:spacing w:before="160" w:after="60"/>
      </w:pPr>
      <w:r>
        <w:rPr>
          <w:b/>
          <w:color w:val="1F3A5F"/>
          <w:sz w:val="26"/>
        </w:rPr>
        <w:t>3. Aplicación del método de Aprendizaje por Refuerzo</w:t>
      </w:r>
    </w:p>
    <w:p>
      <w:pPr>
        <w:pStyle w:val="ListBullet"/>
        <w:spacing w:after="40"/>
        <w:ind w:left="227"/>
      </w:pPr>
      <w:r>
        <w:rPr>
          <w:sz w:val="21"/>
        </w:rPr>
        <w:t>Estado: vector continuo de 4 valores — salud (0-100%) de cada máquina.</w:t>
      </w:r>
    </w:p>
    <w:p>
      <w:pPr>
        <w:pStyle w:val="ListBullet"/>
        <w:spacing w:after="40"/>
        <w:ind w:left="227"/>
      </w:pPr>
      <w:r>
        <w:rPr>
          <w:sz w:val="21"/>
        </w:rPr>
        <w:t>Acciones: espacio discreto {0: operar sin intervenir, 1: solicitar mantenimiento sobre la máquina con mayor nivel de degradación}.</w:t>
      </w:r>
    </w:p>
    <w:p>
      <w:pPr>
        <w:pStyle w:val="ListBullet"/>
        <w:spacing w:after="40"/>
        <w:ind w:left="227"/>
      </w:pPr>
      <w:r>
        <w:rPr>
          <w:sz w:val="21"/>
        </w:rPr>
        <w:t>Recompensa: +10 por máquina operativa en cada paso · +20 por mantenimiento preventivo oportuno (5% &lt; salud ≤ 20%) · −10 por mantenimiento innecesario (salud &gt; 20%) · −600 por avería / mantenimiento correctivo forzado (salud ≤ 5%).</w:t>
      </w:r>
    </w:p>
    <w:p>
      <w:pPr>
        <w:pStyle w:val="ListBullet"/>
        <w:spacing w:after="40"/>
        <w:ind w:left="227"/>
      </w:pPr>
      <w:r>
        <w:rPr>
          <w:sz w:val="21"/>
        </w:rPr>
        <w:t>Entrenamiento: red neuronal de 2 capas ocultas (128, 128 neuronas), tasa de aprendizaje 5×10⁻⁴, búfer de repetición de 100,000 transiciones, tamaño de lote 128, factor de descuento γ = 0.99, exploración ε decreciente de 1.0 a 0.02 durante el 40% de los 80,000 pasos totales de entrenamiento. Evaluación: 500 eventos con política determinística (greedy).</w:t>
      </w:r>
    </w:p>
    <w:p>
      <w:pPr>
        <w:spacing w:before="160" w:after="60"/>
      </w:pPr>
      <w:r>
        <w:rPr>
          <w:b/>
          <w:color w:val="1F3A5F"/>
          <w:sz w:val="26"/>
        </w:rPr>
        <w:t>4. Resultados obtenidos (evaluación de 500 eventos)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835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Sin RL (política fija c/12 pasos)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Con RL (agente DQN)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9"/>
              </w:rPr>
              <w:t>Mantenimientos preventivos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35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9"/>
              </w:rPr>
              <w:t>Mantenimientos correctivos (averías)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28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9"/>
              </w:rPr>
              <w:t>Ratio de mantenimiento preventivo (PMR)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34.9 %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76.1 %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9"/>
              </w:rPr>
              <w:t>Disponibilidad de planta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94.6 %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98.0 %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9"/>
              </w:rPr>
              <w:t>Recompensa acumulada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2980.0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13790.0 pts</w:t>
            </w:r>
          </w:p>
        </w:tc>
      </w:tr>
    </w:tbl>
    <w:p>
      <w:pPr>
        <w:spacing w:before="100"/>
      </w:pPr>
      <w:r>
        <w:rPr>
          <w:sz w:val="21"/>
        </w:rPr>
        <w:t>El agente DQN redujo las averías de 28 a 11 eventos (−60.7 %) y multiplicó la recompensa acumulada por ~4.6× (2980 → 13790 pts) frente a la política tradicional, además de subir el ratio de mantenimiento preventivo de 34.9% a 76.1% y la disponibilidad de planta de 94.6% a 98.0%. Esto evidencia que el agente aprendió a intervenir de forma anticipada en la zona de alerta (5%-20% de salud) con mayor frecuencia y precisión que la política tradicional, evitando buena parte de los colapsos no programados. El modelo se entrenó con semilla fija (reproducible) y selección automática del mejor punto de convergencia (EvalCallback), en vez de usar el estado final de la red al azar.</w:t>
      </w:r>
    </w:p>
    <w:p>
      <w:pPr>
        <w:spacing w:before="120" w:after="60"/>
      </w:pPr>
      <w:r>
        <w:rPr>
          <w:b/>
          <w:color w:val="1F3A5F"/>
          <w:sz w:val="23"/>
        </w:rPr>
        <w:t>Gráficos del entrenamiento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8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e_mantenimiento_500_event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87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e_mantenimiento_SIN_RL_5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120"/>
        <w:jc w:val="center"/>
      </w:pPr>
      <w:r>
        <w:rPr>
          <w:i/>
          <w:sz w:val="17"/>
        </w:rPr>
        <w:t>Evolución de salud de las 4 máquinas y recompensa acumulada, con RL (izquierda) y sin RL (derecha).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RL_vs_SinR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Comparación directa de la recompensa acumulada: con RL vs. sin RL.</w:t>
      </w:r>
    </w:p>
    <w:p>
      <w:pPr>
        <w:spacing w:before="160" w:after="60"/>
      </w:pPr>
      <w:r>
        <w:rPr>
          <w:b/>
          <w:color w:val="1F3A5F"/>
          <w:sz w:val="26"/>
        </w:rPr>
        <w:t>5. Participación y aportes de cada integrante</w:t>
      </w:r>
    </w:p>
    <w:p>
      <w:pPr>
        <w:pStyle w:val="ListBullet"/>
        <w:spacing w:after="40"/>
        <w:ind w:left="227"/>
      </w:pPr>
      <w:r>
        <w:rPr>
          <w:sz w:val="21"/>
        </w:rPr>
        <w:t>César Nelson Abarca Araujo — Elaboración del informe técnico y validación de resultados (verificación de métricas y consistencia de la comparación RL vs. sin RL). Además, revisó la coherencia de la función de recompensa frente a la problemática planteada y verificó la reproducibilidad de los resultados (semilla fija y selección del mejor modelo) antes de consolidar el documento final.</w:t>
      </w:r>
    </w:p>
    <w:p>
      <w:pPr>
        <w:pStyle w:val="ListBullet"/>
        <w:spacing w:after="40"/>
        <w:ind w:left="227"/>
      </w:pPr>
      <w:r>
        <w:rPr>
          <w:sz w:val="21"/>
        </w:rPr>
        <w:t>Santiago Paúl Guallichico Ati — Entrenamiento del agente DQN y ejecución de las simulaciones (con y sin RL). Configuró y ajustó los hiperparámetros del modelo, ejecutó múltiples corridas para verificar la estabilidad de la convergencia, y generó los videos de evaluación utilizados como evidencia de los resultados.</w:t>
      </w:r>
    </w:p>
    <w:p>
      <w:pPr>
        <w:pStyle w:val="ListBullet"/>
        <w:spacing w:after="40"/>
        <w:ind w:left="227"/>
      </w:pPr>
      <w:r>
        <w:rPr>
          <w:sz w:val="21"/>
        </w:rPr>
        <w:t>Iván Fernando Vega Salazar — Creación del video explicativo del proyecto. Estructuró el guion narrativo, seleccionó los fragmentos más representativos de las simulaciones grabadas, y editó el material audiovisual final para presentar con claridad la problemática, la solución desarrollada y los resultados obtenidos.</w:t>
      </w:r>
    </w:p>
    <w:p>
      <w:pPr>
        <w:spacing w:before="160" w:after="60"/>
      </w:pPr>
      <w:r>
        <w:rPr>
          <w:b/>
          <w:color w:val="1F3A5F"/>
          <w:sz w:val="26"/>
        </w:rPr>
        <w:t>6. Enlaces del proyecto</w:t>
      </w:r>
    </w:p>
    <w:p>
      <w:pPr>
        <w:spacing w:after="40"/>
      </w:pPr>
      <w:r>
        <w:rPr>
          <w:b/>
          <w:sz w:val="21"/>
        </w:rPr>
        <w:t xml:space="preserve">Repositorio GitHub (notebook y código fuente): </w:t>
      </w:r>
      <w:hyperlink r:id="rId12">
        <w:r>
          <w:rPr>
            <w:color w:val="1F3A5F"/>
            <w:u w:val="single"/>
          </w:rPr>
          <w:t>github.com/cnabarca/Maestria-IA-UIDE</w:t>
        </w:r>
      </w:hyperlink>
    </w:p>
    <w:p>
      <w:pPr>
        <w:spacing w:after="40"/>
      </w:pPr>
      <w:r>
        <w:rPr>
          <w:b/>
          <w:sz w:val="21"/>
        </w:rPr>
        <w:t xml:space="preserve">Video explicativo (YouTube): </w:t>
      </w:r>
      <w:hyperlink r:id="rId13">
        <w:r>
          <w:rPr>
            <w:color w:val="1F3A5F"/>
            <w:u w:val="single"/>
          </w:rPr>
          <w:t>Ver video</w:t>
        </w:r>
      </w:hyperlink>
      <w:r>
        <w:rPr>
          <w:i/>
          <w:sz w:val="18"/>
        </w:rPr>
        <w:t xml:space="preserve"> (enlace provisional — se reemplazará por el video final del equipo).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cnabarca/Maestria-IA-UIDE/tree/main/6.%20Aprendizaje%20por%20refuerzo/Trabajo%20final/Tarea%20G5" TargetMode="External"/><Relationship Id="rId13" Type="http://schemas.openxmlformats.org/officeDocument/2006/relationships/hyperlink" Target="https://www.youtube.com/watch?si=QLu-GxMxrC1HuV2w&amp;v=IoA27nBKvoE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