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Hiragino Sans GB" w:hAnsi="Hiragino Sans GB" w:eastAsia="Hiragino Sans GB" w:cs="Hiragino Sans GB"/>
          <w:b/>
          <w:color w:val="1F4D78"/>
          <w:sz w:val="22"/>
          <w:lang w:eastAsia="zh-CN"/>
        </w:rPr>
        <w:t>验收报告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0B2545"/>
          <w:sz w:val="48"/>
          <w:lang w:eastAsia="zh-CN"/>
        </w:rPr>
        <w:t>AI 智能下单平台</w:t>
        <w:br/>
        <w:t>旧测试反馈缺陷修复验收报告</w:t>
      </w:r>
    </w:p>
    <w:p>
      <w:pPr>
        <w:spacing w:after="320"/>
        <w:pBdr>
          <w:bottom w:val="single" w:sz="12" w:space="4" w:color="1F4D78"/>
        </w:pBdr>
      </w:pPr>
      <w:r>
        <w:rPr>
          <w:rFonts w:ascii="Hiragino Sans GB" w:hAnsi="Hiragino Sans GB" w:eastAsia="Hiragino Sans GB" w:cs="Hiragino Sans GB"/>
          <w:color w:val="5B6470"/>
          <w:sz w:val="22"/>
          <w:lang w:eastAsia="zh-CN"/>
        </w:rPr>
        <w:t>验收范围：2026-07-08 测试反馈中的 4 项缺陷 | 文档生成日期：2026-07-12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AI 智能下单平台（一期系统）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验收工作树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/Users/yuri/Documents/AI智能下单平台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验收分支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feature/project-skeleton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验证基线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01fad865；基于当前未提交修复与现有工作树内容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验收结论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4 项缺陷均已修复并通过定向验证与主链路回归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重要边界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本报告仅覆盖本地开发环境验收；Task 8 仍为 NOT_READY</w:t>
            </w:r>
          </w:p>
        </w:tc>
      </w:tr>
    </w:tbl>
    <w:p>
      <w:pPr>
        <w:keepNext/>
        <w:spacing w:before="320" w:after="160"/>
      </w:pPr>
      <w:r>
        <w:rPr>
          <w:rFonts w:ascii="Hiragino Sans GB" w:hAnsi="Hiragino Sans GB" w:eastAsia="Hiragino Sans GB" w:cs="Hiragino Sans GB"/>
          <w:b/>
          <w:color w:val="1F4D78"/>
          <w:sz w:val="32"/>
          <w:lang w:eastAsia="zh-CN"/>
        </w:rPr>
        <w:t>一、验收结论</w:t>
      </w:r>
    </w:p>
    <w:p>
      <w:pPr>
        <w:spacing w:before="0" w:after="16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2"/>
          <w:lang w:eastAsia="zh-CN"/>
        </w:rPr>
        <w:t>本次针对旧版本测试反馈进行当前工作树复核。已确认并修复的 BUG-001、BUG-002、BUG-003、BUG-004 均满足对应的定向验收条件；四端登录、20 项菜单遍历、质量权限、前端构建与 12 步主链路回归均通过。</w:t>
      </w:r>
    </w:p>
    <w:p>
      <w:pPr>
        <w:spacing w:before="0" w:after="20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2"/>
          <w:lang w:eastAsia="zh-CN"/>
        </w:rPr>
        <w:t>结论：通过。本轮按“一期基础版”交付，不以隐藏入口或吞掉异常替代修复。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900"/>
        <w:gridCol w:w="1050"/>
        <w:gridCol w:w="59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缺陷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级别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验收结论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核心结果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BUG-002</w:t>
              <w:br/>
              <w:t>角色隔离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P1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医生从管理端入口登录被拒绝，不产生可用工作台登录态；四端正确入口正常。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BUG-001</w:t>
              <w:br/>
              <w:t>范围基线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P2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C 类基础能力表述与静态检查一致，范围基线检查退出码为 0。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BUG-003</w:t>
              <w:br/>
              <w:t>菜单入口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P2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20 项旧反馈菜单均进入真实基础能力，未出现演示入口或 400/403 失败态。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BUG-004</w:t>
              <w:br/>
              <w:t>绩效统计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P2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管理端未选员工时给出明确提示，不再发起缺少 user_id 的 400 请求。</w:t>
            </w:r>
          </w:p>
        </w:tc>
      </w:tr>
    </w:tbl>
    <w:p>
      <w:pPr>
        <w:keepNext/>
        <w:spacing w:before="320" w:after="160"/>
      </w:pPr>
      <w:r>
        <w:rPr>
          <w:rFonts w:ascii="Hiragino Sans GB" w:hAnsi="Hiragino Sans GB" w:eastAsia="Hiragino Sans GB" w:cs="Hiragino Sans GB"/>
          <w:b/>
          <w:color w:val="1F4D78"/>
          <w:sz w:val="32"/>
          <w:lang w:eastAsia="zh-CN"/>
        </w:rPr>
        <w:t>二、缺陷修复与验收明细</w:t>
      </w:r>
    </w:p>
    <w:p>
      <w:pPr>
        <w:keepNext/>
        <w:spacing w:before="240" w:after="120"/>
      </w:pPr>
      <w:r>
        <w:rPr>
          <w:rFonts w:ascii="Hiragino Sans GB" w:hAnsi="Hiragino Sans GB" w:eastAsia="Hiragino Sans GB" w:cs="Hiragino Sans GB"/>
          <w:b/>
          <w:color w:val="1F4D78"/>
          <w:sz w:val="26"/>
          <w:lang w:eastAsia="zh-CN"/>
        </w:rPr>
        <w:t>BUG-002：医生账号与管理端入口的角色隔离（P1）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原问题：医生账号从管理端入口登录后，前端会在失败后尝试其他入口，可能落入医生工作台。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修复：移除跨端口重试逻辑；只接受所选入口的登录结果，并在角色不匹配时保留在登录页提示错误。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1"/>
          <w:lang w:eastAsia="zh-CN"/>
        </w:rPr>
        <w:t>验收：四端正确入口登录通过；医生从管理端入口登录显示“账号角色与所选入口不匹配”，没有状态栏或业务工作台。</w:t>
      </w:r>
    </w:p>
    <w:p>
      <w:pPr>
        <w:keepNext/>
        <w:spacing w:before="240" w:after="120"/>
      </w:pPr>
      <w:r>
        <w:rPr>
          <w:rFonts w:ascii="Hiragino Sans GB" w:hAnsi="Hiragino Sans GB" w:eastAsia="Hiragino Sans GB" w:cs="Hiragino Sans GB"/>
          <w:b/>
          <w:color w:val="1F4D78"/>
          <w:sz w:val="26"/>
          <w:lang w:eastAsia="zh-CN"/>
        </w:rPr>
        <w:t>BUG-001：范围基线检查缺少 C 类基础能力（P2）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原问题：范围基线检查提示 acceptance.json 缺少“C 类基础能力”。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修复：校准 C 类能力证据的表述，使其与现有检查断言一致；未降低一期范围要求。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1"/>
          <w:lang w:eastAsia="zh-CN"/>
        </w:rPr>
        <w:t>验收：运行 npm run check:scope-baseline-20260706，检查通过。</w:t>
      </w:r>
    </w:p>
    <w:p>
      <w:pPr>
        <w:keepNext/>
        <w:spacing w:before="240" w:after="120"/>
      </w:pPr>
      <w:r>
        <w:rPr>
          <w:rFonts w:ascii="Hiragino Sans GB" w:hAnsi="Hiragino Sans GB" w:eastAsia="Hiragino Sans GB" w:cs="Hiragino Sans GB"/>
          <w:b/>
          <w:color w:val="1F4D78"/>
          <w:sz w:val="26"/>
          <w:lang w:eastAsia="zh-CN"/>
        </w:rPr>
        <w:t>BUG-003：菜单入口仍为演示、待接入或接口错误（P2）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原问题：客服、生产和管理端共 20 项菜单存在占位、不可导航或接口错误；生产端质量总览存在 403。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修复：将菜单映射到已有真实基础能力；补齐父级菜单导航；生产角色获得质量记录只读权限，未增加写权限；保留一期基础版边界。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1"/>
          <w:lang w:eastAsia="zh-CN"/>
        </w:rPr>
        <w:t>验收：客服外协/生产备注、生产端扫码基础登记/终检/辅助台账/通知/附件台账、管理端权限清单/设备/物料/外协/账单配送均可用；20 项菜单浏览器遍历通过。</w:t>
      </w:r>
    </w:p>
    <w:p>
      <w:pPr>
        <w:keepNext/>
        <w:spacing w:before="240" w:after="120"/>
      </w:pPr>
      <w:r>
        <w:rPr>
          <w:rFonts w:ascii="Hiragino Sans GB" w:hAnsi="Hiragino Sans GB" w:eastAsia="Hiragino Sans GB" w:cs="Hiragino Sans GB"/>
          <w:b/>
          <w:color w:val="1F4D78"/>
          <w:sz w:val="26"/>
          <w:lang w:eastAsia="zh-CN"/>
        </w:rPr>
        <w:t>BUG-004：管理端绩效统计请求返回 400（P2）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原问题：管理员首次进入绩效统计时，前端请求未携带 user_id，服务端返回 400。</w:t>
      </w:r>
    </w:p>
    <w:p>
      <w:pPr>
        <w:spacing w:before="0" w:after="8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0B2545"/>
          <w:sz w:val="21"/>
          <w:lang w:eastAsia="zh-CN"/>
        </w:rPr>
        <w:t>修复：管理员未填写员工编号时先展示查询提示，不发起非法默认请求；合法筛选继续由服务端鉴权和数据范围控制。</w:t>
      </w:r>
    </w:p>
    <w:p>
      <w:pPr>
        <w:spacing w:before="0" w:after="12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1"/>
          <w:lang w:eastAsia="zh-CN"/>
        </w:rPr>
        <w:t>验收：页面显示“请输入员工编号后查询绩效统计”，无 /performance 默认请求和 400 错误态。</w:t>
      </w:r>
    </w:p>
    <w:p>
      <w:pPr>
        <w:keepNext/>
        <w:spacing w:before="320" w:after="160"/>
      </w:pPr>
      <w:r>
        <w:rPr>
          <w:rFonts w:ascii="Hiragino Sans GB" w:hAnsi="Hiragino Sans GB" w:eastAsia="Hiragino Sans GB" w:cs="Hiragino Sans GB"/>
          <w:b/>
          <w:color w:val="1F4D78"/>
          <w:sz w:val="32"/>
          <w:lang w:eastAsia="zh-CN"/>
        </w:rPr>
        <w:t>三、回归验证记录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850"/>
        <w:gridCol w:w="63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验证项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结果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0"/>
                <w:lang w:eastAsia="zh-CN"/>
              </w:rPr>
              <w:t>关键结论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范围基线检查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scope baseline 2026-07-06 check ok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四端登录与错误入口隔离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四端正确登录；医生不可进入管理端入口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旧反馈定向浏览器验收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BUG-003 菜单遍历和 BUG-004 绩效默认加载共 2 项通过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质量记录后端测试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QualityRecordTests：6 项通过；生产端仅新增读取权限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前端构建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vue-tsc 与 Vite 构建成功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12 步主链路浏览器回归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通过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19"/>
                <w:lang w:eastAsia="zh-CN"/>
              </w:rPr>
              <w:t>下单、审核、派工、入检出检、返工、设计稿、消息、账单物流、AI 与收货均通过</w:t>
            </w:r>
          </w:p>
        </w:tc>
      </w:tr>
    </w:tbl>
    <w:p>
      <w:pPr>
        <w:keepNext/>
        <w:spacing w:before="320" w:after="160"/>
      </w:pPr>
      <w:r>
        <w:rPr>
          <w:rFonts w:ascii="Hiragino Sans GB" w:hAnsi="Hiragino Sans GB" w:eastAsia="Hiragino Sans GB" w:cs="Hiragino Sans GB"/>
          <w:b/>
          <w:color w:val="1F4D78"/>
          <w:sz w:val="32"/>
          <w:lang w:eastAsia="zh-CN"/>
        </w:rPr>
        <w:t>四、一期边界与遗留说明</w:t>
      </w:r>
    </w:p>
    <w:p>
      <w:pPr>
        <w:pStyle w:val="ListNumber"/>
        <w:spacing w:after="80" w:line="264" w:lineRule="auto"/>
      </w:pPr>
      <w:r>
        <w:rPr>
          <w:rFonts w:ascii="Hiragino Sans GB" w:hAnsi="Hiragino Sans GB" w:eastAsia="Hiragino Sans GB" w:cs="Hiragino Sans GB"/>
          <w:color w:val="0B2545"/>
          <w:sz w:val="21"/>
          <w:lang w:eastAsia="zh-CN"/>
        </w:rPr>
        <w:t>扫码登记当前为人工核验登记入口，不包含扫码硬件或终端设备集成。</w:t>
      </w:r>
    </w:p>
    <w:p>
      <w:pPr>
        <w:pStyle w:val="ListNumber"/>
        <w:spacing w:after="80" w:line="264" w:lineRule="auto"/>
      </w:pPr>
      <w:r>
        <w:rPr>
          <w:rFonts w:ascii="Hiragino Sans GB" w:hAnsi="Hiragino Sans GB" w:eastAsia="Hiragino Sans GB" w:cs="Hiragino Sans GB"/>
          <w:color w:val="0B2545"/>
          <w:sz w:val="21"/>
          <w:lang w:eastAsia="zh-CN"/>
        </w:rPr>
        <w:t>外协管理提供外协成本基础台账与查询，不包含供应商结算完整闭环。</w:t>
      </w:r>
    </w:p>
    <w:p>
      <w:pPr>
        <w:pStyle w:val="ListNumber"/>
        <w:spacing w:after="80" w:line="264" w:lineRule="auto"/>
      </w:pPr>
      <w:r>
        <w:rPr>
          <w:rFonts w:ascii="Hiragino Sans GB" w:hAnsi="Hiragino Sans GB" w:eastAsia="Hiragino Sans GB" w:cs="Hiragino Sans GB"/>
          <w:color w:val="0B2545"/>
          <w:sz w:val="21"/>
          <w:lang w:eastAsia="zh-CN"/>
        </w:rPr>
        <w:t>云端数据中心提供订单设计稿和附件台账，不包含独立云同步中心。</w:t>
      </w:r>
    </w:p>
    <w:p>
      <w:pPr>
        <w:pStyle w:val="ListNumber"/>
        <w:spacing w:after="80" w:line="264" w:lineRule="auto"/>
      </w:pPr>
      <w:r>
        <w:rPr>
          <w:rFonts w:ascii="Hiragino Sans GB" w:hAnsi="Hiragino Sans GB" w:eastAsia="Hiragino Sans GB" w:cs="Hiragino Sans GB"/>
          <w:color w:val="0B2545"/>
          <w:sz w:val="21"/>
          <w:lang w:eastAsia="zh-CN"/>
        </w:rPr>
        <w:t>用户管理与角色权限提供当前账号、角色、菜单和数据范围清单，不包含完整 RBAC 配置后台。</w:t>
      </w:r>
    </w:p>
    <w:p>
      <w:pPr>
        <w:pStyle w:val="ListNumber"/>
        <w:spacing w:after="80" w:line="264" w:lineRule="auto"/>
      </w:pPr>
      <w:r>
        <w:rPr>
          <w:rFonts w:ascii="Hiragino Sans GB" w:hAnsi="Hiragino Sans GB" w:eastAsia="Hiragino Sans GB" w:cs="Hiragino Sans GB"/>
          <w:color w:val="0B2545"/>
          <w:sz w:val="21"/>
          <w:lang w:eastAsia="zh-CN"/>
        </w:rPr>
        <w:t>本地脚本、浏览器验收和演示数据通过不等于真实环境上线验收；Task 8 保持 NOT_READY。</w:t>
      </w:r>
    </w:p>
    <w:p>
      <w:pPr>
        <w:keepNext/>
        <w:spacing w:before="320" w:after="160"/>
      </w:pPr>
      <w:r>
        <w:rPr>
          <w:rFonts w:ascii="Hiragino Sans GB" w:hAnsi="Hiragino Sans GB" w:eastAsia="Hiragino Sans GB" w:cs="Hiragino Sans GB"/>
          <w:b/>
          <w:color w:val="1F4D78"/>
          <w:sz w:val="32"/>
          <w:lang w:eastAsia="zh-CN"/>
        </w:rPr>
        <w:t>五、验收签署</w:t>
      </w:r>
    </w:p>
    <w:p>
      <w:pPr>
        <w:spacing w:before="0" w:after="280" w:line="264" w:lineRule="auto"/>
        <w:jc w:val="left"/>
      </w:pPr>
      <w:r>
        <w:rPr>
          <w:rFonts w:ascii="Hiragino Sans GB" w:hAnsi="Hiragino Sans GB" w:eastAsia="Hiragino Sans GB" w:cs="Hiragino Sans GB"/>
          <w:b/>
          <w:color w:val="2E6B4E"/>
          <w:sz w:val="22"/>
          <w:lang w:eastAsia="zh-CN"/>
        </w:rPr>
        <w:t>验收结论：通过（本地开发环境 / 一期基础版范围）。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验收人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____________________________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B2545"/>
                <w:sz w:val="21"/>
                <w:lang w:eastAsia="zh-CN"/>
              </w:rPr>
              <w:t>验收日期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color w:val="0B2545"/>
                <w:sz w:val="21"/>
                <w:lang w:eastAsia="zh-CN"/>
              </w:rPr>
              <w:t>____________________________</w:t>
            </w:r>
          </w:p>
        </w:tc>
      </w:tr>
    </w:tbl>
    <w:p>
      <w:pPr>
        <w:spacing w:before="240" w:after="0" w:line="264" w:lineRule="auto"/>
        <w:jc w:val="left"/>
      </w:pPr>
      <w:r>
        <w:rPr>
          <w:rFonts w:ascii="Hiragino Sans GB" w:hAnsi="Hiragino Sans GB" w:eastAsia="Hiragino Sans GB" w:cs="Hiragino Sans GB"/>
          <w:b w:val="0"/>
          <w:color w:val="5B6470"/>
          <w:sz w:val="19"/>
          <w:lang w:eastAsia="zh-CN"/>
        </w:rPr>
        <w:t>依据文件：docs/quality/defect-tracker.md 及 docs/quality/evidence/2026-07-10/BUG-001.md 至 BUG-004.md。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color w:val="5B6470"/>
        <w:sz w:val="18"/>
        <w:lang w:eastAsia="zh-CN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B6470"/>
        <w:sz w:val="18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12" w:space="4" w:color="C7D2DE"/>
      </w:pBdr>
    </w:pPr>
    <w:r>
      <w:rPr>
        <w:rFonts w:ascii="Hiragino Sans GB" w:hAnsi="Hiragino Sans GB" w:eastAsia="Hiragino Sans GB" w:cs="Hiragino Sans GB"/>
        <w:color w:val="5B6470"/>
        <w:sz w:val="18"/>
        <w:lang w:eastAsia="zh-CN"/>
      </w:rPr>
      <w:t>AI 智能下单平台 | 缺陷修复验收报告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