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5E6C84"/>
          <w:sz w:val="20"/>
        </w:rPr>
        <w:t>内部范围冻结文件</w:t>
      </w:r>
    </w:p>
    <w:p>
      <w:pPr>
        <w:spacing w:before="120" w:after="40" w:line="264" w:lineRule="auto"/>
      </w:pPr>
      <w:r>
        <w:rPr>
          <w:rFonts w:ascii="Calibri" w:hAnsi="Calibri" w:eastAsia="Microsoft YaHei"/>
          <w:b/>
          <w:color w:val="182538"/>
          <w:sz w:val="48"/>
        </w:rPr>
        <w:t>AI智能下单平台</w:t>
      </w:r>
    </w:p>
    <w:p>
      <w:pPr>
        <w:spacing w:before="0" w:after="240" w:line="264" w:lineRule="auto"/>
      </w:pPr>
      <w:r>
        <w:rPr>
          <w:rFonts w:ascii="Calibri" w:hAnsi="Calibri" w:eastAsia="Microsoft YaHei"/>
          <w:b/>
          <w:color w:val="1F4D78"/>
          <w:sz w:val="30"/>
        </w:rPr>
        <w:t>2026-07-06 新需求范围内部确认版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项目</w:t>
            </w:r>
          </w:p>
        </w:tc>
        <w:tc>
          <w:tcPr>
            <w:tcW w:type="dxa" w:w="78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用途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用于冻结本轮新增需求的一期范围、二期范围和开发处理口径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依据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客户 2026-07-06 提供的需求资料、技术方案、范围评估和任务清单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状态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内部已按默认口径确认；后续开发、排期和验收以本文件为当前基准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已冻结结论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82538"/>
                <w:sz w:val="20"/>
              </w:rPr>
              <w:t>本轮新增需求不只是补几个菜单，而是把系统从“下单 + 客服 + 生产协同 MVP”扩大到“轻量生产运营管理平台”。当前内部默认口径为：A 类全部纳入一期修正；B 类纳入基础高频统计和核心增强；C 类只做入口、基础台账或架构预留，完整管理闭环放二期或另行估算。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一、已确认的一期口径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82538"/>
          <w:sz w:val="21"/>
        </w:rPr>
        <w:t>以下口径已经按默认方案确认，后续开发和验收先按这个口径走：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一期主链路仍以“医生下单、客服审核、生产审核/派工、设计确认、生产质检、账单物流、订单完成”为主。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医生端、客服端、生产端、管理端的菜单命名和入口补齐属于 A 类，全部纳入一期修正。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客服统计、生产异常、内返/外返、部门对比、客户排名等属于 B 类，一期纳入基础版，先做高频核心指标。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设备、物料、安环、成本、奖惩、行政、财务属于 C 类；一期只做入口、基础台账或架构预留，不做完整管理闭环。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二、范围冻结表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5E6C84"/>
          <w:sz w:val="20"/>
        </w:rPr>
        <w:t>以下为当前内部确认口径。A 类全部一期修正；B 类按基础版纳入一期；C 类只做入口、台账或预留，完整流程不进入一期核心开发。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00"/>
        <w:gridCol w:w="1700"/>
        <w:gridCol w:w="2500"/>
        <w:gridCol w:w="3280"/>
        <w:gridCol w:w="1180"/>
      </w:tblGrid>
      <w:tr>
        <w:trPr>
          <w:tblHeader w:val="true"/>
          <w:cantSplit/>
        </w:trPr>
        <w:tc>
          <w:tcPr>
            <w:tcW w:type="dxa" w:w="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编号</w:t>
            </w:r>
          </w:p>
        </w:tc>
        <w:tc>
          <w:tcPr>
            <w:tcW w:type="dxa" w:w="1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模块 / 事项</w:t>
            </w:r>
          </w:p>
        </w:tc>
        <w:tc>
          <w:tcPr>
            <w:tcW w:type="dxa" w:w="25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客户提出点</w:t>
            </w:r>
          </w:p>
        </w:tc>
        <w:tc>
          <w:tcPr>
            <w:tcW w:type="dxa" w:w="328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已确认处理方式</w:t>
            </w:r>
          </w:p>
        </w:tc>
        <w:tc>
          <w:tcPr>
            <w:tcW w:type="dxa" w:w="118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内部结论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医生端菜单补齐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看板管理、医生订单、患者管理、支付/账单管理、账户设置、线上沟通。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一期必须修正：补齐入口和基础页面；支付先按账单/付款状态展示，不默认接在线支付。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医生文件边界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客户指出“医生文件”不是独立要求，患者管理不应被放进文件资料里。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一期必须修正：取消独立“医生文件”口径；订单附件保留在订单/病例资料中。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 AI / 通知 / 沟通边界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需要说明医生AI包含什么，通知中心是否等于在线沟通。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一期必须修正：AI用于下单引导、缺失提醒、查订单、常见问题；通知中心只放系统提醒；沟通中心处理聊天和附件。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客服端七大模块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订单管理、沟通中心、客户管理、产品管理、配送、账单、外协。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一期必须修正：先补齐菜单和基础业务入口；外协一期做基础记录入口和状态。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生产菜单命名调整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删除工作单；物料异常改物料管理；生产中改生产异常。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一期必须修正：先修正页面结构和名称，避免继续按错误菜单开发。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A6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Manager/Admin 最高权限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管理账号后续能扩行政、财务，也能看到全部功能。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一期必须修正：管理端作为最高权限总览，后续再按岗位分配菜单和数据范围。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管理端栏目命名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增加安环管理、订单管理、沟通管理、质量管理、成本管控、文件资料、沟通中心；客户诊所改客户管理。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一期必须修正：先统一管理端信息架构；深度业务流程按 B/C 分层处理。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客服工作台统计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翻译待审、账单超期、本月/上月同比、销量、十大客户排名。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一期增强：纳入基础版；销量统一按订单数量/件数，不先做金额销售报表。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一期基础版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生产工作台统计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生产异常、代问/待问异常、员工异常、部门当天数据 vs 上月平均、返工率、出货率、完成率。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一期增强：纳入基础版；“代问异常”统一为“待问异常”。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一期基础版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内返 / 外返拆分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质量与返工需拆为内返管理、外返管理。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一期增强：纳入一期高优先级，至少记录原因、责任、处理结果和统计。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一期基础版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账单与物流协同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账单、付款状态、承运商、运单号、物流信息。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一期增强：一期手工维护账单/付款/物流状态；真实在线支付和物流 API 另估。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一期基础版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外协相关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客服有外协管理，生产提到外协成本可放成本管理或单独模块。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B/C：一期做外协记录入口和状态；完整外协成本核算另行估算。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基础入口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设备管理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人员、设备、物料等功能缺失；设备模块需陈列。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C：一期做设备档案、状态、维护记录基础台账；不做设备联网、自动采集、自动报工。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基础台账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物料管理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物料异常改为物料管理，记录物料问题和处理。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C：一期做物料缺失/不符/处理进度基础记录；不做完整库存和采购系统。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基础台账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安环管理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生产端和管理端都提出安环管理。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C：一期只预留入口或简单记录；完整安全、环保、现场规范闭环放二期。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预留入口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成本管理 / 成本管控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生产成本、外协成本、成本异常、成本统计。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C：一期只做成本记录入口；不做财务级成本核算。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记录入口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奖惩模块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生产端新增奖惩模块，未来可关联绩效。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C：不进一期核心开发，放二期。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C6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行政 / 财务扩展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后期可能加行政管理和财务模块。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C：一期只做架构预留，不开发完整行政/财务流程。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架构预留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三、已采用的默认解释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00"/>
        <w:gridCol w:w="3000"/>
        <w:gridCol w:w="5660"/>
      </w:tblGrid>
      <w:tr>
        <w:trPr>
          <w:tblHeader w:val="true"/>
          <w:cantSplit/>
        </w:trPr>
        <w:tc>
          <w:tcPr>
            <w:tcW w:type="dxa" w:w="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序号</w:t>
            </w:r>
          </w:p>
        </w:tc>
        <w:tc>
          <w:tcPr>
            <w:tcW w:type="dxa" w:w="30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事项</w:t>
            </w:r>
          </w:p>
        </w:tc>
        <w:tc>
          <w:tcPr>
            <w:tcW w:type="dxa" w:w="56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默认解释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一期策略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A 全部纳入一期；B 做基础高频项；C 只做入口、基础台账或预留。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强行要求 A+B+C 全部一期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不直接答应，先重估工期和费用。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“代问异常”名称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统一使用“待问异常”，表示需要向客户、客服或生产负责人补问确认的异常。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支付范围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一期只做账单、付款状态、物流信息展示，不接微信、支付宝、Stripe。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统计口径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销量先统一按订单数量/件数，不先做金额销售报表；排名优先按订单数/件数。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6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角色权限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Manager/Admin 为最高权限总览；后续按医生、诊所管理员、客服、生产员工、组长、主管、经理、管理员分配权限。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四、执行边界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82538"/>
          <w:sz w:val="21"/>
        </w:rPr>
        <w:t>以下边界用于约束开发，不在一期内悄悄扩大范围：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范围</w:t>
            </w:r>
          </w:p>
        </w:tc>
        <w:tc>
          <w:tcPr>
            <w:tcW w:type="dxa" w:w="71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执行口径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医生端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菜单固定为看板管理、医生订单、患者管理、支付/账单管理、账户设置、线上沟通、医生AI/订单助手、通知中心。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客服端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模块固定为订单、沟通、客户、产品、配送、账单、外协；外协一期只做基础记录和状态。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生产端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删除工作单；生产中改生产异常；物料异常改物料管理；内返/外返纳入一期基础版。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管理端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Manager/Admin 作为最高权限总览；管理菜单先统一入口，深度功能按 A/B/C 分层。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C 类模块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设备、物料、安环、成本、奖惩、行政、财务不做完整闭环，避免一期范围失控。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五、建议下一步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按本文件冻结 A/B/C 分层和默认解释，作为当前开发基准。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把一期页面菜单、字段、状态和验收清单统一改成内部确认版。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按确认后的范围拆分开发任务，避免继续按旧前端演示稿推进。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若后续客户要求 A+B+C 全部一期完成，应先重新确认工期、费用和上线时间。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E6C84"/>
        <w:sz w:val="18"/>
      </w:rPr>
      <w:t>AI智能下单平台  新需求范围内部确认版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