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pPr>
      <w:r>
        <w:rPr>
          <w:rFonts w:ascii="Arial" w:hAnsi="Arial" w:eastAsia="PingFang SC" w:cs="PingFang SC"/>
          <w:b/>
          <w:color w:val="7A5A00"/>
          <w:sz w:val="18"/>
        </w:rPr>
        <w:t>QUALITY &amp; RELEASE</w:t>
      </w:r>
    </w:p>
    <w:p>
      <w:pPr>
        <w:spacing w:before="0" w:after="80" w:line="240" w:lineRule="auto"/>
      </w:pPr>
      <w:r>
        <w:rPr>
          <w:rFonts w:ascii="Arial" w:hAnsi="Arial" w:eastAsia="PingFang SC" w:cs="PingFang SC"/>
          <w:b/>
          <w:color w:val="0B2545"/>
          <w:sz w:val="50"/>
        </w:rPr>
        <w:t>AI智能下单平台</w:t>
      </w:r>
    </w:p>
    <w:p>
      <w:pPr>
        <w:spacing w:before="0" w:after="280" w:line="252" w:lineRule="auto"/>
      </w:pPr>
      <w:r>
        <w:rPr>
          <w:rFonts w:ascii="Arial" w:hAnsi="Arial" w:eastAsia="PingFang SC" w:cs="PingFang SC"/>
          <w:b/>
          <w:color w:val="1F4D78"/>
          <w:sz w:val="28"/>
        </w:rPr>
        <w:t>2026-08-17 线上黑盒复测缺陷修复与发布报告</w:t>
      </w:r>
    </w:p>
    <w:p>
      <w:pPr>
        <w:spacing w:before="0" w:after="40" w:line="240" w:lineRule="auto"/>
      </w:pPr>
      <w:r>
        <w:rPr>
          <w:rFonts w:ascii="Arial" w:hAnsi="Arial" w:eastAsia="PingFang SC" w:cs="PingFang SC"/>
          <w:b/>
          <w:color w:val="1F2937"/>
          <w:sz w:val="20"/>
        </w:rPr>
        <w:t>报告日期：</w:t>
      </w:r>
      <w:r>
        <w:rPr>
          <w:rFonts w:ascii="Arial" w:hAnsi="Arial" w:eastAsia="PingFang SC" w:cs="PingFang SC"/>
          <w:color w:val="1F2937"/>
          <w:sz w:val="20"/>
        </w:rPr>
        <w:t>2026-08-17</w:t>
      </w:r>
    </w:p>
    <w:p>
      <w:pPr>
        <w:spacing w:before="0" w:after="40" w:line="240" w:lineRule="auto"/>
      </w:pPr>
      <w:r>
        <w:rPr>
          <w:rFonts w:ascii="Arial" w:hAnsi="Arial" w:eastAsia="PingFang SC" w:cs="PingFang SC"/>
          <w:b/>
          <w:color w:val="1F2937"/>
          <w:sz w:val="20"/>
        </w:rPr>
        <w:t>复测来源：</w:t>
      </w:r>
      <w:r>
        <w:rPr>
          <w:rFonts w:ascii="Arial" w:hAnsi="Arial" w:eastAsia="PingFang SC" w:cs="PingFang SC"/>
          <w:color w:val="1F2937"/>
          <w:sz w:val="20"/>
        </w:rPr>
        <w:t>2026-08-17_线上黑盒复测_103822</w:t>
      </w:r>
    </w:p>
    <w:p>
      <w:pPr>
        <w:spacing w:before="0" w:after="40" w:line="240" w:lineRule="auto"/>
      </w:pPr>
      <w:r>
        <w:rPr>
          <w:rFonts w:ascii="Arial" w:hAnsi="Arial" w:eastAsia="PingFang SC" w:cs="PingFang SC"/>
          <w:b/>
          <w:color w:val="1F2937"/>
          <w:sz w:val="20"/>
        </w:rPr>
        <w:t>正式版本：</w:t>
      </w:r>
      <w:r>
        <w:rPr>
          <w:rFonts w:ascii="Arial" w:hAnsi="Arial" w:eastAsia="PingFang SC" w:cs="PingFang SC"/>
          <w:color w:val="1F2937"/>
          <w:sz w:val="20"/>
        </w:rPr>
        <w:t>f2c5d6a73f81741db267a0ebf50ea72963203beb</w:t>
      </w:r>
    </w:p>
    <w:p>
      <w:pPr>
        <w:spacing w:before="0" w:after="40" w:line="240" w:lineRule="auto"/>
      </w:pPr>
      <w:r>
        <w:rPr>
          <w:rFonts w:ascii="Arial" w:hAnsi="Arial" w:eastAsia="PingFang SC" w:cs="PingFang SC"/>
          <w:b/>
          <w:color w:val="1F2937"/>
          <w:sz w:val="20"/>
        </w:rPr>
        <w:t>发布结果：</w:t>
      </w:r>
      <w:r>
        <w:rPr>
          <w:rFonts w:ascii="Arial" w:hAnsi="Arial" w:eastAsia="PingFang SC" w:cs="PingFang SC"/>
          <w:color w:val="1F2937"/>
          <w:sz w:val="20"/>
        </w:rPr>
        <w:t>Deploy production #32001893440 · success</w:t>
      </w:r>
    </w:p>
    <w:p>
      <w:pPr>
        <w:spacing w:before="100" w:after="240" w:line="240" w:lineRule="auto"/>
        <w:pBdr>
          <w:bottom w:val="single" w:sz="14" w:space="5" w:color="2E74B5"/>
        </w:pBdr>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shd w:fill="F4F6F9"/>
          </w:tcPr>
          <w:p>
            <w:pPr>
              <w:spacing w:before="0" w:after="40" w:line="269" w:lineRule="auto"/>
            </w:pPr>
            <w:r>
              <w:rPr>
                <w:rFonts w:ascii="Arial" w:hAnsi="Arial" w:eastAsia="PingFang SC" w:cs="PingFang SC"/>
                <w:b/>
                <w:color w:val="2E74B5"/>
                <w:sz w:val="22"/>
              </w:rPr>
              <w:t xml:space="preserve">核心结论  </w:t>
            </w:r>
            <w:r>
              <w:rPr>
                <w:rFonts w:ascii="Arial" w:hAnsi="Arial" w:eastAsia="PingFang SC" w:cs="PingFang SC"/>
                <w:b/>
                <w:color w:val="0B2545"/>
                <w:sz w:val="22"/>
              </w:rPr>
              <w:t>本轮复测确认的 5 个缺陷编号已由 4 类代码修改覆盖并发布；客服代下单按用户确认移出一期。</w:t>
            </w:r>
          </w:p>
          <w:p>
            <w:pPr>
              <w:spacing w:before="0" w:after="0" w:line="264" w:lineRule="auto"/>
            </w:pPr>
            <w:r>
              <w:rPr>
                <w:rFonts w:ascii="Arial" w:hAnsi="Arial" w:eastAsia="PingFang SC" w:cs="PingFang SC"/>
                <w:color w:val="1F2937"/>
                <w:sz w:val="20"/>
              </w:rPr>
              <w:t>不能据此把整份 17 条用例报告标为“全部通过”：测试方仍需基于当前正式版本重跑 5 条未执行用例和其余 PARTIAL 项。</w:t>
            </w:r>
          </w:p>
        </w:tc>
      </w:tr>
    </w:tbl>
    <w:p>
      <w:pPr>
        <w:spacing w:after="40"/>
      </w:pP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cantSplit/>
        </w:trPr>
        <w:tc>
          <w:tcPr>
            <w:tcW w:type="dxa" w:w="234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shd w:fill="E8EEF5"/>
          </w:tcPr>
          <w:p>
            <w:pPr>
              <w:spacing w:before="0" w:after="20" w:line="240" w:lineRule="auto"/>
              <w:jc w:val="center"/>
            </w:pPr>
            <w:r>
              <w:rPr>
                <w:rFonts w:ascii="Arial" w:hAnsi="Arial" w:eastAsia="PingFang SC" w:cs="PingFang SC"/>
                <w:b/>
                <w:color w:val="0B2545"/>
                <w:sz w:val="30"/>
              </w:rPr>
              <w:t>5</w:t>
            </w:r>
          </w:p>
          <w:p>
            <w:pPr>
              <w:spacing w:before="0" w:after="0" w:line="240" w:lineRule="auto"/>
              <w:jc w:val="center"/>
            </w:pPr>
            <w:r>
              <w:rPr>
                <w:rFonts w:ascii="Arial" w:hAnsi="Arial" w:eastAsia="PingFang SC" w:cs="PingFang SC"/>
                <w:color w:val="5B6472"/>
                <w:sz w:val="17"/>
              </w:rPr>
              <w:t>缺陷编号已处理</w:t>
            </w:r>
          </w:p>
        </w:tc>
        <w:tc>
          <w:tcPr>
            <w:tcW w:type="dxa" w:w="234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shd w:fill="E8EEF5"/>
          </w:tcPr>
          <w:p>
            <w:pPr>
              <w:spacing w:before="0" w:after="20" w:line="240" w:lineRule="auto"/>
              <w:jc w:val="center"/>
            </w:pPr>
            <w:r>
              <w:rPr>
                <w:rFonts w:ascii="Arial" w:hAnsi="Arial" w:eastAsia="PingFang SC" w:cs="PingFang SC"/>
                <w:b/>
                <w:color w:val="0B2545"/>
                <w:sz w:val="30"/>
              </w:rPr>
              <w:t>1</w:t>
            </w:r>
          </w:p>
          <w:p>
            <w:pPr>
              <w:spacing w:before="0" w:after="0" w:line="240" w:lineRule="auto"/>
              <w:jc w:val="center"/>
            </w:pPr>
            <w:r>
              <w:rPr>
                <w:rFonts w:ascii="Arial" w:hAnsi="Arial" w:eastAsia="PingFang SC" w:cs="PingFang SC"/>
                <w:color w:val="5B6472"/>
                <w:sz w:val="17"/>
              </w:rPr>
              <w:t>一期范围项已校准</w:t>
            </w:r>
          </w:p>
        </w:tc>
        <w:tc>
          <w:tcPr>
            <w:tcW w:type="dxa" w:w="234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shd w:fill="E8EEF5"/>
          </w:tcPr>
          <w:p>
            <w:pPr>
              <w:spacing w:before="0" w:after="20" w:line="240" w:lineRule="auto"/>
              <w:jc w:val="center"/>
            </w:pPr>
            <w:r>
              <w:rPr>
                <w:rFonts w:ascii="Arial" w:hAnsi="Arial" w:eastAsia="PingFang SC" w:cs="PingFang SC"/>
                <w:b/>
                <w:color w:val="0B2545"/>
                <w:sz w:val="30"/>
              </w:rPr>
              <w:t>351</w:t>
            </w:r>
          </w:p>
          <w:p>
            <w:pPr>
              <w:spacing w:before="0" w:after="0" w:line="240" w:lineRule="auto"/>
              <w:jc w:val="center"/>
            </w:pPr>
            <w:r>
              <w:rPr>
                <w:rFonts w:ascii="Arial" w:hAnsi="Arial" w:eastAsia="PingFang SC" w:cs="PingFang SC"/>
                <w:color w:val="5B6472"/>
                <w:sz w:val="17"/>
              </w:rPr>
              <w:t>后端测试全绿</w:t>
            </w:r>
          </w:p>
        </w:tc>
        <w:tc>
          <w:tcPr>
            <w:tcW w:type="dxa" w:w="234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shd w:fill="E8EEF5"/>
          </w:tcPr>
          <w:p>
            <w:pPr>
              <w:spacing w:before="0" w:after="20" w:line="240" w:lineRule="auto"/>
              <w:jc w:val="center"/>
            </w:pPr>
            <w:r>
              <w:rPr>
                <w:rFonts w:ascii="Arial" w:hAnsi="Arial" w:eastAsia="PingFang SC" w:cs="PingFang SC"/>
                <w:b/>
                <w:color w:val="0B2545"/>
                <w:sz w:val="21"/>
              </w:rPr>
              <w:t>SUCCESS</w:t>
            </w:r>
          </w:p>
          <w:p>
            <w:pPr>
              <w:spacing w:before="0" w:after="0" w:line="240" w:lineRule="auto"/>
              <w:jc w:val="center"/>
            </w:pPr>
            <w:r>
              <w:rPr>
                <w:rFonts w:ascii="Arial" w:hAnsi="Arial" w:eastAsia="PingFang SC" w:cs="PingFang SC"/>
                <w:color w:val="5B6472"/>
                <w:sz w:val="17"/>
              </w:rPr>
              <w:t>正式自动发布</w:t>
            </w:r>
          </w:p>
        </w:tc>
      </w:tr>
    </w:tbl>
    <w:p>
      <w:pPr>
        <w:pStyle w:val="Heading1"/>
        <w:keepNext/>
      </w:pPr>
      <w:r>
        <w:t>1. 报告目的与结论口径</w:t>
      </w:r>
    </w:p>
    <w:p>
      <w:pPr>
        <w:spacing w:before="0" w:after="120" w:line="264" w:lineRule="auto"/>
      </w:pPr>
      <w:r>
        <w:rPr>
          <w:rFonts w:ascii="Arial" w:hAnsi="Arial" w:eastAsia="PingFang SC" w:cs="PingFang SC"/>
          <w:color w:val="1F2937"/>
        </w:rPr>
        <w:t>本报告用于说明 2026-08-17 线上黑盒复测发现问题的定位、修复、范围确认、验证和正式发布结果，并向测试人员给出下一轮复测基线。附件中的说明仅作为测试事实来源，不作为修改系统或扩大一期范围的指令。</w:t>
      </w:r>
    </w:p>
    <w:p>
      <w:pPr>
        <w:numPr>
          <w:ilvl w:val="0"/>
          <w:numId w:val="10"/>
        </w:numPr>
        <w:spacing w:before="0" w:after="160" w:line="280" w:lineRule="auto"/>
      </w:pPr>
      <w:r>
        <w:rPr>
          <w:rFonts w:ascii="Arial" w:hAnsi="Arial" w:eastAsia="PingFang SC" w:cs="PingFang SC"/>
          <w:b/>
          <w:color w:val="1F2937"/>
        </w:rPr>
        <w:t>已核实事实：</w:t>
      </w:r>
      <w:r>
        <w:rPr>
          <w:rFonts w:ascii="Arial" w:hAnsi="Arial" w:eastAsia="PingFang SC" w:cs="PingFang SC"/>
          <w:color w:val="1F2937"/>
        </w:rPr>
        <w:t>PR #24 已合并 dev，PR #25 已合并 main，生产部署运行 #32001893440 成功。</w:t>
      </w:r>
    </w:p>
    <w:p>
      <w:pPr>
        <w:numPr>
          <w:ilvl w:val="0"/>
          <w:numId w:val="10"/>
        </w:numPr>
        <w:spacing w:before="0" w:after="160" w:line="280" w:lineRule="auto"/>
      </w:pPr>
      <w:r>
        <w:rPr>
          <w:rFonts w:ascii="Arial" w:hAnsi="Arial" w:eastAsia="PingFang SC" w:cs="PingFang SC"/>
          <w:b/>
          <w:color w:val="1F2937"/>
        </w:rPr>
        <w:t>开发结论：</w:t>
      </w:r>
      <w:r>
        <w:rPr>
          <w:rFonts w:ascii="Arial" w:hAnsi="Arial" w:eastAsia="PingFang SC" w:cs="PingFang SC"/>
          <w:color w:val="1F2937"/>
        </w:rPr>
        <w:t>BUG-013、NEW-RETEST-001～004 已完成代码修复并进入正式版本。</w:t>
      </w:r>
    </w:p>
    <w:p>
      <w:pPr>
        <w:numPr>
          <w:ilvl w:val="0"/>
          <w:numId w:val="10"/>
        </w:numPr>
        <w:spacing w:before="0" w:after="160" w:line="280" w:lineRule="auto"/>
      </w:pPr>
      <w:r>
        <w:rPr>
          <w:rFonts w:ascii="Arial" w:hAnsi="Arial" w:eastAsia="PingFang SC" w:cs="PingFang SC"/>
          <w:b/>
          <w:color w:val="1F2937"/>
        </w:rPr>
        <w:t>范围结论：</w:t>
      </w:r>
      <w:r>
        <w:rPr>
          <w:rFonts w:ascii="Arial" w:hAnsi="Arial" w:eastAsia="PingFang SC" w:cs="PingFang SC"/>
          <w:color w:val="1F2937"/>
        </w:rPr>
        <w:t>NEW-RETEST-005 与一期范围冲突，按 D-196 移出一期缺陷判定，不制作空页面或假跳转。</w:t>
      </w:r>
    </w:p>
    <w:p>
      <w:pPr>
        <w:numPr>
          <w:ilvl w:val="0"/>
          <w:numId w:val="10"/>
        </w:numPr>
        <w:spacing w:before="0" w:after="160" w:line="280" w:lineRule="auto"/>
      </w:pPr>
      <w:r>
        <w:rPr>
          <w:rFonts w:ascii="Arial" w:hAnsi="Arial" w:eastAsia="PingFang SC" w:cs="PingFang SC"/>
          <w:b/>
          <w:color w:val="1F2937"/>
        </w:rPr>
        <w:t>验收边界：</w:t>
      </w:r>
      <w:r>
        <w:rPr>
          <w:rFonts w:ascii="Arial" w:hAnsi="Arial" w:eastAsia="PingFang SC" w:cs="PingFang SC"/>
          <w:color w:val="1F2937"/>
        </w:rPr>
        <w:t>本报告不是测试签字单；未执行和 PARTIAL 用例必须由测试方重跑后才能正式关闭。</w:t>
      </w:r>
    </w:p>
    <w:p>
      <w:pPr>
        <w:pStyle w:val="Heading1"/>
        <w:keepNext/>
      </w:pPr>
      <w:r>
        <w:t>2. 复测来源基线</w:t>
      </w:r>
    </w:p>
    <w:p>
      <w:pPr>
        <w:spacing w:before="0" w:after="120" w:line="264" w:lineRule="auto"/>
      </w:pPr>
      <w:r>
        <w:rPr>
          <w:rFonts w:ascii="Arial" w:hAnsi="Arial" w:eastAsia="PingFang SC" w:cs="PingFang SC"/>
          <w:color w:val="1F2937"/>
        </w:rPr>
        <w:t>原复测包统计为 PASS 6、PARTIAL 4、FAIL 2、BLOCKED 0、NOT RUN 5，共 17 条。BUG-013 在“保存当前产品”三击时产生 3 个相同 PUT（409、409、200），触发测试方安全停止，因此后续业务写入链路未继续执行。</w:t>
      </w:r>
    </w:p>
    <w:tbl>
      <w:tblPr>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cantSplit/>
          <w:tblHeader w:val="true"/>
        </w:trPr>
        <w:tc>
          <w:tcPr>
            <w:tcW w:type="dxa" w:w="1872"/>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shd w:fill="F2F4F7"/>
          </w:tcPr>
          <w:p>
            <w:pPr>
              <w:spacing w:before="0" w:after="0" w:line="259" w:lineRule="auto"/>
              <w:jc w:val="center"/>
            </w:pPr>
            <w:r>
              <w:rPr>
                <w:rFonts w:ascii="Arial" w:hAnsi="Arial" w:eastAsia="PingFang SC" w:cs="PingFang SC"/>
                <w:b/>
                <w:color w:val="0B2545"/>
                <w:sz w:val="18"/>
              </w:rPr>
              <w:t>PASS</w:t>
            </w:r>
          </w:p>
        </w:tc>
        <w:tc>
          <w:tcPr>
            <w:tcW w:type="dxa" w:w="1872"/>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shd w:fill="F2F4F7"/>
          </w:tcPr>
          <w:p>
            <w:pPr>
              <w:spacing w:before="0" w:after="0" w:line="259" w:lineRule="auto"/>
              <w:jc w:val="center"/>
            </w:pPr>
            <w:r>
              <w:rPr>
                <w:rFonts w:ascii="Arial" w:hAnsi="Arial" w:eastAsia="PingFang SC" w:cs="PingFang SC"/>
                <w:b/>
                <w:color w:val="0B2545"/>
                <w:sz w:val="18"/>
              </w:rPr>
              <w:t>PARTIAL</w:t>
            </w:r>
          </w:p>
        </w:tc>
        <w:tc>
          <w:tcPr>
            <w:tcW w:type="dxa" w:w="1872"/>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shd w:fill="F2F4F7"/>
          </w:tcPr>
          <w:p>
            <w:pPr>
              <w:spacing w:before="0" w:after="0" w:line="259" w:lineRule="auto"/>
              <w:jc w:val="center"/>
            </w:pPr>
            <w:r>
              <w:rPr>
                <w:rFonts w:ascii="Arial" w:hAnsi="Arial" w:eastAsia="PingFang SC" w:cs="PingFang SC"/>
                <w:b/>
                <w:color w:val="0B2545"/>
                <w:sz w:val="18"/>
              </w:rPr>
              <w:t>FAIL</w:t>
            </w:r>
          </w:p>
        </w:tc>
        <w:tc>
          <w:tcPr>
            <w:tcW w:type="dxa" w:w="1872"/>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shd w:fill="F2F4F7"/>
          </w:tcPr>
          <w:p>
            <w:pPr>
              <w:spacing w:before="0" w:after="0" w:line="259" w:lineRule="auto"/>
              <w:jc w:val="center"/>
            </w:pPr>
            <w:r>
              <w:rPr>
                <w:rFonts w:ascii="Arial" w:hAnsi="Arial" w:eastAsia="PingFang SC" w:cs="PingFang SC"/>
                <w:b/>
                <w:color w:val="0B2545"/>
                <w:sz w:val="18"/>
              </w:rPr>
              <w:t>BLOCKED</w:t>
            </w:r>
          </w:p>
        </w:tc>
        <w:tc>
          <w:tcPr>
            <w:tcW w:type="dxa" w:w="1872"/>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shd w:fill="F2F4F7"/>
          </w:tcPr>
          <w:p>
            <w:pPr>
              <w:spacing w:before="0" w:after="0" w:line="259" w:lineRule="auto"/>
              <w:jc w:val="center"/>
            </w:pPr>
            <w:r>
              <w:rPr>
                <w:rFonts w:ascii="Arial" w:hAnsi="Arial" w:eastAsia="PingFang SC" w:cs="PingFang SC"/>
                <w:b/>
                <w:color w:val="0B2545"/>
                <w:sz w:val="18"/>
              </w:rPr>
              <w:t>NOT RUN</w:t>
            </w:r>
          </w:p>
        </w:tc>
      </w:tr>
      <w:tr>
        <w:trPr>
          <w:cantSplit/>
        </w:trPr>
        <w:tc>
          <w:tcPr>
            <w:tcW w:type="dxa" w:w="1872"/>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1F6D45"/>
                <w:sz w:val="26"/>
              </w:rPr>
              <w:t>6</w:t>
            </w:r>
          </w:p>
        </w:tc>
        <w:tc>
          <w:tcPr>
            <w:tcW w:type="dxa" w:w="1872"/>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7A5A00"/>
                <w:sz w:val="26"/>
              </w:rPr>
              <w:t>4</w:t>
            </w:r>
          </w:p>
        </w:tc>
        <w:tc>
          <w:tcPr>
            <w:tcW w:type="dxa" w:w="1872"/>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9B1C1C"/>
                <w:sz w:val="26"/>
              </w:rPr>
              <w:t>2</w:t>
            </w:r>
          </w:p>
        </w:tc>
        <w:tc>
          <w:tcPr>
            <w:tcW w:type="dxa" w:w="1872"/>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5B6472"/>
                <w:sz w:val="26"/>
              </w:rPr>
              <w:t>0</w:t>
            </w:r>
          </w:p>
        </w:tc>
        <w:tc>
          <w:tcPr>
            <w:tcW w:type="dxa" w:w="1872"/>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7A5A00"/>
                <w:sz w:val="26"/>
              </w:rPr>
              <w:t>5</w:t>
            </w:r>
          </w:p>
        </w:tc>
      </w:tr>
    </w:tbl>
    <w:p>
      <w:pPr>
        <w:pStyle w:val="Heading1"/>
        <w:keepNext/>
      </w:pPr>
      <w:r>
        <w:t>3. 修复结果与处置矩阵</w:t>
      </w:r>
    </w:p>
    <w:p>
      <w:pPr>
        <w:spacing w:before="0" w:after="120" w:line="264" w:lineRule="auto"/>
      </w:pPr>
      <w:r>
        <w:rPr>
          <w:rFonts w:ascii="Arial" w:hAnsi="Arial" w:eastAsia="PingFang SC" w:cs="PingFang SC"/>
          <w:color w:val="1F2937"/>
        </w:rPr>
        <w:t>“已修复并发布”表示代码、自动化验证和生产发布均已完成；不等同于原测试方已经在正式环境签字关闭。</w:t>
      </w:r>
    </w:p>
    <w:tbl>
      <w:tblPr>
        <w:tblW w:type="dxa" w:w="9360"/>
        <w:jc w:val="left"/>
        <w:tblLayout w:type="fixed"/>
        <w:tblLook w:firstColumn="1" w:firstRow="1" w:lastColumn="0" w:lastRow="0" w:noHBand="0" w:noVBand="1" w:val="04A0"/>
        <w:tblInd w:w="120" w:type="dxa"/>
      </w:tblPr>
      <w:tblGrid>
        <w:gridCol w:w="1320"/>
        <w:gridCol w:w="2640"/>
        <w:gridCol w:w="1440"/>
        <w:gridCol w:w="3960"/>
      </w:tblGrid>
      <w:tr>
        <w:trPr>
          <w:tblHeader w:val="true"/>
          <w:cantSplit/>
        </w:trPr>
        <w:tc>
          <w:tcPr>
            <w:tcW w:type="dxa" w:w="1320"/>
            <w:shd w:fill="F2F4F7"/>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0B2545"/>
                <w:sz w:val="18"/>
              </w:rPr>
              <w:t>缺陷编号</w:t>
            </w:r>
          </w:p>
        </w:tc>
        <w:tc>
          <w:tcPr>
            <w:tcW w:type="dxa" w:w="2640"/>
            <w:shd w:fill="F2F4F7"/>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0B2545"/>
                <w:sz w:val="18"/>
              </w:rPr>
              <w:t>复测问题</w:t>
            </w:r>
          </w:p>
        </w:tc>
        <w:tc>
          <w:tcPr>
            <w:tcW w:type="dxa" w:w="1440"/>
            <w:shd w:fill="F2F4F7"/>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0B2545"/>
                <w:sz w:val="18"/>
              </w:rPr>
              <w:t>处理结果</w:t>
            </w:r>
          </w:p>
        </w:tc>
        <w:tc>
          <w:tcPr>
            <w:tcW w:type="dxa" w:w="3960"/>
            <w:shd w:fill="F2F4F7"/>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0B2545"/>
                <w:sz w:val="18"/>
              </w:rPr>
              <w:t>修复或范围决定</w:t>
            </w:r>
          </w:p>
        </w:tc>
      </w:tr>
      <w:tr>
        <w:trPr>
          <w:cantSplit/>
        </w:trPr>
        <w:tc>
          <w:tcPr>
            <w:tcW w:type="dxa" w:w="132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0B2545"/>
                <w:sz w:val="18"/>
              </w:rPr>
              <w:t>BUG-013</w:t>
            </w:r>
          </w:p>
        </w:tc>
        <w:tc>
          <w:tcPr>
            <w:tcW w:type="dxa" w:w="264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“保存当前产品”三击产生 3 个相同 PUT，并出现 409 冲突。</w:t>
            </w:r>
          </w:p>
        </w:tc>
        <w:tc>
          <w:tcPr>
            <w:tcW w:type="dxa" w:w="1440"/>
            <w:shd w:fill="E9F5EE"/>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1F6D45"/>
                <w:sz w:val="18"/>
              </w:rPr>
              <w:t>已修复并发布</w:t>
            </w:r>
          </w:p>
        </w:tc>
        <w:tc>
          <w:tcPr>
            <w:tcW w:type="dxa" w:w="396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直接保存入口同步持有 busy 互斥锁；批量保存、上传和删除附件复用无锁内部方法，避免重入。</w:t>
            </w:r>
          </w:p>
        </w:tc>
      </w:tr>
      <w:tr>
        <w:trPr>
          <w:cantSplit/>
        </w:trPr>
        <w:tc>
          <w:tcPr>
            <w:tcW w:type="dxa" w:w="132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0B2545"/>
                <w:sz w:val="18"/>
              </w:rPr>
              <w:t>NEW-RETEST-001</w:t>
            </w:r>
          </w:p>
        </w:tc>
        <w:tc>
          <w:tcPr>
            <w:tcW w:type="dxa" w:w="264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生产端绩效列表与详情请求返回 400。</w:t>
            </w:r>
          </w:p>
        </w:tc>
        <w:tc>
          <w:tcPr>
            <w:tcW w:type="dxa" w:w="1440"/>
            <w:shd w:fill="E9F5EE"/>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1F6D45"/>
                <w:sz w:val="18"/>
              </w:rPr>
              <w:t>已修复并发布</w:t>
            </w:r>
          </w:p>
        </w:tc>
        <w:tc>
          <w:tcPr>
            <w:tcW w:type="dxa" w:w="396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具备 performance:read-all 的人员未指定 user_id 时安全回落到本人；显式指定时仍读取目标人员。</w:t>
            </w:r>
          </w:p>
        </w:tc>
      </w:tr>
      <w:tr>
        <w:trPr>
          <w:cantSplit/>
        </w:trPr>
        <w:tc>
          <w:tcPr>
            <w:tcW w:type="dxa" w:w="132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0B2545"/>
                <w:sz w:val="18"/>
              </w:rPr>
              <w:t>NEW-RETEST-002</w:t>
            </w:r>
          </w:p>
        </w:tc>
        <w:tc>
          <w:tcPr>
            <w:tcW w:type="dxa" w:w="264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管理工作台“查看进度”对前置订单请求工序实例并产生 404。</w:t>
            </w:r>
          </w:p>
        </w:tc>
        <w:tc>
          <w:tcPr>
            <w:tcW w:type="dxa" w:w="1440"/>
            <w:shd w:fill="E9F5EE"/>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1F6D45"/>
                <w:sz w:val="18"/>
              </w:rPr>
              <w:t>已修复并发布</w:t>
            </w:r>
          </w:p>
        </w:tc>
        <w:tc>
          <w:tcPr>
            <w:tcW w:type="dxa" w:w="396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按订单内部状态判断是否可能存在工序实例；前置状态不发请求并显示合法未生成状态。</w:t>
            </w:r>
          </w:p>
        </w:tc>
      </w:tr>
      <w:tr>
        <w:trPr>
          <w:cantSplit/>
        </w:trPr>
        <w:tc>
          <w:tcPr>
            <w:tcW w:type="dxa" w:w="132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0B2545"/>
                <w:sz w:val="18"/>
              </w:rPr>
              <w:t>NEW-RETEST-003</w:t>
            </w:r>
          </w:p>
        </w:tc>
        <w:tc>
          <w:tcPr>
            <w:tcW w:type="dxa" w:w="264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管理工作台缺少“查看全部”入口。</w:t>
            </w:r>
          </w:p>
        </w:tc>
        <w:tc>
          <w:tcPr>
            <w:tcW w:type="dxa" w:w="1440"/>
            <w:shd w:fill="E9F5EE"/>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1F6D45"/>
                <w:sz w:val="18"/>
              </w:rPr>
              <w:t>已修复并发布</w:t>
            </w:r>
          </w:p>
        </w:tc>
        <w:tc>
          <w:tcPr>
            <w:tcW w:type="dxa" w:w="396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新增可访问的“查看全部”按钮，进入 /orders/internal 订单列表。</w:t>
            </w:r>
          </w:p>
        </w:tc>
      </w:tr>
      <w:tr>
        <w:trPr>
          <w:cantSplit/>
        </w:trPr>
        <w:tc>
          <w:tcPr>
            <w:tcW w:type="dxa" w:w="132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0B2545"/>
                <w:sz w:val="18"/>
              </w:rPr>
              <w:t>NEW-RETEST-004</w:t>
            </w:r>
          </w:p>
        </w:tc>
        <w:tc>
          <w:tcPr>
            <w:tcW w:type="dxa" w:w="264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管理“工艺生产”批量请求不存在的工序实例并产生 404。</w:t>
            </w:r>
          </w:p>
        </w:tc>
        <w:tc>
          <w:tcPr>
            <w:tcW w:type="dxa" w:w="1440"/>
            <w:shd w:fill="E9F5EE"/>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1F6D45"/>
                <w:sz w:val="18"/>
              </w:rPr>
              <w:t>已修复并发布</w:t>
            </w:r>
          </w:p>
        </w:tc>
        <w:tc>
          <w:tcPr>
            <w:tcW w:type="dxa" w:w="396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工艺生产页复用相同状态判断；真实已进入工艺的订单仍正常请求流程实例。</w:t>
            </w:r>
          </w:p>
        </w:tc>
      </w:tr>
      <w:tr>
        <w:trPr>
          <w:cantSplit/>
        </w:trPr>
        <w:tc>
          <w:tcPr>
            <w:tcW w:type="dxa" w:w="132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0B2545"/>
                <w:sz w:val="18"/>
              </w:rPr>
              <w:t>NEW-RETEST-005</w:t>
            </w:r>
          </w:p>
        </w:tc>
        <w:tc>
          <w:tcPr>
            <w:tcW w:type="dxa" w:w="264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客服“新建订单”在桌面和移动端均禁用。</w:t>
            </w:r>
          </w:p>
        </w:tc>
        <w:tc>
          <w:tcPr>
            <w:tcW w:type="dxa" w:w="1440"/>
            <w:shd w:fill="FFF8E1"/>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7A5A00"/>
                <w:sz w:val="18"/>
              </w:rPr>
              <w:t>一期范围外</w:t>
            </w:r>
          </w:p>
        </w:tc>
        <w:tc>
          <w:tcPr>
            <w:tcW w:type="dxa" w:w="396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用户确认一期不包含客服代下单；按钮仅为未来功能视觉占位，不要求点击、跳转或调用 POST /orders。</w:t>
            </w:r>
          </w:p>
        </w:tc>
      </w:tr>
    </w:tbl>
    <w:p>
      <w:pPr>
        <w:pStyle w:val="Heading1"/>
        <w:keepNext/>
      </w:pPr>
      <w:r>
        <w:t>4. 根因与修复说明</w:t>
      </w:r>
    </w:p>
    <w:p>
      <w:pPr>
        <w:numPr>
          <w:ilvl w:val="0"/>
          <w:numId w:val="11"/>
        </w:numPr>
        <w:spacing w:before="0" w:after="160" w:line="280" w:lineRule="auto"/>
      </w:pPr>
      <w:r>
        <w:rPr>
          <w:rFonts w:ascii="Arial" w:hAnsi="Arial" w:eastAsia="PingFang SC" w:cs="PingFang SC"/>
          <w:color w:val="1F2937"/>
        </w:rPr>
        <w:t>重复保存：旧互斥只完整覆盖批量保存链路，直接单项保存入口在 Vue 完成重渲染前仍可被连续触发。修复后入口先同步设置 busy，再进入真正保存函数。</w:t>
      </w:r>
    </w:p>
    <w:p>
      <w:pPr>
        <w:numPr>
          <w:ilvl w:val="0"/>
          <w:numId w:val="11"/>
        </w:numPr>
        <w:spacing w:before="0" w:after="160" w:line="280" w:lineRule="auto"/>
      </w:pPr>
      <w:r>
        <w:rPr>
          <w:rFonts w:ascii="Arial" w:hAnsi="Arial" w:eastAsia="PingFang SC" w:cs="PingFang SC"/>
          <w:color w:val="1F2937"/>
        </w:rPr>
        <w:t>绩效 400：后端把“可读取全部人员”错误解释为“每次必须指定 user_id”。修复后未指定目标时读取本人，保留显式读取他人的能力。</w:t>
      </w:r>
    </w:p>
    <w:p>
      <w:pPr>
        <w:numPr>
          <w:ilvl w:val="0"/>
          <w:numId w:val="11"/>
        </w:numPr>
        <w:spacing w:before="0" w:after="160" w:line="280" w:lineRule="auto"/>
      </w:pPr>
      <w:r>
        <w:rPr>
          <w:rFonts w:ascii="Arial" w:hAnsi="Arial" w:eastAsia="PingFang SC" w:cs="PingFang SC"/>
          <w:color w:val="1F2937"/>
        </w:rPr>
        <w:t>工序 404：管理端默认所有可见订单都已生成工序实例，忽略草稿、客服审核、生产审核前等合法前置状态。修复后前置状态不再探测不存在的资源。</w:t>
      </w:r>
    </w:p>
    <w:p>
      <w:pPr>
        <w:numPr>
          <w:ilvl w:val="0"/>
          <w:numId w:val="11"/>
        </w:numPr>
        <w:spacing w:before="0" w:after="160" w:line="280" w:lineRule="auto"/>
      </w:pPr>
      <w:r>
        <w:rPr>
          <w:rFonts w:ascii="Arial" w:hAnsi="Arial" w:eastAsia="PingFang SC" w:cs="PingFang SC"/>
          <w:color w:val="1F2937"/>
        </w:rPr>
        <w:t>入口缺失：管理工作台待办卡只有数字徽标，没有批量进入订单列表的操作。现已增加明确导航并纳入浏览器回归。</w:t>
      </w:r>
    </w:p>
    <w:p>
      <w:pPr>
        <w:pStyle w:val="Heading1"/>
        <w:keepNext/>
      </w:pPr>
      <w:r>
        <w:t>5. 原缺陷清单的剩余复测边界</w:t>
      </w:r>
    </w:p>
    <w:tbl>
      <w:tblPr>
        <w:tblW w:type="dxa" w:w="9360"/>
        <w:jc w:val="left"/>
        <w:tblLayout w:type="fixed"/>
        <w:tblLook w:firstColumn="1" w:firstRow="1" w:lastColumn="0" w:lastRow="0" w:noHBand="0" w:noVBand="1" w:val="04A0"/>
        <w:tblInd w:w="120" w:type="dxa"/>
      </w:tblPr>
      <w:tblGrid>
        <w:gridCol w:w="2160"/>
        <w:gridCol w:w="1800"/>
        <w:gridCol w:w="5400"/>
      </w:tblGrid>
      <w:tr>
        <w:trPr>
          <w:tblHeader w:val="true"/>
          <w:cantSplit/>
        </w:trPr>
        <w:tc>
          <w:tcPr>
            <w:tcW w:type="dxa" w:w="2160"/>
            <w:shd w:fill="F2F4F7"/>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0B2545"/>
                <w:sz w:val="18"/>
              </w:rPr>
              <w:t>缺陷组</w:t>
            </w:r>
          </w:p>
        </w:tc>
        <w:tc>
          <w:tcPr>
            <w:tcW w:type="dxa" w:w="1800"/>
            <w:shd w:fill="F2F4F7"/>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0B2545"/>
                <w:sz w:val="18"/>
              </w:rPr>
              <w:t>2026-08-17 复测状态</w:t>
            </w:r>
          </w:p>
        </w:tc>
        <w:tc>
          <w:tcPr>
            <w:tcW w:type="dxa" w:w="5400"/>
            <w:shd w:fill="F2F4F7"/>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0B2545"/>
                <w:sz w:val="18"/>
              </w:rPr>
              <w:t>当前建议</w:t>
            </w:r>
          </w:p>
        </w:tc>
      </w:tr>
      <w:tr>
        <w:trPr>
          <w:cantSplit/>
        </w:trPr>
        <w:tc>
          <w:tcPr>
            <w:tcW w:type="dxa" w:w="216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0B2545"/>
                <w:sz w:val="18"/>
              </w:rPr>
              <w:t>BUG-011 / 020 / 025 / 029</w:t>
            </w:r>
          </w:p>
        </w:tc>
        <w:tc>
          <w:tcPr>
            <w:tcW w:type="dxa" w:w="180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7A5A00"/>
                <w:sz w:val="18"/>
              </w:rPr>
              <w:t>NOT RUN</w:t>
            </w:r>
          </w:p>
        </w:tc>
        <w:tc>
          <w:tcPr>
            <w:tcW w:type="dxa" w:w="540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安全停止后未执行，不能写成通过；按当前正式版本重跑附件一致性、删除、非法格式和扫码链路。</w:t>
            </w:r>
          </w:p>
        </w:tc>
      </w:tr>
      <w:tr>
        <w:trPr>
          <w:cantSplit/>
        </w:trPr>
        <w:tc>
          <w:tcPr>
            <w:tcW w:type="dxa" w:w="216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0B2545"/>
                <w:sz w:val="18"/>
              </w:rPr>
              <w:t>BUG-026 / 028</w:t>
            </w:r>
          </w:p>
        </w:tc>
        <w:tc>
          <w:tcPr>
            <w:tcW w:type="dxa" w:w="180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1F6D45"/>
                <w:sz w:val="18"/>
              </w:rPr>
              <w:t>功能复测通过</w:t>
            </w:r>
          </w:p>
        </w:tc>
        <w:tc>
          <w:tcPr>
            <w:tcW w:type="dxa" w:w="540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新版本未改坏相关能力的风险较低，但正式关闭仍由测试负责人按当前 SHA 确认。</w:t>
            </w:r>
          </w:p>
        </w:tc>
      </w:tr>
      <w:tr>
        <w:trPr>
          <w:cantSplit/>
        </w:trPr>
        <w:tc>
          <w:tcPr>
            <w:tcW w:type="dxa" w:w="216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0B2545"/>
                <w:sz w:val="18"/>
              </w:rPr>
              <w:t>BUG-027</w:t>
            </w:r>
          </w:p>
        </w:tc>
        <w:tc>
          <w:tcPr>
            <w:tcW w:type="dxa" w:w="180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7A5A00"/>
                <w:sz w:val="18"/>
              </w:rPr>
              <w:t>PARTIAL</w:t>
            </w:r>
          </w:p>
        </w:tc>
        <w:tc>
          <w:tcPr>
            <w:tcW w:type="dxa" w:w="540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窄屏无溢出已通过；客服代下单相关期望按 D-196 从一期用例移除。</w:t>
            </w:r>
          </w:p>
        </w:tc>
      </w:tr>
      <w:tr>
        <w:trPr>
          <w:cantSplit/>
        </w:trPr>
        <w:tc>
          <w:tcPr>
            <w:tcW w:type="dxa" w:w="216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0B2545"/>
                <w:sz w:val="18"/>
              </w:rPr>
              <w:t>BUG-012 / 019 / 021</w:t>
            </w:r>
          </w:p>
        </w:tc>
        <w:tc>
          <w:tcPr>
            <w:tcW w:type="dxa" w:w="180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7A5A00"/>
                <w:sz w:val="18"/>
              </w:rPr>
              <w:t>PARTIAL / PASS / PARTIAL</w:t>
            </w:r>
          </w:p>
        </w:tc>
        <w:tc>
          <w:tcPr>
            <w:tcW w:type="dxa" w:w="540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保留历史防回退结论；补后端空附件、文件回读哈希等未执行子项。</w:t>
            </w:r>
          </w:p>
        </w:tc>
      </w:tr>
    </w:tbl>
    <w:p>
      <w:pPr>
        <w:pStyle w:val="Heading1"/>
        <w:keepNext/>
      </w:pPr>
      <w:r>
        <w:t>6. 验证与质量证据</w:t>
      </w:r>
    </w:p>
    <w:tbl>
      <w:tblPr>
        <w:tblW w:type="dxa" w:w="9360"/>
        <w:jc w:val="left"/>
        <w:tblLayout w:type="fixed"/>
        <w:tblLook w:firstColumn="1" w:firstRow="1" w:lastColumn="0" w:lastRow="0" w:noHBand="0" w:noVBand="1" w:val="04A0"/>
        <w:tblInd w:w="120" w:type="dxa"/>
      </w:tblPr>
      <w:tblGrid>
        <w:gridCol w:w="2040"/>
        <w:gridCol w:w="1320"/>
        <w:gridCol w:w="6000"/>
      </w:tblGrid>
      <w:tr>
        <w:trPr>
          <w:tblHeader w:val="true"/>
          <w:cantSplit/>
        </w:trPr>
        <w:tc>
          <w:tcPr>
            <w:tcW w:type="dxa" w:w="2040"/>
            <w:shd w:fill="F2F4F7"/>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0B2545"/>
                <w:sz w:val="18"/>
              </w:rPr>
              <w:t>验证层级</w:t>
            </w:r>
          </w:p>
        </w:tc>
        <w:tc>
          <w:tcPr>
            <w:tcW w:type="dxa" w:w="1320"/>
            <w:shd w:fill="F2F4F7"/>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0B2545"/>
                <w:sz w:val="18"/>
              </w:rPr>
              <w:t>结果</w:t>
            </w:r>
          </w:p>
        </w:tc>
        <w:tc>
          <w:tcPr>
            <w:tcW w:type="dxa" w:w="6000"/>
            <w:shd w:fill="F2F4F7"/>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0B2545"/>
                <w:sz w:val="18"/>
              </w:rPr>
              <w:t>证据与说明</w:t>
            </w:r>
          </w:p>
        </w:tc>
      </w:tr>
      <w:tr>
        <w:trPr>
          <w:cantSplit/>
        </w:trPr>
        <w:tc>
          <w:tcPr>
            <w:tcW w:type="dxa" w:w="204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color w:val="0B2545"/>
                <w:sz w:val="18"/>
              </w:rPr>
              <w:t>数据库与后端</w:t>
            </w:r>
          </w:p>
        </w:tc>
        <w:tc>
          <w:tcPr>
            <w:tcW w:type="dxa" w:w="1320"/>
            <w:shd w:fill="E9F5EE"/>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1F6D45"/>
                <w:sz w:val="18"/>
              </w:rPr>
              <w:t>PASS</w:t>
            </w:r>
          </w:p>
        </w:tc>
        <w:tc>
          <w:tcPr>
            <w:tcW w:type="dxa" w:w="600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全新隔离数据库迁移至 V88；后端完整套件 351 tests，Failures 0、Errors 0、Skipped 0。</w:t>
            </w:r>
          </w:p>
        </w:tc>
      </w:tr>
      <w:tr>
        <w:trPr>
          <w:cantSplit/>
        </w:trPr>
        <w:tc>
          <w:tcPr>
            <w:tcW w:type="dxa" w:w="204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color w:val="0B2545"/>
                <w:sz w:val="18"/>
              </w:rPr>
              <w:t>前端构建</w:t>
            </w:r>
          </w:p>
        </w:tc>
        <w:tc>
          <w:tcPr>
            <w:tcW w:type="dxa" w:w="1320"/>
            <w:shd w:fill="E9F5EE"/>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1F6D45"/>
                <w:sz w:val="18"/>
              </w:rPr>
              <w:t>PASS</w:t>
            </w:r>
          </w:p>
        </w:tc>
        <w:tc>
          <w:tcPr>
            <w:tcW w:type="dxa" w:w="600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Vue TypeScript 检查与 Vite production build 通过。</w:t>
            </w:r>
          </w:p>
        </w:tc>
      </w:tr>
      <w:tr>
        <w:trPr>
          <w:cantSplit/>
        </w:trPr>
        <w:tc>
          <w:tcPr>
            <w:tcW w:type="dxa" w:w="204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color w:val="0B2545"/>
                <w:sz w:val="18"/>
              </w:rPr>
              <w:t>专项静态门禁</w:t>
            </w:r>
          </w:p>
        </w:tc>
        <w:tc>
          <w:tcPr>
            <w:tcW w:type="dxa" w:w="1320"/>
            <w:shd w:fill="E9F5EE"/>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1F6D45"/>
                <w:sz w:val="18"/>
              </w:rPr>
              <w:t>PASS</w:t>
            </w:r>
          </w:p>
        </w:tc>
        <w:tc>
          <w:tcPr>
            <w:tcW w:type="dxa" w:w="600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2026-08-16、2026-08-17 回归检查通过；新增门禁已接入生产发布工作流。</w:t>
            </w:r>
          </w:p>
        </w:tc>
      </w:tr>
      <w:tr>
        <w:trPr>
          <w:cantSplit/>
        </w:trPr>
        <w:tc>
          <w:tcPr>
            <w:tcW w:type="dxa" w:w="204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color w:val="0B2545"/>
                <w:sz w:val="18"/>
              </w:rPr>
              <w:t>角色与权限</w:t>
            </w:r>
          </w:p>
        </w:tc>
        <w:tc>
          <w:tcPr>
            <w:tcW w:type="dxa" w:w="1320"/>
            <w:shd w:fill="E9F5EE"/>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1F6D45"/>
                <w:sz w:val="18"/>
              </w:rPr>
              <w:t>PASS</w:t>
            </w:r>
          </w:p>
        </w:tc>
        <w:tc>
          <w:tcPr>
            <w:tcW w:type="dxa" w:w="600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细分角色、四端验收 RBAC、管理工作台和发布链检查通过。</w:t>
            </w:r>
          </w:p>
        </w:tc>
      </w:tr>
      <w:tr>
        <w:trPr>
          <w:cantSplit/>
        </w:trPr>
        <w:tc>
          <w:tcPr>
            <w:tcW w:type="dxa" w:w="204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color w:val="0B2545"/>
                <w:sz w:val="18"/>
              </w:rPr>
              <w:t>浏览器网络回归</w:t>
            </w:r>
          </w:p>
        </w:tc>
        <w:tc>
          <w:tcPr>
            <w:tcW w:type="dxa" w:w="1320"/>
            <w:shd w:fill="E9F5EE"/>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1F6D45"/>
                <w:sz w:val="18"/>
              </w:rPr>
              <w:t>PASS</w:t>
            </w:r>
          </w:p>
        </w:tc>
        <w:tc>
          <w:tcPr>
            <w:tcW w:type="dxa" w:w="600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管理“查看全部”可导航；前置订单不请求 process-instance；已进入工艺订单仍发起合法请求。</w:t>
            </w:r>
          </w:p>
        </w:tc>
      </w:tr>
      <w:tr>
        <w:trPr>
          <w:cantSplit/>
        </w:trPr>
        <w:tc>
          <w:tcPr>
            <w:tcW w:type="dxa" w:w="204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color w:val="0B2545"/>
                <w:sz w:val="18"/>
              </w:rPr>
              <w:t>正式站只读核验</w:t>
            </w:r>
          </w:p>
        </w:tc>
        <w:tc>
          <w:tcPr>
            <w:tcW w:type="dxa" w:w="1320"/>
            <w:shd w:fill="E9F5EE"/>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1F6D45"/>
                <w:sz w:val="18"/>
              </w:rPr>
              <w:t>PASS（有限）</w:t>
            </w:r>
          </w:p>
        </w:tc>
        <w:tc>
          <w:tcPr>
            <w:tcW w:type="dxa" w:w="600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首页 200；线上 JS 包包含 admin-view-all-todos、“查看全部”及前置状态判断；网站自身控制台无 error/warning。</w:t>
            </w:r>
          </w:p>
        </w:tc>
      </w:tr>
    </w:tbl>
    <w:p>
      <w:pPr>
        <w:pStyle w:val="Heading1"/>
        <w:keepNext/>
      </w:pPr>
      <w:r>
        <w:t>7. 发布记录</w:t>
      </w:r>
    </w:p>
    <w:tbl>
      <w:tblPr>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F2F4F7"/>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color w:val="0B2545"/>
                <w:sz w:val="18"/>
              </w:rPr>
              <w:t>修复提交</w:t>
            </w:r>
          </w:p>
        </w:tc>
        <w:tc>
          <w:tcPr>
            <w:tcW w:type="dxa" w:w="666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b9c6f602c64dd057b4c2a56cb80658958845e484</w:t>
            </w:r>
          </w:p>
        </w:tc>
      </w:tr>
      <w:tr>
        <w:trPr>
          <w:cantSplit/>
        </w:trPr>
        <w:tc>
          <w:tcPr>
            <w:tcW w:type="dxa" w:w="2700"/>
            <w:shd w:fill="F2F4F7"/>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color w:val="0B2545"/>
                <w:sz w:val="18"/>
              </w:rPr>
              <w:t>修复 PR</w:t>
            </w:r>
          </w:p>
        </w:tc>
        <w:tc>
          <w:tcPr>
            <w:tcW w:type="dxa" w:w="666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#24：fix/blackbox-regression-20260817 → dev</w:t>
            </w:r>
          </w:p>
        </w:tc>
      </w:tr>
      <w:tr>
        <w:trPr>
          <w:cantSplit/>
        </w:trPr>
        <w:tc>
          <w:tcPr>
            <w:tcW w:type="dxa" w:w="2700"/>
            <w:shd w:fill="F2F4F7"/>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color w:val="0B2545"/>
                <w:sz w:val="18"/>
              </w:rPr>
              <w:t>发布 PR</w:t>
            </w:r>
          </w:p>
        </w:tc>
        <w:tc>
          <w:tcPr>
            <w:tcW w:type="dxa" w:w="666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#25：dev → main</w:t>
            </w:r>
          </w:p>
        </w:tc>
      </w:tr>
      <w:tr>
        <w:trPr>
          <w:cantSplit/>
        </w:trPr>
        <w:tc>
          <w:tcPr>
            <w:tcW w:type="dxa" w:w="2700"/>
            <w:shd w:fill="F2F4F7"/>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color w:val="0B2545"/>
                <w:sz w:val="18"/>
              </w:rPr>
              <w:t>正式版本</w:t>
            </w:r>
          </w:p>
        </w:tc>
        <w:tc>
          <w:tcPr>
            <w:tcW w:type="dxa" w:w="666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f2c5d6a73f81741db267a0ebf50ea72963203beb</w:t>
            </w:r>
          </w:p>
        </w:tc>
      </w:tr>
      <w:tr>
        <w:trPr>
          <w:cantSplit/>
        </w:trPr>
        <w:tc>
          <w:tcPr>
            <w:tcW w:type="dxa" w:w="2700"/>
            <w:shd w:fill="F2F4F7"/>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color w:val="0B2545"/>
                <w:sz w:val="18"/>
              </w:rPr>
              <w:t>自动部署</w:t>
            </w:r>
          </w:p>
        </w:tc>
        <w:tc>
          <w:tcPr>
            <w:tcW w:type="dxa" w:w="666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#32001893440 · success · 5m57s</w:t>
            </w:r>
          </w:p>
        </w:tc>
      </w:tr>
      <w:tr>
        <w:trPr>
          <w:cantSplit/>
        </w:trPr>
        <w:tc>
          <w:tcPr>
            <w:tcW w:type="dxa" w:w="2700"/>
            <w:shd w:fill="F2F4F7"/>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color w:val="0B2545"/>
                <w:sz w:val="18"/>
              </w:rPr>
              <w:t>部署动作</w:t>
            </w:r>
          </w:p>
        </w:tc>
        <w:tc>
          <w:tcPr>
            <w:tcW w:type="dxa" w:w="666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隔离测试 → release gates → 不可变镜像 → 校验发布包 → 生产备份 → 部署与健康检查 → 公网 Origin/重定向探针</w:t>
            </w:r>
          </w:p>
        </w:tc>
      </w:tr>
    </w:tbl>
    <w:p>
      <w:pPr>
        <w:pStyle w:val="Heading1"/>
        <w:keepNext/>
      </w:pPr>
      <w:r>
        <w:t>8. 在线验证边界</w:t>
      </w:r>
    </w:p>
    <w:p>
      <w:pPr>
        <w:numPr>
          <w:ilvl w:val="0"/>
          <w:numId w:val="10"/>
        </w:numPr>
        <w:spacing w:before="0" w:after="160" w:line="280" w:lineRule="auto"/>
      </w:pPr>
      <w:r>
        <w:rPr>
          <w:rFonts w:ascii="Arial" w:hAnsi="Arial" w:eastAsia="PingFang SC" w:cs="PingFang SC"/>
          <w:color w:val="1F2937"/>
        </w:rPr>
        <w:t>本次自动发布已完成生产备份、前后端镜像切换、健康检查和公网登录 Origin/规范入口探针。</w:t>
      </w:r>
    </w:p>
    <w:p>
      <w:pPr>
        <w:numPr>
          <w:ilvl w:val="0"/>
          <w:numId w:val="10"/>
        </w:numPr>
        <w:spacing w:before="0" w:after="160" w:line="280" w:lineRule="auto"/>
      </w:pPr>
      <w:r>
        <w:rPr>
          <w:rFonts w:ascii="Arial" w:hAnsi="Arial" w:eastAsia="PingFang SC" w:cs="PingFang SC"/>
          <w:color w:val="1F2937"/>
        </w:rPr>
        <w:t>为避免污染正式业务数据，本轮发布后没有登录并创建订单、附件、绩效、账单、物流或返工记录。</w:t>
      </w:r>
    </w:p>
    <w:p>
      <w:pPr>
        <w:numPr>
          <w:ilvl w:val="0"/>
          <w:numId w:val="10"/>
        </w:numPr>
        <w:spacing w:before="0" w:after="160" w:line="280" w:lineRule="auto"/>
      </w:pPr>
      <w:r>
        <w:rPr>
          <w:rFonts w:ascii="Arial" w:hAnsi="Arial" w:eastAsia="PingFang SC" w:cs="PingFang SC"/>
          <w:color w:val="1F2937"/>
        </w:rPr>
        <w:t>医生三击保存等写路径以代码门禁、构建和隔离回归为证据；仍需测试方在授权测试数据上执行正式复测。</w:t>
      </w:r>
    </w:p>
    <w:p>
      <w:pPr>
        <w:numPr>
          <w:ilvl w:val="0"/>
          <w:numId w:val="10"/>
        </w:numPr>
        <w:spacing w:before="0" w:after="160" w:line="280" w:lineRule="auto"/>
      </w:pPr>
      <w:r>
        <w:rPr>
          <w:rFonts w:ascii="Arial" w:hAnsi="Arial" w:eastAsia="PingFang SC" w:cs="PingFang SC"/>
          <w:color w:val="1F2937"/>
        </w:rPr>
        <w:t>一期整体 Task 8 继续保持 NOT_READY；本次上线只关闭本轮已确认修复范围，不代表一期全部交付条件完成。</w:t>
      </w:r>
    </w:p>
    <w:p>
      <w:pPr>
        <w:pStyle w:val="Heading1"/>
        <w:keepNext/>
      </w:pPr>
      <w:r>
        <w:t>9. 测试方复测建议</w:t>
      </w:r>
    </w:p>
    <w:p>
      <w:pPr>
        <w:spacing w:before="0" w:after="120" w:line="264" w:lineRule="auto"/>
      </w:pPr>
      <w:r>
        <w:rPr>
          <w:rFonts w:ascii="Arial" w:hAnsi="Arial" w:eastAsia="PingFang SC" w:cs="PingFang SC"/>
          <w:color w:val="1F2937"/>
        </w:rPr>
        <w:t>请固定使用正式版本 f2c5d6a73f81741db267a0ebf50ea72963203beb，先更新用例范围，再按以下顺序执行。</w:t>
      </w:r>
    </w:p>
    <w:p>
      <w:pPr>
        <w:numPr>
          <w:ilvl w:val="0"/>
          <w:numId w:val="13"/>
        </w:numPr>
        <w:spacing w:before="0" w:after="160" w:line="280" w:lineRule="auto"/>
      </w:pPr>
      <w:r>
        <w:rPr>
          <w:rFonts w:ascii="Arial" w:hAnsi="Arial" w:eastAsia="PingFang SC" w:cs="PingFang SC"/>
          <w:color w:val="1F2937"/>
        </w:rPr>
        <w:t>先复测 BUG-013：对“保存当前产品”连续三击，期望仅产生 1 个 PUT、无 409、按钮立即进入忙碌态。</w:t>
      </w:r>
    </w:p>
    <w:p>
      <w:pPr>
        <w:numPr>
          <w:ilvl w:val="0"/>
          <w:numId w:val="13"/>
        </w:numPr>
        <w:spacing w:before="0" w:after="160" w:line="280" w:lineRule="auto"/>
      </w:pPr>
      <w:r>
        <w:rPr>
          <w:rFonts w:ascii="Arial" w:hAnsi="Arial" w:eastAsia="PingFang SC" w:cs="PingFang SC"/>
          <w:color w:val="1F2937"/>
        </w:rPr>
        <w:t>复测 NEW-RETEST-001：生产端绩效列表与详情在未指定 user_id 时返回本人数据或合法空状态，不得 400。</w:t>
      </w:r>
    </w:p>
    <w:p>
      <w:pPr>
        <w:numPr>
          <w:ilvl w:val="0"/>
          <w:numId w:val="13"/>
        </w:numPr>
        <w:spacing w:before="0" w:after="160" w:line="280" w:lineRule="auto"/>
      </w:pPr>
      <w:r>
        <w:rPr>
          <w:rFonts w:ascii="Arial" w:hAnsi="Arial" w:eastAsia="PingFang SC" w:cs="PingFang SC"/>
          <w:color w:val="1F2937"/>
        </w:rPr>
        <w:t>复测 NEW-RETEST-002/004：前置订单不请求 process-instance、无 console 404；真实已进入工艺的订单仍显示流程。</w:t>
      </w:r>
    </w:p>
    <w:p>
      <w:pPr>
        <w:numPr>
          <w:ilvl w:val="0"/>
          <w:numId w:val="13"/>
        </w:numPr>
        <w:spacing w:before="0" w:after="160" w:line="280" w:lineRule="auto"/>
      </w:pPr>
      <w:r>
        <w:rPr>
          <w:rFonts w:ascii="Arial" w:hAnsi="Arial" w:eastAsia="PingFang SC" w:cs="PingFang SC"/>
          <w:color w:val="1F2937"/>
        </w:rPr>
        <w:t>复测 NEW-RETEST-003：管理工作台“查看全部”可进入内部订单列表，并保持权限边界。</w:t>
      </w:r>
    </w:p>
    <w:p>
      <w:pPr>
        <w:numPr>
          <w:ilvl w:val="0"/>
          <w:numId w:val="13"/>
        </w:numPr>
        <w:spacing w:before="0" w:after="160" w:line="280" w:lineRule="auto"/>
      </w:pPr>
      <w:r>
        <w:rPr>
          <w:rFonts w:ascii="Arial" w:hAnsi="Arial" w:eastAsia="PingFang SC" w:cs="PingFang SC"/>
          <w:color w:val="1F2937"/>
        </w:rPr>
        <w:t>调整 NEW-RETEST-005：从一期缺陷清单移除客服代下单可点击要求；如保留视觉占位，只检查不误导和不越权。</w:t>
      </w:r>
    </w:p>
    <w:p>
      <w:pPr>
        <w:numPr>
          <w:ilvl w:val="0"/>
          <w:numId w:val="13"/>
        </w:numPr>
        <w:spacing w:before="0" w:after="160" w:line="280" w:lineRule="auto"/>
      </w:pPr>
      <w:r>
        <w:rPr>
          <w:rFonts w:ascii="Arial" w:hAnsi="Arial" w:eastAsia="PingFang SC" w:cs="PingFang SC"/>
          <w:color w:val="1F2937"/>
        </w:rPr>
        <w:t>恢复原 17 条用例，从 FLOW-001～005 开始补齐被安全停止打断的正常链、客服、生产、管理和通知链路。</w:t>
      </w:r>
    </w:p>
    <w:p>
      <w:pPr>
        <w:numPr>
          <w:ilvl w:val="0"/>
          <w:numId w:val="13"/>
        </w:numPr>
        <w:spacing w:before="0" w:after="160" w:line="280" w:lineRule="auto"/>
      </w:pPr>
      <w:r>
        <w:rPr>
          <w:rFonts w:ascii="Arial" w:hAnsi="Arial" w:eastAsia="PingFang SC" w:cs="PingFang SC"/>
          <w:color w:val="1F2937"/>
        </w:rPr>
        <w:t>补跑 BUG-011/020/025/029 及 BUG-012/021 未完成子项，保留页面、console、脱敏网络和版本证据。</w:t>
      </w:r>
    </w:p>
    <w:p>
      <w:pPr>
        <w:pStyle w:val="Heading1"/>
        <w:keepNext/>
      </w:pPr>
      <w:r>
        <w:t>10. 建议关闭标准</w:t>
      </w:r>
    </w:p>
    <w:tbl>
      <w:tblPr>
        <w:tblW w:type="dxa" w:w="9360"/>
        <w:jc w:val="left"/>
        <w:tblLayout w:type="fixed"/>
        <w:tblLook w:firstColumn="1" w:firstRow="1" w:lastColumn="0" w:lastRow="0" w:noHBand="0" w:noVBand="1" w:val="04A0"/>
        <w:tblInd w:w="120" w:type="dxa"/>
      </w:tblPr>
      <w:tblGrid>
        <w:gridCol w:w="1800"/>
        <w:gridCol w:w="4560"/>
        <w:gridCol w:w="3000"/>
      </w:tblGrid>
      <w:tr>
        <w:trPr>
          <w:tblHeader w:val="true"/>
          <w:cantSplit/>
        </w:trPr>
        <w:tc>
          <w:tcPr>
            <w:tcW w:type="dxa" w:w="1800"/>
            <w:shd w:fill="F2F4F7"/>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0B2545"/>
                <w:sz w:val="18"/>
              </w:rPr>
              <w:t>对象</w:t>
            </w:r>
          </w:p>
        </w:tc>
        <w:tc>
          <w:tcPr>
            <w:tcW w:type="dxa" w:w="4560"/>
            <w:shd w:fill="F2F4F7"/>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0B2545"/>
                <w:sz w:val="18"/>
              </w:rPr>
              <w:t>关闭条件</w:t>
            </w:r>
          </w:p>
        </w:tc>
        <w:tc>
          <w:tcPr>
            <w:tcW w:type="dxa" w:w="3000"/>
            <w:shd w:fill="F2F4F7"/>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center"/>
            </w:pPr>
            <w:r>
              <w:rPr>
                <w:rFonts w:ascii="Arial" w:hAnsi="Arial" w:eastAsia="PingFang SC" w:cs="PingFang SC"/>
                <w:b/>
                <w:color w:val="0B2545"/>
                <w:sz w:val="18"/>
              </w:rPr>
              <w:t>责任结论</w:t>
            </w:r>
          </w:p>
        </w:tc>
      </w:tr>
      <w:tr>
        <w:trPr>
          <w:cantSplit/>
        </w:trPr>
        <w:tc>
          <w:tcPr>
            <w:tcW w:type="dxa" w:w="180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color w:val="0B2545"/>
                <w:sz w:val="18"/>
              </w:rPr>
              <w:t>本轮代码缺陷</w:t>
            </w:r>
          </w:p>
        </w:tc>
        <w:tc>
          <w:tcPr>
            <w:tcW w:type="dxa" w:w="456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按当前正式 SHA 重跑对应最小步骤，UI、HTTP、console 均无原故障。</w:t>
            </w:r>
          </w:p>
        </w:tc>
        <w:tc>
          <w:tcPr>
            <w:tcW w:type="dxa" w:w="300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测试负责人可逐项关闭</w:t>
            </w:r>
          </w:p>
        </w:tc>
      </w:tr>
      <w:tr>
        <w:trPr>
          <w:cantSplit/>
        </w:trPr>
        <w:tc>
          <w:tcPr>
            <w:tcW w:type="dxa" w:w="180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color w:val="0B2545"/>
                <w:sz w:val="18"/>
              </w:rPr>
              <w:t>客服代下单</w:t>
            </w:r>
          </w:p>
        </w:tc>
        <w:tc>
          <w:tcPr>
            <w:tcW w:type="dxa" w:w="456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一期用例已删除可点击/跳转要求，且未新增越权 POST /orders。</w:t>
            </w:r>
          </w:p>
        </w:tc>
        <w:tc>
          <w:tcPr>
            <w:tcW w:type="dxa" w:w="300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按范围调整关闭，不按代码缺陷关闭</w:t>
            </w:r>
          </w:p>
        </w:tc>
      </w:tr>
      <w:tr>
        <w:trPr>
          <w:cantSplit/>
        </w:trPr>
        <w:tc>
          <w:tcPr>
            <w:tcW w:type="dxa" w:w="180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color w:val="0B2545"/>
                <w:sz w:val="18"/>
              </w:rPr>
              <w:t>17 条完整用例</w:t>
            </w:r>
          </w:p>
        </w:tc>
        <w:tc>
          <w:tcPr>
            <w:tcW w:type="dxa" w:w="456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所有 NOT RUN 和 PARTIAL 已补测，跨端状态、通知、附件、返工、财务物流证据完整。</w:t>
            </w:r>
          </w:p>
        </w:tc>
        <w:tc>
          <w:tcPr>
            <w:tcW w:type="dxa" w:w="300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方可声明全量通过</w:t>
            </w:r>
          </w:p>
        </w:tc>
      </w:tr>
      <w:tr>
        <w:trPr>
          <w:cantSplit/>
        </w:trPr>
        <w:tc>
          <w:tcPr>
            <w:tcW w:type="dxa" w:w="180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color w:val="0B2545"/>
                <w:sz w:val="18"/>
              </w:rPr>
              <w:t>一期 Task 8</w:t>
            </w:r>
          </w:p>
        </w:tc>
        <w:tc>
          <w:tcPr>
            <w:tcW w:type="dxa" w:w="456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满足独立验收矩阵、外部上线条件和最终交付证据。</w:t>
            </w:r>
          </w:p>
        </w:tc>
        <w:tc>
          <w:tcPr>
            <w:tcW w:type="dxa" w:w="300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tcPr>
          <w:p>
            <w:pPr>
              <w:spacing w:before="0" w:after="0" w:line="259" w:lineRule="auto"/>
              <w:jc w:val="left"/>
            </w:pPr>
            <w:r>
              <w:rPr>
                <w:rFonts w:ascii="Arial" w:hAnsi="Arial" w:eastAsia="PingFang SC" w:cs="PingFang SC"/>
                <w:b w:val="0"/>
                <w:color w:val="1F2937"/>
                <w:sz w:val="18"/>
              </w:rPr>
              <w:t>本报告不改变 NOT_READY</w:t>
            </w:r>
          </w:p>
        </w:tc>
      </w:tr>
    </w:tbl>
    <w:p>
      <w:pPr>
        <w:pStyle w:val="Heading1"/>
        <w:keepNext/>
      </w:pPr>
      <w:r>
        <w:t>11. 最终结论</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7DBE2"/>
              <w:start w:val="single" w:sz="6" w:space="0" w:color="D7DBE2"/>
              <w:bottom w:val="single" w:sz="6" w:space="0" w:color="D7DBE2"/>
              <w:end w:val="single" w:sz="6" w:space="0" w:color="D7DBE2"/>
              <w:insideH w:val="single" w:sz="6" w:space="0" w:color="D7DBE2"/>
              <w:insideV w:val="single" w:sz="6" w:space="0" w:color="D7DBE2"/>
            </w:tcBorders>
            <w:vAlign w:val="center"/>
            <w:shd w:fill="E9F5EE"/>
          </w:tcPr>
          <w:p>
            <w:pPr>
              <w:spacing w:before="0" w:after="60" w:line="269" w:lineRule="auto"/>
            </w:pPr>
            <w:r>
              <w:rPr>
                <w:rFonts w:ascii="Arial" w:hAnsi="Arial" w:eastAsia="PingFang SC" w:cs="PingFang SC"/>
                <w:b/>
                <w:color w:val="1F6D45"/>
                <w:sz w:val="22"/>
              </w:rPr>
              <w:t>开发与发布结论：</w:t>
            </w:r>
            <w:r>
              <w:rPr>
                <w:rFonts w:ascii="Arial" w:hAnsi="Arial" w:eastAsia="PingFang SC" w:cs="PingFang SC"/>
                <w:b/>
                <w:color w:val="0B2545"/>
                <w:sz w:val="22"/>
              </w:rPr>
              <w:t>本轮确认的代码缺陷已完成修复并成功部署正式环境；客服代下单已按确认移出一期。</w:t>
            </w:r>
          </w:p>
          <w:p>
            <w:pPr>
              <w:spacing w:before="0" w:after="0" w:line="264" w:lineRule="auto"/>
            </w:pPr>
            <w:r>
              <w:rPr>
                <w:rFonts w:ascii="Arial" w:hAnsi="Arial" w:eastAsia="PingFang SC" w:cs="PingFang SC"/>
                <w:color w:val="1F2937"/>
                <w:sz w:val="20"/>
              </w:rPr>
              <w:t>测试验收结论：整份报告尚不能标记“全部通过”，需测试方按正式版本补跑未执行和部分通过用例后出具最终关闭结论。</w:t>
            </w:r>
          </w:p>
        </w:tc>
      </w:tr>
    </w:tbl>
    <w:p>
      <w:pPr>
        <w:pStyle w:val="Heading1"/>
        <w:keepNext/>
      </w:pPr>
      <w:r>
        <w:t>附录：可核验证据入口</w:t>
      </w:r>
    </w:p>
    <w:p>
      <w:pPr>
        <w:numPr>
          <w:ilvl w:val="0"/>
          <w:numId w:val="10"/>
        </w:numPr>
        <w:spacing w:before="0" w:after="120" w:line="264" w:lineRule="auto"/>
      </w:pPr>
      <w:r>
        <w:rPr>
          <w:rFonts w:ascii="Arial" w:hAnsi="Arial" w:eastAsia="PingFang SC" w:cs="PingFang SC"/>
          <w:b/>
          <w:color w:val="1F2937"/>
        </w:rPr>
        <w:t>修复 PR #24：</w:t>
      </w:r>
      <w:hyperlink r:id="rId11">
        <w:r>
          <w:rPr>
            <w:color w:val="2E74B5"/>
            <w:u w:val="single"/>
            <w:rFonts w:ascii="Arial" w:hAnsi="Arial" w:eastAsia="PingFang SC" w:cs="PingFang SC"/>
          </w:rPr>
          <w:t>打开 GitHub 证据</w:t>
        </w:r>
      </w:hyperlink>
    </w:p>
    <w:p>
      <w:pPr>
        <w:numPr>
          <w:ilvl w:val="0"/>
          <w:numId w:val="10"/>
        </w:numPr>
        <w:spacing w:before="0" w:after="120" w:line="264" w:lineRule="auto"/>
      </w:pPr>
      <w:r>
        <w:rPr>
          <w:rFonts w:ascii="Arial" w:hAnsi="Arial" w:eastAsia="PingFang SC" w:cs="PingFang SC"/>
          <w:b/>
          <w:color w:val="1F2937"/>
        </w:rPr>
        <w:t>正式发布 PR #25：</w:t>
      </w:r>
      <w:hyperlink r:id="rId12">
        <w:r>
          <w:rPr>
            <w:color w:val="2E74B5"/>
            <w:u w:val="single"/>
            <w:rFonts w:ascii="Arial" w:hAnsi="Arial" w:eastAsia="PingFang SC" w:cs="PingFang SC"/>
          </w:rPr>
          <w:t>打开 GitHub 证据</w:t>
        </w:r>
      </w:hyperlink>
    </w:p>
    <w:p>
      <w:pPr>
        <w:numPr>
          <w:ilvl w:val="0"/>
          <w:numId w:val="10"/>
        </w:numPr>
        <w:spacing w:before="0" w:after="120" w:line="264" w:lineRule="auto"/>
      </w:pPr>
      <w:r>
        <w:rPr>
          <w:rFonts w:ascii="Arial" w:hAnsi="Arial" w:eastAsia="PingFang SC" w:cs="PingFang SC"/>
          <w:b/>
          <w:color w:val="1F2937"/>
        </w:rPr>
        <w:t>生产部署 #32001893440：</w:t>
      </w:r>
      <w:hyperlink r:id="rId13">
        <w:r>
          <w:rPr>
            <w:color w:val="2E74B5"/>
            <w:u w:val="single"/>
            <w:rFonts w:ascii="Arial" w:hAnsi="Arial" w:eastAsia="PingFang SC" w:cs="PingFang SC"/>
          </w:rPr>
          <w:t>打开 GitHub 证据</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PingFang SC" w:cs="PingFang SC"/>
        <w:color w:val="5B6472"/>
        <w:sz w:val="17"/>
      </w:rPr>
      <w:t xml:space="preserve">内部测试与发布记录  |  第 </w:t>
    </w:r>
    <w:fldSimple w:instr="PAGE">
      <w:r>
        <w:rPr>
          <w:rFonts w:ascii="Arial" w:hAnsi="Arial" w:eastAsia="PingFang SC" w:cs="PingFang SC"/>
        </w:rPr>
        <w:t>1</w:t>
      </w:r>
    </w:fldSimple>
    <w:r>
      <w:rPr>
        <w:rFonts w:ascii="Arial" w:hAnsi="Arial" w:eastAsia="PingFang SC" w:cs="PingFang SC"/>
        <w:color w:val="5B6472"/>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Arial" w:hAnsi="Arial" w:eastAsia="PingFang SC" w:cs="PingFang SC"/>
        <w:b/>
        <w:color w:val="5B6472"/>
        <w:sz w:val="17"/>
      </w:rPr>
      <w:t>AI智能下单平台  ·  缺陷修复与发布报告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720"/>
        </w:tabs>
        <w:ind w:left="720" w:hanging="360"/>
      </w:pPr>
      <w:rPr>
        <w:rFonts w:ascii="Arial" w:hAnsi="Arial" w:eastAsia="PingFang SC" w:cs="PingFang SC"/>
      </w:rPr>
    </w:lvl>
  </w:abstractNum>
  <w:num w:numId="10">
    <w:abstractNumId w:val="9"/>
  </w:num>
  <w:abstractNum w:abstractNumId="10">
    <w:multiLevelType w:val="singleLevel"/>
    <w:lvl w:ilvl="0">
      <w:start w:val="1"/>
      <w:numFmt w:val="decimal"/>
      <w:lvlText w:val="%1."/>
      <w:suff w:val="tab"/>
      <w:lvlJc w:val="left"/>
      <w:pPr>
        <w:tabs>
          <w:tab w:val="num" w:pos="720"/>
        </w:tabs>
        <w:ind w:left="720" w:hanging="360"/>
      </w:pPr>
      <w:rPr>
        <w:rFonts w:ascii="Arial" w:hAnsi="Arial" w:eastAsia="PingFang SC" w:cs="PingFang SC"/>
      </w:rPr>
    </w:lvl>
  </w:abstractNum>
  <w:num w:numId="11">
    <w:abstractNumId w:val="10"/>
  </w:num>
  <w:abstractNum w:abstractNumId="11">
    <w:multiLevelType w:val="singleLevel"/>
    <w:lvl w:ilvl="0">
      <w:start w:val="1"/>
      <w:numFmt w:val="bullet"/>
      <w:lvlText w:val="•"/>
      <w:suff w:val="tab"/>
      <w:lvlJc w:val="left"/>
      <w:pPr>
        <w:tabs>
          <w:tab w:val="num" w:pos="720"/>
        </w:tabs>
        <w:ind w:left="720" w:hanging="360"/>
      </w:pPr>
      <w:rPr>
        <w:rFonts w:ascii="Arial" w:hAnsi="Arial" w:eastAsia="PingFang SC" w:cs="PingFang SC"/>
      </w:rPr>
    </w:lvl>
  </w:abstractNum>
  <w:num w:numId="12">
    <w:abstractNumId w:val="11"/>
  </w:num>
  <w:abstractNum w:abstractNumId="12">
    <w:multiLevelType w:val="singleLevel"/>
    <w:lvl w:ilvl="0">
      <w:start w:val="1"/>
      <w:numFmt w:val="decimal"/>
      <w:lvlText w:val="%1."/>
      <w:suff w:val="tab"/>
      <w:lvlJc w:val="left"/>
      <w:pPr>
        <w:tabs>
          <w:tab w:val="num" w:pos="720"/>
        </w:tabs>
        <w:ind w:left="720" w:hanging="360"/>
      </w:pPr>
      <w:rPr>
        <w:rFonts w:ascii="Arial" w:hAnsi="Arial" w:eastAsia="PingFang SC" w:cs="PingFang SC"/>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eastAsia="PingFang SC" w:cs="PingFang SC"/>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Arial" w:hAnsi="Arial" w:eastAsia="PingFang SC" w:cs="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Arial" w:hAnsi="Arial" w:eastAsia="PingFang SC" w:cs="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Arial" w:hAnsi="Arial" w:eastAsia="PingFang SC" w:cs="PingFang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cnacca/zhizhan2026-001-medical-system/pull/24" TargetMode="External"/><Relationship Id="rId12" Type="http://schemas.openxmlformats.org/officeDocument/2006/relationships/hyperlink" Target="https://github.com/cnacca/zhizhan2026-001-medical-system/pull/25" TargetMode="External"/><Relationship Id="rId13" Type="http://schemas.openxmlformats.org/officeDocument/2006/relationships/hyperlink" Target="https://github.com/cnacca/zhizhan2026-001-medical-system/actions/runs/320018934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2026-08-17 线上黑盒复测缺陷修复与发布报告</dc:title>
  <dc:subject>AI智能下单平台缺陷修复、范围确认、发布与复测边界</dc:subject>
  <dc:creator>AI智能下单平台项目组</dc:creator>
  <cp:keywords>黑盒复测, Bug修复, 生产发布, 一期范围</cp:keywords>
  <dc:description>generated by python-docx</dc:description>
  <cp:lastModifiedBy/>
  <cp:revision>1</cp:revision>
  <dcterms:created xsi:type="dcterms:W3CDTF">2013-12-23T23:15:00Z</dcterms:created>
  <dcterms:modified xsi:type="dcterms:W3CDTF">2013-12-23T23:15:00Z</dcterms:modified>
  <cp:category/>
</cp:coreProperties>
</file>