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Noto Sans SC" w:hAnsi="Noto Sans SC" w:eastAsia="Noto Sans SC"/>
          <w:b/>
          <w:color w:val="2F75B5"/>
          <w:sz w:val="22"/>
        </w:rPr>
        <w:t>AI 智能下单平台</w:t>
      </w:r>
    </w:p>
    <w:p>
      <w:pPr>
        <w:spacing w:after="80"/>
      </w:pPr>
      <w:r>
        <w:rPr>
          <w:rFonts w:ascii="Noto Sans SC" w:hAnsi="Noto Sans SC" w:eastAsia="Noto Sans SC"/>
          <w:b/>
          <w:color w:val="17365D"/>
          <w:sz w:val="48"/>
        </w:rPr>
        <w:t>全链路回归 Bug 修复与上线报告</w:t>
      </w:r>
    </w:p>
    <w:p>
      <w:pPr>
        <w:spacing w:after="320"/>
        <w:pBdr>
          <w:bottom w:val="single" w:sz="22" w:space="8" w:color="2F75B5"/>
        </w:pBdr>
      </w:pPr>
      <w:r>
        <w:rPr>
          <w:rFonts w:ascii="Noto Sans SC" w:hAnsi="Noto Sans SC" w:eastAsia="Noto Sans SC"/>
          <w:color w:val="5B6573"/>
          <w:sz w:val="22"/>
        </w:rPr>
        <w:t>2026-08-16  ·  工程修复、自动化验证与生产只读回归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报告版本</w:t>
            </w:r>
          </w:p>
        </w:tc>
        <w:tc>
          <w:tcPr>
            <w:tcW w:type="dxa" w:w="34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v1.0</w:t>
            </w:r>
          </w:p>
        </w:tc>
        <w:tc>
          <w:tcPr>
            <w:tcW w:type="dxa" w:w="12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报告日期</w:t>
            </w:r>
          </w:p>
        </w:tc>
        <w:tc>
          <w:tcPr>
            <w:tcW w:type="dxa" w:w="34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2026-08-16</w:t>
            </w:r>
          </w:p>
        </w:tc>
      </w:tr>
      <w:tr>
        <w:tc>
          <w:tcPr>
            <w:tcW w:type="dxa" w:w="12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生产版本</w:t>
            </w:r>
          </w:p>
        </w:tc>
        <w:tc>
          <w:tcPr>
            <w:tcW w:type="dxa" w:w="34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54eea0e4399782485d7953231e4768ed684cd097</w:t>
            </w:r>
          </w:p>
        </w:tc>
        <w:tc>
          <w:tcPr>
            <w:tcW w:type="dxa" w:w="12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总体口径</w:t>
            </w:r>
          </w:p>
        </w:tc>
        <w:tc>
          <w:tcPr>
            <w:tcW w:type="dxa" w:w="34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工程完成 / 待测试方复测关闭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36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原报告 OPEN 缺陷</w:t>
            </w:r>
          </w:p>
        </w:tc>
        <w:tc>
          <w:tcPr>
            <w:tcW w:type="dxa" w:w="3120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36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工程侧已处理</w:t>
            </w:r>
          </w:p>
        </w:tc>
        <w:tc>
          <w:tcPr>
            <w:tcW w:type="dxa" w:w="3120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36"/>
              </w:rPr>
              <w:t>成功</w:t>
            </w:r>
          </w:p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生产发布与健康检查</w:t>
            </w:r>
          </w:p>
        </w:tc>
      </w:tr>
    </w:tbl>
    <w:p>
      <w:pPr>
        <w:pStyle w:val="Heading1"/>
      </w:pPr>
      <w:r>
        <w:t>执行摘要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本轮针对外部《测试报告.docx》列出的 8 个 OPEN 缺陷完成了逐项定位、修复或既有修复复核，并已通过发布流程进入生产环境。其中 7 项实施了代码修复，BUG-013 在当前代码中已有同步互斥保护，本轮完成验证并纳入统一回归门禁。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工程侧证据显示：后端 350 项测试全部通过，前端生产构建通过，新增长短链回归检查通过，生产发布流水线成功，四端会话刷新、客服端 390px 响应式布局和生产端帮助入口已完成线上只读验证。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"/>
        <w:gridCol w:w="9200"/>
      </w:tblGrid>
      <w:tr>
        <w:tc>
          <w:tcPr>
            <w:tcW w:type="dxa" w:w="160"/>
            <w:tcMar>
              <w:top w:w="80" w:type="dxa"/>
              <w:start w:w="0" w:type="dxa"/>
              <w:bottom w:w="80" w:type="dxa"/>
              <w:end w:w="0" w:type="dxa"/>
            </w:tcMar>
            <w:shd w:fill="BF9000"/>
            <w:vAlign w:val="center"/>
          </w:tcPr>
          <w:p/>
        </w:tc>
        <w:tc>
          <w:tcPr>
            <w:tcW w:type="dxa" w:w="920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  <w:vAlign w:val="center"/>
          </w:tcPr>
          <w:p>
            <w:pPr>
              <w:spacing w:after="60"/>
            </w:pPr>
            <w:r/>
            <w:r>
              <w:rPr>
                <w:rFonts w:ascii="Noto Sans SC" w:hAnsi="Noto Sans SC" w:eastAsia="Noto Sans SC"/>
                <w:b/>
                <w:color w:val="BF9000"/>
                <w:sz w:val="21"/>
              </w:rPr>
              <w:t>结论口径</w:t>
            </w:r>
          </w:p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color w:val="1F2933"/>
                <w:sz w:val="19"/>
              </w:rPr>
              <w:t>可以确认“代码修复、自动化验证和生产发布已完成”；不能仅凭工程验证把 8 个缺陷直接改为正式 CLOSED。原测试报告未记录被测 Git SHA，且生产只读回归未执行附件上传/移除、入检提交等写操作，因此仍需原测试方基于生产版本 54eea0e… 重跑原用例并签字关闭。</w:t>
            </w:r>
          </w:p>
        </w:tc>
      </w:tr>
    </w:tbl>
    <w:p>
      <w:pPr>
        <w:spacing w:after="20" w:line="20" w:lineRule="exact"/>
      </w:pPr>
    </w:p>
    <w:p>
      <w:pPr>
        <w:spacing w:before="80" w:after="0"/>
      </w:pPr>
      <w:r>
        <w:rPr>
          <w:rFonts w:ascii="Noto Sans SC" w:hAnsi="Noto Sans SC" w:eastAsia="Noto Sans SC"/>
          <w:b/>
          <w:color w:val="5B6573"/>
          <w:sz w:val="17"/>
        </w:rPr>
        <w:t>报告输入：</w:t>
      </w:r>
      <w:r>
        <w:rPr>
          <w:rFonts w:ascii="Noto Sans SC" w:hAnsi="Noto Sans SC" w:eastAsia="Noto Sans SC"/>
          <w:color w:val="5B6573"/>
          <w:sz w:val="17"/>
        </w:rPr>
        <w:t>《测试报告.docx》、2026-08-16 全链路回归测试附件、当前代码库验证结果、GitHub 发布记录与生产环境只读回归结果。</w:t>
      </w:r>
    </w:p>
    <w:p>
      <w:r>
        <w:br w:type="page"/>
      </w:r>
    </w:p>
    <w:p>
      <w:pPr>
        <w:pStyle w:val="Heading1"/>
      </w:pPr>
      <w:r>
        <w:t>1. 原始回归基线与证据边界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原始外部回归共包含 17 份用例结果：9 项 PASS、5 项 PARTIAL、3 项 FAIL；报告同时登记 8 个 OPEN 缺陷。该报告属于外部黑盒测试证据，但未记录被测 Git SHA，因此“原报告失败”与“当前源码仍存在缺陷”不能直接画等号。本轮对每项缺陷重新进行了当前代码核验。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PASS</w:t>
            </w:r>
          </w:p>
        </w:tc>
        <w:tc>
          <w:tcPr>
            <w:tcW w:type="dxa" w:w="23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BF9000"/>
                <w:sz w:val="17"/>
              </w:rPr>
              <w:t>PARTIAL</w:t>
            </w:r>
          </w:p>
        </w:tc>
        <w:tc>
          <w:tcPr>
            <w:tcW w:type="dxa" w:w="2340"/>
            <w:vAlign w:val="center"/>
            <w:shd w:fill="FCE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C00000"/>
                <w:sz w:val="17"/>
              </w:rPr>
              <w:t>FAIL</w:t>
            </w:r>
          </w:p>
        </w:tc>
        <w:tc>
          <w:tcPr>
            <w:tcW w:type="dxa" w:w="234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OPEN BUG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30"/>
              </w:rPr>
              <w:t>9</w:t>
            </w:r>
          </w:p>
        </w:tc>
        <w:tc>
          <w:tcPr>
            <w:tcW w:type="dxa" w:w="23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BF9000"/>
                <w:sz w:val="30"/>
              </w:rPr>
              <w:t>5</w:t>
            </w:r>
          </w:p>
        </w:tc>
        <w:tc>
          <w:tcPr>
            <w:tcW w:type="dxa" w:w="23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C00000"/>
                <w:sz w:val="30"/>
              </w:rPr>
              <w:t>3</w:t>
            </w:r>
          </w:p>
        </w:tc>
        <w:tc>
          <w:tcPr>
            <w:tcW w:type="dxa" w:w="23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30"/>
              </w:rPr>
              <w:t>8</w:t>
            </w:r>
          </w:p>
        </w:tc>
      </w:tr>
    </w:tbl>
    <w:p>
      <w:pPr>
        <w:pStyle w:val="Heading2"/>
      </w:pPr>
      <w:r>
        <w:t>判定规则</w:t>
      </w:r>
    </w:p>
    <w:p>
      <w:pPr>
        <w:spacing w:after="60" w:line="269" w:lineRule="auto"/>
        <w:ind w:left="259" w:hanging="259"/>
      </w:pPr>
      <w:r>
        <w:rPr>
          <w:rFonts w:ascii="Noto Sans SC" w:hAnsi="Noto Sans SC" w:eastAsia="Noto Sans SC"/>
          <w:b/>
          <w:color w:val="2F75B5"/>
          <w:sz w:val="20"/>
        </w:rPr>
        <w:t xml:space="preserve">•  </w:t>
      </w:r>
      <w:r>
        <w:rPr>
          <w:rFonts w:ascii="Noto Sans SC" w:hAnsi="Noto Sans SC" w:eastAsia="Noto Sans SC"/>
          <w:color w:val="1F2933"/>
          <w:sz w:val="20"/>
        </w:rPr>
        <w:t>“工程侧已处理”表示当前源码已修复或既有修复已核实，并通过相应自动化/构建门禁。</w:t>
      </w:r>
    </w:p>
    <w:p>
      <w:pPr>
        <w:spacing w:after="60" w:line="269" w:lineRule="auto"/>
        <w:ind w:left="259" w:hanging="259"/>
      </w:pPr>
      <w:r>
        <w:rPr>
          <w:rFonts w:ascii="Noto Sans SC" w:hAnsi="Noto Sans SC" w:eastAsia="Noto Sans SC"/>
          <w:b/>
          <w:color w:val="2F75B5"/>
          <w:sz w:val="20"/>
        </w:rPr>
        <w:t xml:space="preserve">•  </w:t>
      </w:r>
      <w:r>
        <w:rPr>
          <w:rFonts w:ascii="Noto Sans SC" w:hAnsi="Noto Sans SC" w:eastAsia="Noto Sans SC"/>
          <w:color w:val="1F2933"/>
          <w:sz w:val="20"/>
        </w:rPr>
        <w:t>“线上只读已验证”表示未制造或修改生产业务数据，仅检查页面、会话、布局和入口可见性。</w:t>
      </w:r>
    </w:p>
    <w:p>
      <w:pPr>
        <w:spacing w:after="60" w:line="269" w:lineRule="auto"/>
        <w:ind w:left="259" w:hanging="259"/>
      </w:pPr>
      <w:r>
        <w:rPr>
          <w:rFonts w:ascii="Noto Sans SC" w:hAnsi="Noto Sans SC" w:eastAsia="Noto Sans SC"/>
          <w:b/>
          <w:color w:val="2F75B5"/>
          <w:sz w:val="20"/>
        </w:rPr>
        <w:t xml:space="preserve">•  </w:t>
      </w:r>
      <w:r>
        <w:rPr>
          <w:rFonts w:ascii="Noto Sans SC" w:hAnsi="Noto Sans SC" w:eastAsia="Noto Sans SC"/>
          <w:color w:val="1F2933"/>
          <w:sz w:val="20"/>
        </w:rPr>
        <w:t>“待测试方复测关闭”表示仍需按原用例、同一生产版本、可追溯环境重新执行后才能将缺陷正式改为 CLOSED。</w:t>
      </w:r>
    </w:p>
    <w:p>
      <w:pPr>
        <w:spacing w:after="60" w:line="269" w:lineRule="auto"/>
        <w:ind w:left="259" w:hanging="259"/>
      </w:pPr>
      <w:r>
        <w:rPr>
          <w:rFonts w:ascii="Noto Sans SC" w:hAnsi="Noto Sans SC" w:eastAsia="Noto Sans SC"/>
          <w:b/>
          <w:color w:val="2F75B5"/>
          <w:sz w:val="20"/>
        </w:rPr>
        <w:t xml:space="preserve">•  </w:t>
      </w:r>
      <w:r>
        <w:rPr>
          <w:rFonts w:ascii="Noto Sans SC" w:hAnsi="Noto Sans SC" w:eastAsia="Noto Sans SC"/>
          <w:color w:val="1F2933"/>
          <w:sz w:val="20"/>
        </w:rPr>
        <w:t>原报告中的 PARTIAL 流程项并不都等于代码 Bug；涉及角色可见范围、PDF 展示规则等业务口径的项目，本轮未擅自修改。</w:t>
      </w:r>
    </w:p>
    <w:p>
      <w:pPr>
        <w:pStyle w:val="Heading1"/>
      </w:pPr>
      <w:r>
        <w:t>2. 缺陷处理总表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870"/>
        <w:gridCol w:w="1650"/>
        <w:gridCol w:w="3150"/>
        <w:gridCol w:w="2050"/>
        <w:gridCol w:w="1640"/>
      </w:tblGrid>
      <w:tr>
        <w:trPr>
          <w:tblHeader w:val="true"/>
        </w:trPr>
        <w:tc>
          <w:tcPr>
            <w:tcW w:type="dxa" w:w="87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编号/级别</w:t>
            </w:r>
          </w:p>
        </w:tc>
        <w:tc>
          <w:tcPr>
            <w:tcW w:type="dxa" w:w="165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原始现象</w:t>
            </w:r>
          </w:p>
        </w:tc>
        <w:tc>
          <w:tcPr>
            <w:tcW w:type="dxa" w:w="315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工程处理</w:t>
            </w:r>
          </w:p>
        </w:tc>
        <w:tc>
          <w:tcPr>
            <w:tcW w:type="dxa" w:w="205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验证证据</w:t>
            </w:r>
          </w:p>
        </w:tc>
        <w:tc>
          <w:tcPr>
            <w:tcW w:type="dxa" w:w="164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BUG-011</w:t>
              <w:br/>
              <w:t>P1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附件刷新/重新登录后数量为 0。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恢复草稿时重新拉取订单文件元数据并回填共享/产品文件计数；提供附件移除入口，保持逻辑删除与审计链。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自动化通过；生产缺少可安全复用草稿夹具。</w:t>
            </w:r>
          </w:p>
        </w:tc>
        <w:tc>
          <w:tcPr>
            <w:tcW w:type="dxa" w:w="16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待复测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BUG-013</w:t>
              <w:br/>
              <w:t>P2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连续三次保存出现 409/409/200。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当前代码已存在同步共享 busy 互斥；本轮复核并纳入回归检查，避免同一操作并发提交。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既有修复已验证。</w:t>
            </w:r>
          </w:p>
        </w:tc>
        <w:tc>
          <w:tcPr>
            <w:tcW w:type="dxa" w:w="16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已验证</w:t>
              <w:br/>
              <w:t>待复测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BUG-020</w:t>
              <w:br/>
              <w:t>P2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医生端无附件删除入口。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医生端共享附件和产品附件均新增“移除”；同步解除订单/分组绑定，不物理删除历史对象。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自动化通过；线上未执行删除写操作。</w:t>
            </w:r>
          </w:p>
        </w:tc>
        <w:tc>
          <w:tcPr>
            <w:tcW w:type="dxa" w:w="16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待复测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BUG-025</w:t>
              <w:br/>
              <w:t>P2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不支持的 .xyz 文件可上传并绑定。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前端扩展名白名单；后端 presign 与 multipart initiate 双入口配置化拦截；对象完成阶段继续校验大小/MIME。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.xyz 拒绝、.stl+octet-stream 允许。</w:t>
            </w:r>
          </w:p>
        </w:tc>
        <w:tc>
          <w:tcPr>
            <w:tcW w:type="dxa" w:w="16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待复测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BUG-026</w:t>
              <w:br/>
              <w:t>P2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四端刷新后登录态丢失。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新增 HttpOnly、SameSite=Strict 刷新 Cookie；登录/刷新/退出完整生命周期；前端仅内存保存访问令牌并启动时恢复会话。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四端生产刷新均保持登录。</w:t>
            </w:r>
          </w:p>
        </w:tc>
        <w:tc>
          <w:tcPr>
            <w:tcW w:type="dxa" w:w="164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线上只读通过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BUG-027</w:t>
              <w:br/>
              <w:t>P3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客服端 390px 横向溢出，控件出屏。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新增 980px/520px 响应式规则，工具区与表格容器按窄屏重排。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生产 390px：scrollWidth=390。</w:t>
            </w:r>
          </w:p>
        </w:tc>
        <w:tc>
          <w:tcPr>
            <w:tcW w:type="dxa" w:w="164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线上通过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BUG-028</w:t>
              <w:br/>
              <w:t>P3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工人/生产端没有帮助入口。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生产端新增帮助按钮和帮助抽屉，覆盖核心操作提示。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生产帮助按钮与抽屉线上可见。</w:t>
            </w:r>
          </w:p>
        </w:tc>
        <w:tc>
          <w:tcPr>
            <w:tcW w:type="dxa" w:w="164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线上通过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BUG-029</w:t>
              <w:br/>
              <w:t>P2</w:t>
            </w:r>
          </w:p>
        </w:tc>
        <w:tc>
          <w:tcPr>
            <w:tcW w:type="dxa" w:w="16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“去扫码入检”异步竞态可能选错节点。</w:t>
            </w:r>
          </w:p>
        </w:tc>
        <w:tc>
          <w:tcPr>
            <w:tcW w:type="dxa" w:w="31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改为精确首选节点查找，引入请求/选择版本守卫，提交后保留节点并阻止陈旧响应覆盖。</w:t>
            </w:r>
          </w:p>
        </w:tc>
        <w:tc>
          <w:tcPr>
            <w:tcW w:type="dxa" w:w="20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6"/>
              </w:rPr>
              <w:t>自动化通过；生产无可用任务夹具。</w:t>
            </w:r>
          </w:p>
        </w:tc>
        <w:tc>
          <w:tcPr>
            <w:tcW w:type="dxa" w:w="1640"/>
            <w:vAlign w:val="center"/>
            <w:shd w:fill="FFF2CC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17365D"/>
                <w:sz w:val="16"/>
              </w:rPr>
              <w:t>已发布</w:t>
              <w:br/>
              <w:t>待复测</w:t>
            </w:r>
          </w:p>
        </w:tc>
      </w:tr>
    </w:tbl>
    <w:p>
      <w:pPr>
        <w:pStyle w:val="CaptionCompact"/>
        <w:jc w:val="left"/>
      </w:pPr>
      <w:r>
        <w:t>注：P1/P2/P3 为原报告优先级；“待复测”不是未修复，而是正式测试关闭尚缺同版本复测证据。</w:t>
      </w:r>
    </w:p>
    <w:p>
      <w:pPr>
        <w:pStyle w:val="Heading1"/>
      </w:pPr>
      <w:r>
        <w:t>3. 关键修复说明</w:t>
      </w:r>
    </w:p>
    <w:p>
      <w:pPr>
        <w:pStyle w:val="Heading2"/>
      </w:pPr>
      <w:r>
        <w:t>3.1 附件链路：BUG-011 / BUG-020 / BUG-025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医生端草稿恢复时重新读取订单文件元数据，修复刷新后计数丢失；在共享附件和产品附件位置提供移除操作，并同步解除绑定。后端对签名上传和分片上传两个入口统一实施扩展名白名单，避免只在前端拦截被绕过。</w:t>
      </w:r>
    </w:p>
    <w:p>
      <w:pPr>
        <w:spacing w:after="80"/>
        <w:ind w:left="202"/>
      </w:pPr>
      <w:r>
        <w:rPr>
          <w:rFonts w:ascii="Noto Sans SC" w:hAnsi="Noto Sans SC" w:eastAsia="Noto Sans SC"/>
          <w:color w:val="5B6573"/>
          <w:sz w:val="18"/>
        </w:rPr>
        <w:t>安全边界：移除是逻辑解绑/软删除，保留历史与审计数据；扩展名和 MIME 检查不等同于完整文件结构或恶意内容检测。</w:t>
      </w:r>
    </w:p>
    <w:p>
      <w:pPr>
        <w:pStyle w:val="Heading2"/>
      </w:pPr>
      <w:r>
        <w:t>3.2 会话恢复：BUG-026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认证服务使用受限路径的 HttpOnly 刷新 Cookie，并设置 SameSite=Strict；登录、刷新和退出统一维护 Cookie。前端访问令牌保持内存态，页面启动时从同源 Cookie 恢复会话，同时通过认证代际保护避免陈旧请求覆盖新状态。</w:t>
      </w:r>
    </w:p>
    <w:p>
      <w:pPr>
        <w:spacing w:after="80"/>
        <w:ind w:left="202"/>
      </w:pPr>
      <w:r>
        <w:rPr>
          <w:rFonts w:ascii="Noto Sans SC" w:hAnsi="Noto Sans SC" w:eastAsia="Noto Sans SC"/>
          <w:color w:val="5B6573"/>
          <w:sz w:val="18"/>
        </w:rPr>
        <w:t>兼容边界：响应体中的 refresh token 暂时保留以兼容现有客户端；生产只读验证已覆盖医生、客服、生产、管理四端刷新。</w:t>
      </w:r>
    </w:p>
    <w:p>
      <w:pPr>
        <w:pStyle w:val="Heading2"/>
      </w:pPr>
      <w:r>
        <w:t>3.3 窄屏与帮助：BUG-027 / BUG-028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客服端新增窄屏断点并重排顶部工具区、筛选区和表格容器；生产端新增显式帮助入口及抽屉，降低一线操作人员寻找入口的成本。</w:t>
      </w:r>
    </w:p>
    <w:p>
      <w:pPr>
        <w:spacing w:after="80"/>
        <w:ind w:left="202"/>
      </w:pPr>
      <w:r>
        <w:rPr>
          <w:rFonts w:ascii="Noto Sans SC" w:hAnsi="Noto Sans SC" w:eastAsia="Noto Sans SC"/>
          <w:color w:val="5B6573"/>
          <w:sz w:val="18"/>
        </w:rPr>
        <w:t>线上证据：390×844 视口下页面与视口宽度均为 390px；生产端帮助抽屉标题为“生产端帮助”。</w:t>
      </w:r>
    </w:p>
    <w:p>
      <w:pPr>
        <w:pStyle w:val="Heading2"/>
      </w:pPr>
      <w:r>
        <w:t>3.4 入检扫码竞态：BUG-029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针对异步节点查询与用户选择交错导致的错选风险，改为精确首选节点定位，并增加请求版本、选择版本和陈旧响应守卫；提交完成后保留正确节点上下文。</w:t>
      </w:r>
    </w:p>
    <w:p>
      <w:pPr>
        <w:spacing w:after="80"/>
        <w:ind w:left="202"/>
      </w:pPr>
      <w:r>
        <w:rPr>
          <w:rFonts w:ascii="Noto Sans SC" w:hAnsi="Noto Sans SC" w:eastAsia="Noto Sans SC"/>
          <w:color w:val="5B6573"/>
          <w:sz w:val="18"/>
        </w:rPr>
        <w:t>验证边界：当前生产“我的任务”无可用任务，因此未在线提交入检记录；本轮未制造生产业务数据。</w:t>
      </w:r>
    </w:p>
    <w:p>
      <w:pPr>
        <w:pStyle w:val="Heading1"/>
      </w:pPr>
      <w:r>
        <w:t>4. 验证与发布证据</w:t>
      </w:r>
    </w:p>
    <w:p>
      <w:pPr>
        <w:pStyle w:val="Heading2"/>
      </w:pPr>
      <w:r>
        <w:t>4.1 本地与隔离环境验证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200"/>
        <w:gridCol w:w="5000"/>
        <w:gridCol w:w="2160"/>
      </w:tblGrid>
      <w:tr>
        <w:trPr>
          <w:tblHeader w:val="true"/>
        </w:trPr>
        <w:tc>
          <w:tcPr>
            <w:tcW w:type="dxa" w:w="22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50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结果摘要</w:t>
            </w:r>
          </w:p>
        </w:tc>
        <w:tc>
          <w:tcPr>
            <w:tcW w:type="dxa" w:w="216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后端完整测试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350 tests；0 failure；0 error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前端生产构建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Vue3 生产构建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OpenAPI 校验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218 paths / 247 operations；3 个既有非本次认证路径警告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通过（有既有警告）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专项回归检查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BUG-011/013/020/025/026/027/028/029 的静态与行为门禁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本地浏览器冒烟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客服 390px 无溢出、刷新登录保持；生产帮助入口打开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2/2 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部署配置门禁</w:t>
            </w:r>
          </w:p>
        </w:tc>
        <w:tc>
          <w:tcPr>
            <w:tcW w:type="dxa" w:w="50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compose、环境变量、发布工作流、认证刷新与退出竞态</w:t>
            </w:r>
          </w:p>
        </w:tc>
        <w:tc>
          <w:tcPr>
            <w:tcW w:type="dxa" w:w="21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</w:tbl>
    <w:p>
      <w:pPr>
        <w:pStyle w:val="Heading2"/>
      </w:pPr>
      <w:r>
        <w:t>4.2 代码合并与生产发布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17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576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修复合并</w:t>
            </w:r>
          </w:p>
        </w:tc>
        <w:tc>
          <w:tcPr>
            <w:tcW w:type="dxa" w:w="1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2F75B5"/>
                <w:sz w:val="17"/>
              </w:rPr>
              <w:t>PR #21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fix → dev；8 个缺陷统一收口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生产发布</w:t>
            </w:r>
          </w:p>
        </w:tc>
        <w:tc>
          <w:tcPr>
            <w:tcW w:type="dxa" w:w="1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2F75B5"/>
                <w:sz w:val="17"/>
              </w:rPr>
              <w:t>PR #22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dev → main；生产 SHA 54eea0e4399782485d7953231e4768ed684cd097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发布流水线</w:t>
            </w:r>
          </w:p>
        </w:tc>
        <w:tc>
          <w:tcPr>
            <w:tcW w:type="dxa" w:w="1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2F75B5"/>
                <w:sz w:val="17"/>
              </w:rPr>
              <w:t>Run #31939878141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后端、发布门禁、镜像、部署、健康与公网检查全部成功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文档回写</w:t>
            </w:r>
          </w:p>
        </w:tc>
        <w:tc>
          <w:tcPr>
            <w:tcW w:type="dxa" w:w="1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2F75B5"/>
                <w:sz w:val="17"/>
              </w:rPr>
              <w:t>PR #23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dev 分支记录本轮修复、发布与验证边界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/>
          <w:color w:val="17365D"/>
          <w:sz w:val="18"/>
        </w:rPr>
        <w:t>可追溯链接：</w:t>
      </w:r>
      <w:hyperlink r:id="rId11">
        <w:r>
          <w:rPr>
            <w:color w:val="2F75B5"/>
            <w:u w:val="single"/>
            <w:rFonts w:ascii="Noto Sans SC" w:hAnsi="Noto Sans SC" w:eastAsia="Noto Sans SC"/>
            <w:sz w:val="19"/>
          </w:rPr>
          <w:t>PR #21</w:t>
        </w:r>
      </w:hyperlink>
      <w:r>
        <w:rPr>
          <w:rFonts w:ascii="Noto Sans SC" w:hAnsi="Noto Sans SC" w:eastAsia="Noto Sans SC"/>
          <w:color w:val="5B6573"/>
          <w:sz w:val="18"/>
        </w:rPr>
        <w:t xml:space="preserve">  ·  </w:t>
      </w:r>
      <w:hyperlink r:id="rId12">
        <w:r>
          <w:rPr>
            <w:color w:val="2F75B5"/>
            <w:u w:val="single"/>
            <w:rFonts w:ascii="Noto Sans SC" w:hAnsi="Noto Sans SC" w:eastAsia="Noto Sans SC"/>
            <w:sz w:val="19"/>
          </w:rPr>
          <w:t>PR #22</w:t>
        </w:r>
      </w:hyperlink>
      <w:r>
        <w:rPr>
          <w:rFonts w:ascii="Noto Sans SC" w:hAnsi="Noto Sans SC" w:eastAsia="Noto Sans SC"/>
          <w:color w:val="5B6573"/>
          <w:sz w:val="18"/>
        </w:rPr>
        <w:t xml:space="preserve">  ·  </w:t>
      </w:r>
      <w:hyperlink r:id="rId13">
        <w:r>
          <w:rPr>
            <w:color w:val="2F75B5"/>
            <w:u w:val="single"/>
            <w:rFonts w:ascii="Noto Sans SC" w:hAnsi="Noto Sans SC" w:eastAsia="Noto Sans SC"/>
            <w:sz w:val="19"/>
          </w:rPr>
          <w:t>发布 Run</w:t>
        </w:r>
      </w:hyperlink>
      <w:r>
        <w:rPr>
          <w:rFonts w:ascii="Noto Sans SC" w:hAnsi="Noto Sans SC" w:eastAsia="Noto Sans SC"/>
          <w:color w:val="5B6573"/>
          <w:sz w:val="18"/>
        </w:rPr>
        <w:t xml:space="preserve">  ·  </w:t>
      </w:r>
      <w:hyperlink r:id="rId14">
        <w:r>
          <w:rPr>
            <w:color w:val="2F75B5"/>
            <w:u w:val="single"/>
            <w:rFonts w:ascii="Noto Sans SC" w:hAnsi="Noto Sans SC" w:eastAsia="Noto Sans SC"/>
            <w:sz w:val="19"/>
          </w:rPr>
          <w:t>PR #23</w:t>
        </w:r>
      </w:hyperlink>
    </w:p>
    <w:p>
      <w:pPr>
        <w:pStyle w:val="Heading2"/>
      </w:pPr>
      <w:r>
        <w:t>4.3 生产环境只读回归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300"/>
        <w:gridCol w:w="4800"/>
        <w:gridCol w:w="2260"/>
      </w:tblGrid>
      <w:tr>
        <w:trPr>
          <w:tblHeader w:val="true"/>
        </w:trPr>
        <w:tc>
          <w:tcPr>
            <w:tcW w:type="dxa" w:w="23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端/范围</w:t>
            </w:r>
          </w:p>
        </w:tc>
        <w:tc>
          <w:tcPr>
            <w:tcW w:type="dxa" w:w="480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线上观察</w:t>
            </w:r>
          </w:p>
        </w:tc>
        <w:tc>
          <w:tcPr>
            <w:tcW w:type="dxa" w:w="226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客服端 / CS</w:t>
            </w:r>
          </w:p>
        </w:tc>
        <w:tc>
          <w:tcPr>
            <w:tcW w:type="dxa" w:w="4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390×844 无横向溢出；刷新后仍为登录态</w:t>
            </w:r>
          </w:p>
        </w:tc>
        <w:tc>
          <w:tcPr>
            <w:tcW w:type="dxa" w:w="22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生产端 / PRODUCTION</w:t>
            </w:r>
          </w:p>
        </w:tc>
        <w:tc>
          <w:tcPr>
            <w:tcW w:type="dxa" w:w="4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帮助入口与抽屉可见；刷新登录保持；扫码登记页可打开</w:t>
            </w:r>
          </w:p>
        </w:tc>
        <w:tc>
          <w:tcPr>
            <w:tcW w:type="dxa" w:w="22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通过（未提交）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医生端 / DOCTOR</w:t>
            </w:r>
          </w:p>
        </w:tc>
        <w:tc>
          <w:tcPr>
            <w:tcW w:type="dxa" w:w="4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刷新登录保持；新建订单弹窗可打开</w:t>
            </w:r>
          </w:p>
        </w:tc>
        <w:tc>
          <w:tcPr>
            <w:tcW w:type="dxa" w:w="22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通过（无草稿夹具）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管理端 / ADMIN</w:t>
            </w:r>
          </w:p>
        </w:tc>
        <w:tc>
          <w:tcPr>
            <w:tcW w:type="dxa" w:w="4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刷新登录保持</w:t>
            </w:r>
          </w:p>
        </w:tc>
        <w:tc>
          <w:tcPr>
            <w:tcW w:type="dxa" w:w="22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站点日志</w:t>
            </w:r>
          </w:p>
        </w:tc>
        <w:tc>
          <w:tcPr>
            <w:tcW w:type="dxa" w:w="4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未发现站点自身 error/warn</w:t>
            </w:r>
          </w:p>
        </w:tc>
        <w:tc>
          <w:tcPr>
            <w:tcW w:type="dxa" w:w="2260"/>
            <w:vAlign w:val="center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48235"/>
                <w:sz w:val="17"/>
              </w:rPr>
              <w:t>通过</w:t>
            </w:r>
          </w:p>
        </w:tc>
      </w:tr>
    </w:tbl>
    <w:p>
      <w:pPr>
        <w:pStyle w:val="Heading1"/>
      </w:pPr>
      <w:r>
        <w:t>5. 尚未完成的正式验收事项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"/>
        <w:gridCol w:w="9200"/>
      </w:tblGrid>
      <w:tr>
        <w:tc>
          <w:tcPr>
            <w:tcW w:type="dxa" w:w="160"/>
            <w:tcMar>
              <w:top w:w="80" w:type="dxa"/>
              <w:start w:w="0" w:type="dxa"/>
              <w:bottom w:w="80" w:type="dxa"/>
              <w:end w:w="0" w:type="dxa"/>
            </w:tcMar>
            <w:shd w:fill="BF9000"/>
            <w:vAlign w:val="center"/>
          </w:tcPr>
          <w:p/>
        </w:tc>
        <w:tc>
          <w:tcPr>
            <w:tcW w:type="dxa" w:w="9200"/>
            <w:tcMar>
              <w:top w:w="120" w:type="dxa"/>
              <w:start w:w="160" w:type="dxa"/>
              <w:bottom w:w="120" w:type="dxa"/>
              <w:end w:w="160" w:type="dxa"/>
            </w:tcMar>
            <w:shd w:fill="FFF2CC"/>
            <w:vAlign w:val="center"/>
          </w:tcPr>
          <w:p>
            <w:pPr>
              <w:spacing w:after="60"/>
            </w:pPr>
            <w:r/>
            <w:r>
              <w:rPr>
                <w:rFonts w:ascii="Noto Sans SC" w:hAnsi="Noto Sans SC" w:eastAsia="Noto Sans SC"/>
                <w:b/>
                <w:color w:val="BF9000"/>
                <w:sz w:val="21"/>
              </w:rPr>
              <w:t>为什么不能直接写“Bug 全部正式关闭”</w:t>
            </w:r>
          </w:p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color w:val="1F2933"/>
                <w:sz w:val="19"/>
              </w:rPr>
              <w:t>原报告没有记录被测 Git SHA；生产只读回归没有上传/移除附件、提交入检记录或创建测试订单；生产环境也缺少可安全复用的医生草稿和生产任务夹具。工程证据足以说明修复已发布，但不足以替代原测试方的业务用例复测。</w:t>
            </w:r>
          </w:p>
        </w:tc>
      </w:tr>
    </w:tbl>
    <w:p>
      <w:pPr>
        <w:spacing w:after="2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650"/>
        <w:gridCol w:w="2450"/>
        <w:gridCol w:w="6260"/>
      </w:tblGrid>
      <w:tr>
        <w:trPr>
          <w:tblHeader w:val="true"/>
        </w:trPr>
        <w:tc>
          <w:tcPr>
            <w:tcW w:type="dxa" w:w="65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45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责任动作</w:t>
            </w:r>
          </w:p>
        </w:tc>
        <w:tc>
          <w:tcPr>
            <w:tcW w:type="dxa" w:w="6260"/>
            <w:vAlign w:val="center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2F75B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1</w:t>
            </w:r>
          </w:p>
        </w:tc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测试方固定版本</w:t>
            </w:r>
          </w:p>
        </w:tc>
        <w:tc>
          <w:tcPr>
            <w:tcW w:type="dxa" w:w="62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以生产 SHA 54eea0e4399782485d7953231e4768ed684cd097 为被测基线。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2F75B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2</w:t>
            </w:r>
          </w:p>
        </w:tc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重跑原始 17 份用例</w:t>
            </w:r>
          </w:p>
        </w:tc>
        <w:tc>
          <w:tcPr>
            <w:tcW w:type="dxa" w:w="62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尤其覆盖 8 个 OPEN 缺陷的原复现步骤，并记录时间、环境、角色、预期与实际。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2F75B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3</w:t>
            </w:r>
          </w:p>
        </w:tc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补齐写路径证据</w:t>
            </w:r>
          </w:p>
        </w:tc>
        <w:tc>
          <w:tcPr>
            <w:tcW w:type="dxa" w:w="62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使用隔离测试数据验证附件恢复/移除、非法扩展名拒绝、入检扫码精确节点与连续保存。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2F75B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4</w:t>
            </w:r>
          </w:p>
        </w:tc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业务口径确认</w:t>
            </w:r>
          </w:p>
        </w:tc>
        <w:tc>
          <w:tcPr>
            <w:tcW w:type="dxa" w:w="62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对原报告 PARTIAL 项中的角色/PDF 可见范围进行产品与权限口径确认，不把未确认需求当作 Bug。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2F75B5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5</w:t>
            </w:r>
          </w:p>
        </w:tc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7"/>
              </w:rPr>
              <w:t>测试负责人签字</w:t>
            </w:r>
          </w:p>
        </w:tc>
        <w:tc>
          <w:tcPr>
            <w:tcW w:type="dxa" w:w="62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1F2933"/>
                <w:sz w:val="17"/>
              </w:rPr>
              <w:t>复测通过后再将 8 个缺陷从“已发布/待复测”改为正式 CLOSED。</w:t>
            </w:r>
          </w:p>
        </w:tc>
      </w:tr>
    </w:tbl>
    <w:p>
      <w:r>
        <w:br w:type="page"/>
      </w:r>
    </w:p>
    <w:p>
      <w:pPr>
        <w:pStyle w:val="Heading1"/>
      </w:pPr>
      <w:r>
        <w:t>6. 最终结论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截至 2026-08-16，本轮 8 个 OPEN 缺陷均已完成工程侧处理：7 项代码修复已发布，1 项既有修复已复核；生产发布流水线成功，关键只读场景在线验证通过。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1F2933"/>
          <w:sz w:val="20"/>
        </w:rPr>
        <w:t>当前推荐状态为“工程修复完成、生产已发布、待原测试方复测关闭”。项目整体上线 readiness 不因本报告自动转为 READY；Task 8 仍保持 NOT_READY，直到真实外部上线条件、完整业务验收和责任人签字全部满足。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400"/>
        <w:gridCol w:w="6960"/>
      </w:tblGrid>
      <w:tr>
        <w:tc>
          <w:tcPr>
            <w:tcW w:type="dxa" w:w="24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9"/>
              </w:rPr>
              <w:t>工程状态</w:t>
            </w:r>
          </w:p>
        </w:tc>
        <w:tc>
          <w:tcPr>
            <w:tcW w:type="dxa" w:w="6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548235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9"/>
              </w:rPr>
              <w:t>生产状态</w:t>
            </w:r>
          </w:p>
        </w:tc>
        <w:tc>
          <w:tcPr>
            <w:tcW w:type="dxa" w:w="6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548235"/>
                <w:sz w:val="19"/>
              </w:rPr>
              <w:t>已发布并通过自动化健康检查</w:t>
            </w:r>
          </w:p>
        </w:tc>
      </w:tr>
      <w:tr>
        <w:tc>
          <w:tcPr>
            <w:tcW w:type="dxa" w:w="2400"/>
            <w:vAlign w:val="center"/>
            <w:shd w:fill="DDEB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17365D"/>
                <w:sz w:val="19"/>
              </w:rPr>
              <w:t>正式测试状态</w:t>
            </w:r>
          </w:p>
        </w:tc>
        <w:tc>
          <w:tcPr>
            <w:tcW w:type="dxa" w:w="6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/>
                <w:color w:val="BF9000"/>
                <w:sz w:val="19"/>
              </w:rPr>
              <w:t>待原测试方按生产 SHA 复测并签字关闭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B6573"/>
                <w:sz w:val="17"/>
              </w:rPr>
              <w:t>工程负责人</w:t>
            </w:r>
          </w:p>
        </w:tc>
        <w:tc>
          <w:tcPr>
            <w:tcW w:type="dxa" w:w="3120"/>
            <w:vAlign w:val="center"/>
            <w:shd w:fill="F2F4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B6573"/>
                <w:sz w:val="17"/>
              </w:rPr>
              <w:t>测试负责人</w:t>
            </w:r>
          </w:p>
        </w:tc>
        <w:tc>
          <w:tcPr>
            <w:tcW w:type="dxa" w:w="3120"/>
            <w:vAlign w:val="center"/>
            <w:shd w:fill="F2F4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5B6573"/>
                <w:sz w:val="17"/>
              </w:rPr>
              <w:t>产品/业务负责人</w:t>
            </w:r>
          </w:p>
        </w:tc>
      </w:tr>
      <w:tr>
        <w:trPr>
          <w:trHeight w:val="792" w:hRule="atLeast"/>
        </w:trPr>
        <w:tc>
          <w:tcPr>
            <w:tcW w:type="dxa" w:w="3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5B6573"/>
                <w:sz w:val="17"/>
              </w:rPr>
              <w:t>签字：________________</w:t>
              <w:br/>
              <w:t>日期：________________</w:t>
            </w:r>
          </w:p>
        </w:tc>
        <w:tc>
          <w:tcPr>
            <w:tcW w:type="dxa" w:w="3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5B6573"/>
                <w:sz w:val="17"/>
              </w:rPr>
              <w:t>签字：________________</w:t>
              <w:br/>
              <w:t>日期：________________</w:t>
            </w:r>
          </w:p>
        </w:tc>
        <w:tc>
          <w:tcPr>
            <w:tcW w:type="dxa" w:w="31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5B6573"/>
                <w:sz w:val="17"/>
              </w:rPr>
              <w:t>签字：________________</w:t>
              <w:br/>
              <w:t>日期：________________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5B65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SC" w:hAnsi="Noto Sans SC" w:eastAsia="Noto Sans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SC" w:hAnsi="Noto Sans SC" w:eastAsia="Noto Sans SC"/>
        <w:b/>
        <w:color w:val="5B6573"/>
        <w:sz w:val="17"/>
      </w:rPr>
      <w:t>AI 智能下单平台  /  全链路回归修复与上线报告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" w:hAnsi="Noto Sans SC" w:eastAsia="Noto Sans SC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ompact">
    <w:name w:val="Caption Compact"/>
    <w:pPr>
      <w:spacing w:after="60"/>
    </w:pPr>
    <w:rPr>
      <w:rFonts w:ascii="Noto Sans SC" w:hAnsi="Noto Sans SC" w:eastAsia="Noto Sans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nacca/zhizhan2026-001-medical-system/pull/21" TargetMode="External"/><Relationship Id="rId12" Type="http://schemas.openxmlformats.org/officeDocument/2006/relationships/hyperlink" Target="https://github.com/cnacca/zhizhan2026-001-medical-system/pull/22" TargetMode="External"/><Relationship Id="rId13" Type="http://schemas.openxmlformats.org/officeDocument/2006/relationships/hyperlink" Target="https://github.com/cnacca/zhizhan2026-001-medical-system/actions/runs/31939878141" TargetMode="External"/><Relationship Id="rId14" Type="http://schemas.openxmlformats.org/officeDocument/2006/relationships/hyperlink" Target="https://github.com/cnacca/zhizhan2026-001-medical-system/pull/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2026-08-16 全链路回归 Bug 修复与上线报告</dc:title>
  <dc:subject>AI 智能下单平台回归缺陷修复、验证与生产发布证据</dc:subject>
  <dc:creator>AI 智能下单平台项目组</dc:creator>
  <cp:keywords>回归测试,Bug修复,上线报告,生产验证</cp:keywords>
  <dc:description>基于 2026-08-16 外部回归报告、当前代码验证与生产只读回归形成。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