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574" w:rsidRDefault="00AD0574">
      <w:pPr>
        <w:spacing w:before="500"/>
      </w:pPr>
    </w:p>
    <w:p w:rsidR="00AD0574" w:rsidRPr="00FD35D4" w:rsidRDefault="008906AA">
      <w:pPr>
        <w:spacing w:after="40"/>
        <w:jc w:val="center"/>
        <w:rPr>
          <w:sz w:val="36"/>
          <w:szCs w:val="36"/>
        </w:rPr>
      </w:pPr>
      <w:proofErr w:type="spellStart"/>
      <w:proofErr w:type="gramStart"/>
      <w:r w:rsidRPr="00FD35D4">
        <w:rPr>
          <w:b/>
          <w:bCs/>
          <w:color w:val="1A3A6B"/>
          <w:sz w:val="36"/>
          <w:szCs w:val="36"/>
        </w:rPr>
        <w:t>มหาวิทยาลัยแม่ฟ้าหลวง</w:t>
      </w:r>
      <w:proofErr w:type="spellEnd"/>
      <w:r w:rsidRPr="00FD35D4">
        <w:rPr>
          <w:b/>
          <w:bCs/>
          <w:color w:val="1A3A6B"/>
          <w:sz w:val="36"/>
          <w:szCs w:val="36"/>
        </w:rPr>
        <w:t xml:space="preserve">  |</w:t>
      </w:r>
      <w:proofErr w:type="gramEnd"/>
      <w:r w:rsidRPr="00FD35D4">
        <w:rPr>
          <w:b/>
          <w:bCs/>
          <w:color w:val="1A3A6B"/>
          <w:sz w:val="36"/>
          <w:szCs w:val="36"/>
        </w:rPr>
        <w:t xml:space="preserve">  Mae Fah </w:t>
      </w:r>
      <w:proofErr w:type="spellStart"/>
      <w:r w:rsidRPr="00FD35D4">
        <w:rPr>
          <w:b/>
          <w:bCs/>
          <w:color w:val="1A3A6B"/>
          <w:sz w:val="36"/>
          <w:szCs w:val="36"/>
        </w:rPr>
        <w:t>Luang</w:t>
      </w:r>
      <w:proofErr w:type="spellEnd"/>
      <w:r w:rsidRPr="00FD35D4">
        <w:rPr>
          <w:b/>
          <w:bCs/>
          <w:color w:val="1A3A6B"/>
          <w:sz w:val="36"/>
          <w:szCs w:val="36"/>
        </w:rPr>
        <w:t xml:space="preserve"> University</w:t>
      </w:r>
    </w:p>
    <w:p w:rsidR="00AD0574" w:rsidRPr="00FD35D4" w:rsidRDefault="008906AA">
      <w:pPr>
        <w:spacing w:after="60"/>
        <w:jc w:val="center"/>
        <w:rPr>
          <w:sz w:val="36"/>
          <w:szCs w:val="36"/>
        </w:rPr>
      </w:pPr>
      <w:r w:rsidRPr="00FD35D4">
        <w:rPr>
          <w:i/>
          <w:iCs/>
          <w:color w:val="8B6914"/>
          <w:sz w:val="36"/>
          <w:szCs w:val="36"/>
        </w:rPr>
        <w:t xml:space="preserve">MFU AI &amp; Robotics Innovation </w:t>
      </w:r>
      <w:proofErr w:type="gramStart"/>
      <w:r w:rsidRPr="00FD35D4">
        <w:rPr>
          <w:i/>
          <w:iCs/>
          <w:color w:val="8B6914"/>
          <w:sz w:val="36"/>
          <w:szCs w:val="36"/>
        </w:rPr>
        <w:t>Center  (</w:t>
      </w:r>
      <w:proofErr w:type="gramEnd"/>
      <w:r w:rsidRPr="00FD35D4">
        <w:rPr>
          <w:i/>
          <w:iCs/>
          <w:color w:val="8B6914"/>
          <w:sz w:val="36"/>
          <w:szCs w:val="36"/>
        </w:rPr>
        <w:t>MFU-ARIC)</w:t>
      </w:r>
    </w:p>
    <w:p w:rsidR="00AD0574" w:rsidRDefault="00AD0574">
      <w:pPr>
        <w:spacing w:before="60"/>
      </w:pPr>
    </w:p>
    <w:p w:rsidR="00AD0574" w:rsidRDefault="008906AA">
      <w:pPr>
        <w:pBdr>
          <w:top w:val="single" w:sz="12" w:space="0" w:color="1A3A6B"/>
          <w:bottom w:val="single" w:sz="12" w:space="0" w:color="1A3A6B"/>
        </w:pBdr>
        <w:spacing w:before="100" w:after="80"/>
        <w:jc w:val="center"/>
      </w:pPr>
      <w:proofErr w:type="spellStart"/>
      <w:r>
        <w:rPr>
          <w:b/>
          <w:bCs/>
          <w:color w:val="1A3A6B"/>
          <w:sz w:val="36"/>
          <w:szCs w:val="36"/>
        </w:rPr>
        <w:t>รายละเอียดและจำแนกประเภทครุภัณฑ์</w:t>
      </w:r>
      <w:proofErr w:type="spellEnd"/>
    </w:p>
    <w:p w:rsidR="00AD0574" w:rsidRDefault="008906AA">
      <w:pPr>
        <w:spacing w:after="80"/>
        <w:jc w:val="center"/>
      </w:pPr>
      <w:proofErr w:type="spellStart"/>
      <w:r>
        <w:rPr>
          <w:b/>
          <w:bCs/>
          <w:color w:val="1A3A6B"/>
          <w:sz w:val="40"/>
          <w:szCs w:val="40"/>
        </w:rPr>
        <w:t>งบลงทุน</w:t>
      </w:r>
      <w:proofErr w:type="spellEnd"/>
      <w:r>
        <w:rPr>
          <w:b/>
          <w:bCs/>
          <w:color w:val="1A3A6B"/>
          <w:sz w:val="40"/>
          <w:szCs w:val="40"/>
        </w:rPr>
        <w:t xml:space="preserve"> (Capital Expenditure) 3 </w:t>
      </w:r>
      <w:proofErr w:type="spellStart"/>
      <w:r>
        <w:rPr>
          <w:b/>
          <w:bCs/>
          <w:color w:val="1A3A6B"/>
          <w:sz w:val="40"/>
          <w:szCs w:val="40"/>
        </w:rPr>
        <w:t>หมวดหลัก</w:t>
      </w:r>
      <w:proofErr w:type="spellEnd"/>
    </w:p>
    <w:p w:rsidR="00AD0574" w:rsidRDefault="008906AA">
      <w:pPr>
        <w:spacing w:after="200"/>
        <w:jc w:val="center"/>
      </w:pPr>
      <w:proofErr w:type="spellStart"/>
      <w:r>
        <w:rPr>
          <w:i/>
          <w:iCs/>
          <w:color w:val="666666"/>
        </w:rPr>
        <w:t>สำหรับประกอบโครงการขอรับการสนับสนุนงบประมาณจากภาครัฐ</w:t>
      </w:r>
      <w:proofErr w:type="spellEnd"/>
    </w:p>
    <w:p w:rsidR="00AD0574" w:rsidRDefault="00AD05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6919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เอกสารอ้างอิงโครงการ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sz w:val="32"/>
                <w:szCs w:val="32"/>
              </w:rPr>
              <w:t>โครงการจัดตั้งศูนย์นวัตกรรมด้านปัญญาประดิษฐ์และหุ่นยนต์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มหาวิทยาลัยแม่ฟ้าหลวง</w:t>
            </w:r>
            <w:proofErr w:type="spellEnd"/>
            <w:r w:rsidRPr="00FD35D4">
              <w:rPr>
                <w:sz w:val="32"/>
                <w:szCs w:val="32"/>
              </w:rPr>
              <w:t xml:space="preserve"> (MFU-ARIC)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รหัสโครงการ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sz w:val="32"/>
                <w:szCs w:val="32"/>
              </w:rPr>
              <w:t>MFU-ARIC-2569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วันที่จัดทำเอกสาร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sz w:val="32"/>
                <w:szCs w:val="32"/>
              </w:rPr>
              <w:t>มีนาคม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พ.ศ</w:t>
            </w:r>
            <w:proofErr w:type="spellEnd"/>
            <w:r w:rsidRPr="00FD35D4">
              <w:rPr>
                <w:sz w:val="32"/>
                <w:szCs w:val="32"/>
              </w:rPr>
              <w:t>. 2569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วงเงินงบลงทุนรวม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CapEx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130,000,000 บาท (ร้อยละ 43.3 ของงบโครงการทั้งหมด)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หมวดที่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FD35D4">
              <w:rPr>
                <w:sz w:val="32"/>
                <w:szCs w:val="32"/>
              </w:rPr>
              <w:t>ระบบเครือข่ายและความปลอดภัยไซเบอร์</w:t>
            </w:r>
            <w:proofErr w:type="spellEnd"/>
            <w:r w:rsidRPr="00FD35D4">
              <w:rPr>
                <w:sz w:val="32"/>
                <w:szCs w:val="32"/>
              </w:rPr>
              <w:t xml:space="preserve">  :</w:t>
            </w:r>
            <w:proofErr w:type="gramEnd"/>
            <w:r w:rsidRPr="00FD35D4">
              <w:rPr>
                <w:sz w:val="32"/>
                <w:szCs w:val="32"/>
              </w:rPr>
              <w:t xml:space="preserve">  15,000,000 </w:t>
            </w:r>
            <w:proofErr w:type="spellStart"/>
            <w:r w:rsidRPr="00FD35D4">
              <w:rPr>
                <w:sz w:val="32"/>
                <w:szCs w:val="32"/>
              </w:rPr>
              <w:t>บาท</w:t>
            </w:r>
            <w:proofErr w:type="spellEnd"/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หมวดที่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sz w:val="32"/>
                <w:szCs w:val="32"/>
              </w:rPr>
              <w:t xml:space="preserve"> AI Computing (GPU </w:t>
            </w:r>
            <w:proofErr w:type="gramStart"/>
            <w:r w:rsidRPr="00FD35D4">
              <w:rPr>
                <w:sz w:val="32"/>
                <w:szCs w:val="32"/>
              </w:rPr>
              <w:t>Cluster)  :</w:t>
            </w:r>
            <w:proofErr w:type="gramEnd"/>
            <w:r w:rsidRPr="00FD35D4">
              <w:rPr>
                <w:sz w:val="32"/>
                <w:szCs w:val="32"/>
              </w:rPr>
              <w:t xml:space="preserve">  65,000,000 </w:t>
            </w:r>
            <w:proofErr w:type="spellStart"/>
            <w:r w:rsidRPr="00FD35D4">
              <w:rPr>
                <w:sz w:val="32"/>
                <w:szCs w:val="32"/>
              </w:rPr>
              <w:t>บาท</w:t>
            </w:r>
            <w:proofErr w:type="spellEnd"/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หมวดที่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sz w:val="32"/>
                <w:szCs w:val="32"/>
              </w:rPr>
              <w:t xml:space="preserve"> Robotics Lab </w:t>
            </w:r>
            <w:proofErr w:type="spellStart"/>
            <w:proofErr w:type="gramStart"/>
            <w:r w:rsidRPr="00FD35D4">
              <w:rPr>
                <w:sz w:val="32"/>
                <w:szCs w:val="32"/>
              </w:rPr>
              <w:t>และอุปกรณ์</w:t>
            </w:r>
            <w:proofErr w:type="spellEnd"/>
            <w:r w:rsidRPr="00FD35D4">
              <w:rPr>
                <w:sz w:val="32"/>
                <w:szCs w:val="32"/>
              </w:rPr>
              <w:t xml:space="preserve">  :</w:t>
            </w:r>
            <w:proofErr w:type="gramEnd"/>
            <w:r w:rsidRPr="00FD35D4">
              <w:rPr>
                <w:sz w:val="32"/>
                <w:szCs w:val="32"/>
              </w:rPr>
              <w:t xml:space="preserve">  50,000,000 </w:t>
            </w:r>
            <w:proofErr w:type="spellStart"/>
            <w:r w:rsidRPr="00FD35D4">
              <w:rPr>
                <w:sz w:val="32"/>
                <w:szCs w:val="32"/>
              </w:rPr>
              <w:t>บาท</w:t>
            </w:r>
            <w:proofErr w:type="spellEnd"/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ผู้จัดทำ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sz w:val="32"/>
                <w:szCs w:val="32"/>
              </w:rPr>
              <w:t>ฝ่ายจัดการครุภัณฑ์และเทคโนโลยี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มหาวิทยาลัยแม่ฟ้าหลวง</w:t>
            </w:r>
            <w:proofErr w:type="spellEnd"/>
          </w:p>
        </w:tc>
      </w:tr>
    </w:tbl>
    <w:p w:rsidR="00AD0574" w:rsidRPr="00FD35D4" w:rsidRDefault="00AD0574">
      <w:pPr>
        <w:spacing w:before="12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F8E1"/>
              <w:left w:val="single" w:sz="20" w:space="0" w:color="8B6914"/>
              <w:bottom w:val="single" w:sz="1" w:space="0" w:color="FFF8E1"/>
              <w:right w:val="single" w:sz="1" w:space="0" w:color="FFF8E1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60" w:line="340" w:lineRule="auto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หมายเหตุสำคัญเกี่ยวกับการจัดทำราคา</w:t>
            </w:r>
            <w:proofErr w:type="spellEnd"/>
          </w:p>
          <w:p w:rsidR="00AD0574" w:rsidRPr="00FD35D4" w:rsidRDefault="008906AA">
            <w:pPr>
              <w:spacing w:line="320" w:lineRule="auto"/>
              <w:rPr>
                <w:sz w:val="32"/>
                <w:szCs w:val="32"/>
              </w:rPr>
            </w:pPr>
            <w:proofErr w:type="spellStart"/>
            <w:r w:rsidRPr="00FD35D4">
              <w:rPr>
                <w:sz w:val="32"/>
                <w:szCs w:val="32"/>
              </w:rPr>
              <w:t>ราคาที่ระบุในเอกสารนี้เป็นราคาประมาณการ</w:t>
            </w:r>
            <w:proofErr w:type="spellEnd"/>
            <w:r w:rsidRPr="00FD35D4">
              <w:rPr>
                <w:sz w:val="32"/>
                <w:szCs w:val="32"/>
              </w:rPr>
              <w:t xml:space="preserve"> (Estimated Price) </w:t>
            </w:r>
            <w:proofErr w:type="spellStart"/>
            <w:r w:rsidRPr="00FD35D4">
              <w:rPr>
                <w:sz w:val="32"/>
                <w:szCs w:val="32"/>
              </w:rPr>
              <w:t>ที่อ้างอิงจากราคาตลาดสากลและราคาของผู้จำหน่ายในประเทศไทย</w:t>
            </w:r>
            <w:proofErr w:type="spellEnd"/>
            <w:r w:rsidRPr="00FD35D4">
              <w:rPr>
                <w:sz w:val="32"/>
                <w:szCs w:val="32"/>
              </w:rPr>
              <w:t xml:space="preserve"> ณ </w:t>
            </w:r>
            <w:proofErr w:type="spellStart"/>
            <w:r w:rsidRPr="00FD35D4">
              <w:rPr>
                <w:sz w:val="32"/>
                <w:szCs w:val="32"/>
              </w:rPr>
              <w:t>ปี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พ.ศ</w:t>
            </w:r>
            <w:proofErr w:type="spellEnd"/>
            <w:r w:rsidRPr="00FD35D4">
              <w:rPr>
                <w:sz w:val="32"/>
                <w:szCs w:val="32"/>
              </w:rPr>
              <w:t xml:space="preserve">. 2568–2569 </w:t>
            </w:r>
            <w:proofErr w:type="spellStart"/>
            <w:r w:rsidRPr="00FD35D4">
              <w:rPr>
                <w:sz w:val="32"/>
                <w:szCs w:val="32"/>
              </w:rPr>
              <w:t>แปลงค่าเงินที่อัตรา</w:t>
            </w:r>
            <w:proofErr w:type="spellEnd"/>
            <w:r w:rsidRPr="00FD35D4">
              <w:rPr>
                <w:sz w:val="32"/>
                <w:szCs w:val="32"/>
              </w:rPr>
              <w:t xml:space="preserve"> 1 USD ≈ 35 </w:t>
            </w:r>
            <w:proofErr w:type="spellStart"/>
            <w:r w:rsidRPr="00FD35D4">
              <w:rPr>
                <w:sz w:val="32"/>
                <w:szCs w:val="32"/>
              </w:rPr>
              <w:t>บาท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ราคาจริงอาจมีการเปลี่ยนแปลงตามสภาวะตลาด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อัตราแลกเปลี่ยน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และเงื่อนไขการจัดซื้อจัดจ้างตา</w:t>
            </w:r>
            <w:r w:rsidRPr="00FD35D4">
              <w:rPr>
                <w:sz w:val="32"/>
                <w:szCs w:val="32"/>
              </w:rPr>
              <w:t>มระเบียบภาครัฐ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และต้องผ่านกระบวนการจัดซื้อจัดจ้างตาม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พ.ร.บ</w:t>
            </w:r>
            <w:proofErr w:type="spellEnd"/>
            <w:r w:rsidRPr="00FD35D4">
              <w:rPr>
                <w:sz w:val="32"/>
                <w:szCs w:val="32"/>
              </w:rPr>
              <w:t xml:space="preserve">. </w:t>
            </w:r>
            <w:proofErr w:type="spellStart"/>
            <w:r w:rsidRPr="00FD35D4">
              <w:rPr>
                <w:sz w:val="32"/>
                <w:szCs w:val="32"/>
              </w:rPr>
              <w:t>จัดซื้อจัดจ้างฯ</w:t>
            </w:r>
            <w:proofErr w:type="spellEnd"/>
            <w:r w:rsidRPr="00FD35D4">
              <w:rPr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sz w:val="32"/>
                <w:szCs w:val="32"/>
              </w:rPr>
              <w:t>พ.ศ</w:t>
            </w:r>
            <w:proofErr w:type="spellEnd"/>
            <w:r w:rsidRPr="00FD35D4">
              <w:rPr>
                <w:sz w:val="32"/>
                <w:szCs w:val="32"/>
              </w:rPr>
              <w:t xml:space="preserve">. 2560 </w:t>
            </w:r>
            <w:proofErr w:type="spellStart"/>
            <w:r w:rsidRPr="00FD35D4">
              <w:rPr>
                <w:sz w:val="32"/>
                <w:szCs w:val="32"/>
              </w:rPr>
              <w:t>อย่างถูกต้อง</w:t>
            </w:r>
            <w:proofErr w:type="spellEnd"/>
          </w:p>
        </w:tc>
      </w:tr>
    </w:tbl>
    <w:p w:rsidR="00AD0574" w:rsidRDefault="008906A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0574" w:rsidRDefault="008906AA">
            <w:pPr>
              <w:spacing w:after="20"/>
            </w:pPr>
            <w:proofErr w:type="spellStart"/>
            <w:r>
              <w:rPr>
                <w:color w:val="CCDDFF"/>
                <w:sz w:val="22"/>
                <w:szCs w:val="22"/>
              </w:rPr>
              <w:lastRenderedPageBreak/>
              <w:t>หมวดที่</w:t>
            </w:r>
            <w:proofErr w:type="spellEnd"/>
            <w:r>
              <w:rPr>
                <w:color w:val="CCDDFF"/>
                <w:sz w:val="22"/>
                <w:szCs w:val="22"/>
              </w:rPr>
              <w:t xml:space="preserve"> 1</w:t>
            </w:r>
          </w:p>
          <w:p w:rsidR="00AD0574" w:rsidRDefault="008906AA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ระบบเครือข่ายและความปลอดภัยไซเบอร์</w:t>
            </w:r>
            <w:proofErr w:type="spellEnd"/>
          </w:p>
          <w:p w:rsidR="00AD0574" w:rsidRDefault="008906AA">
            <w:r>
              <w:rPr>
                <w:i/>
                <w:iCs/>
                <w:color w:val="CCDDFF"/>
                <w:sz w:val="22"/>
                <w:szCs w:val="22"/>
              </w:rPr>
              <w:t xml:space="preserve">Network Infrastructure &amp; Cybersecurity </w:t>
            </w:r>
            <w:proofErr w:type="gramStart"/>
            <w:r>
              <w:rPr>
                <w:i/>
                <w:iCs/>
                <w:color w:val="CCDDFF"/>
                <w:sz w:val="22"/>
                <w:szCs w:val="22"/>
              </w:rPr>
              <w:t>System  |</w:t>
            </w:r>
            <w:proofErr w:type="gramEnd"/>
            <w:r>
              <w:rPr>
                <w:i/>
                <w:iCs/>
                <w:color w:val="CCDDFF"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color w:val="CCDDFF"/>
                <w:sz w:val="22"/>
                <w:szCs w:val="22"/>
              </w:rPr>
              <w:t>วงเงิน</w:t>
            </w:r>
            <w:proofErr w:type="spellEnd"/>
            <w:r>
              <w:rPr>
                <w:i/>
                <w:iCs/>
                <w:color w:val="CCDDFF"/>
                <w:sz w:val="22"/>
                <w:szCs w:val="22"/>
              </w:rPr>
              <w:t xml:space="preserve"> 15,000,000 </w:t>
            </w:r>
            <w:proofErr w:type="spellStart"/>
            <w:r>
              <w:rPr>
                <w:i/>
                <w:iCs/>
                <w:color w:val="CCDDFF"/>
                <w:sz w:val="22"/>
                <w:szCs w:val="22"/>
              </w:rPr>
              <w:t>บาท</w:t>
            </w:r>
            <w:proofErr w:type="spellEnd"/>
          </w:p>
        </w:tc>
      </w:tr>
    </w:tbl>
    <w:p w:rsidR="00AD0574" w:rsidRDefault="00AD057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6E4F7"/>
              <w:left w:val="single" w:sz="20" w:space="0" w:color="1A3A6B"/>
              <w:bottom w:val="single" w:sz="1" w:space="0" w:color="D6E4F7"/>
              <w:right w:val="single" w:sz="1" w:space="0" w:color="D6E4F7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60" w:line="340" w:lineRule="auto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เหตุผลและความจำเป็น</w:t>
            </w:r>
          </w:p>
          <w:p w:rsidR="00AD0574" w:rsidRPr="00FD35D4" w:rsidRDefault="008906AA">
            <w:pPr>
              <w:spacing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32"/>
                <w:szCs w:val="32"/>
              </w:rPr>
              <w:t xml:space="preserve">ศูนย์ MFU-ARIC ต้องการระบบเครือข่ายที่มีความเร็วสูง (High-Performance Network) เพื่อรองรับการส่งข้อมูลขนาดใหญ่ระหว่าง GPU Cluster, Storage และ Workstation รวมถึงรองรับ AI Solutions Consulting Service และ Startup ที่ต้องเข้าถึง Computing Resources ได้อย่างปลอดภัย ระบบความปลอดภัยไซเบอร์ออกแบบตามแนวทาง Fortinet Security Fabric เพื่อการบริหารจัดการแบบรวมศูนย์และตอบสนองภัยคุกคามอัตโนมัติ ปกป้องทรัพย์สินทางปัญญา ข้อมูลภาคอุตสาหกรรม และข้อมูลธุรกิจของ Startup ที่เข้าร่วมโครงการ</w:t>
            </w:r>
            <w:r>
              <w:rPr>
                <w:sz w:val="32"/>
                <w:szCs w:val="32"/>
              </w:rPr>
              <w:br/>
              <w:t xml:space="preserve">สถาปัตยกรรมเครือข่ายแบ่งเป็น 3 ระดับ: (1) InfiniBand NDR 400Gbps Fabric สำหรับ GPU Cluster Interconnect (2) 10G/100G Ethernet Core Network สำหรับ Server-to-Storage และ Inter-VLAN Routing (3) Wi-Fi 7 Wireless Network สำหรับผู้ใช้งานทั่วไปและ IoT/Robotics</w:t>
            </w:r>
            <w:r>
              <w:rPr>
                <w:sz w:val="32"/>
                <w:szCs w:val="32"/>
              </w:rPr>
              <w:br/>
              <w:t xml:space="preserve">ระบบ Out-of-Band (OOB) Management Network แยกจากระบบ Production สำหรับบริหารจัดการเซิร์ฟเวอร์ผ่าน IPMI/BMC</w:t>
            </w:r>
          </w:p>
        </w:tc>
      </w:tr>
    </w:tbl>
    <w:p w:rsidR="00AD0574" w:rsidRPr="00FD35D4" w:rsidRDefault="00AD0574">
      <w:pPr>
        <w:spacing w:before="14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1.1 </w:t>
      </w:r>
      <w:proofErr w:type="spellStart"/>
      <w:r w:rsidRPr="00FD35D4">
        <w:rPr>
          <w:sz w:val="32"/>
          <w:szCs w:val="32"/>
        </w:rPr>
        <w:t>ระบบเครือข่ายความเร็วสูง</w:t>
      </w:r>
      <w:proofErr w:type="spellEnd"/>
      <w:r w:rsidRPr="00FD35D4">
        <w:rPr>
          <w:sz w:val="32"/>
          <w:szCs w:val="32"/>
        </w:rPr>
        <w:t xml:space="preserve"> (High-Speed Network Infrastructure)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1940"/>
        <w:gridCol w:w="2755"/>
        <w:gridCol w:w="831"/>
        <w:gridCol w:w="724"/>
        <w:gridCol w:w="1467"/>
        <w:gridCol w:w="115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Core Switch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ระดับ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Data Center (Cisco Catalyst 9500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- 48 Port 10G SFP+ - 4 Port 100G QSFP28 Uplink - Layer 3 Managed, HA Redundant (VSS/StackWise Virtual) - Switching Capacity ≥ 1.2 Tbps - รองรับ SDN/VLAN/QoS/EVPN-VXLAN - Multi-tenant Isolation สำหรับ Startup แต่ละทีม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Access Switch 10G SFP+ (สำหรับ AI Server &amp; Workstation)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- 24 Port 10G SFP+ - 4 Port 25G SFP28 Uplink - Layer 2/3, VLAN, QoS, ACL - Stackable, Non-blocking - Cisco Catalyst 9300-24S / Arista 7050SX3 หรือเทียบเท่า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InfiniBand Switch NDR 400Gbps (สำหรับ GPU Cluster Interconnect)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- 32 Port NDR InfiniBand 400Gbps - Non-blocking Fabric - NVIDIA Quantum-2 QM9700 หรือเทียบเท่า - Latency &lt; 90ns - รองรับ SHARP In-Network Computing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1,800,000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InfiniBand HCA Card NDR 400Gbps (ต่อพ่วงในแต่ละ GPU Server)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- NVIDIA Mellanox ConnectX-7 - 400Gbps NDR Single-port - PCIe 5.0 x16 - RDMA/GPUDirect Support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การ์ด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680,000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1A1A2E"/>
                <w:sz w:val="32"/>
                <w:szCs w:val="32"/>
              </w:rPr>
              <w:t xml:space="preserve">Fiber Optic Cable, DAC Cable &amp; Patch Panel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- OM4 Multi-mode Fiber (50/125μm) สำหรับ 10G/25G/100G Ethernet - LC-LC Duplex 5m/10m/20m - DAC (Direct Attach Copper) 400G 1m/2m/3m สำหรับ InfiniBand - 24-Port Patch Panel ×4 - Cable Tray &amp; Management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300,000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1.6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Wi-Fi 7 Access Point (Cisco Catalyst 9178 หรือเทียบเท่า)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- 802.11be Tri-band (2.4/5/6 GHz) - Speed ≥ 11 Gbps aggregate - WPA3, MU-MIMO 16×16, MLO (Multi-Link Operation) - Cloud Managed (รวม License 3 ปี)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65,000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520,000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1.7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1A1A2E"/>
                <w:sz w:val="32"/>
                <w:szCs w:val="32"/>
              </w:rPr>
              <w:t xml:space="preserve">Out-of-Band Management Switch (OOB)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- 24 Port 1G RJ45 Managed - Layer 2, VLAN - สำหรับ IPMI/iDRAC/BMC Management Network - แยก Network จาก Production Traffic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เครื่อง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80,000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รวมระบบเครือข่าย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(1.1–1.7)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5,780,000</w:t>
            </w:r>
          </w:p>
        </w:tc>
      </w:tr>
    </w:tbl>
    <w:p w:rsidR="00AD0574" w:rsidRDefault="00AD0574">
      <w:pPr>
        <w:spacing w:before="160"/>
      </w:pPr>
    </w:p>
    <w:p w:rsidR="00AD0574" w:rsidRPr="00FD35D4" w:rsidRDefault="008906AA">
      <w:pPr>
        <w:pStyle w:val="Heading2"/>
        <w:rPr>
          <w:sz w:val="32"/>
          <w:szCs w:val="32"/>
        </w:rPr>
      </w:pPr>
      <w:r>
        <w:t xml:space="preserve">◆ </w:t>
      </w:r>
      <w:r w:rsidRPr="00FD35D4">
        <w:rPr>
          <w:sz w:val="32"/>
          <w:szCs w:val="32"/>
        </w:rPr>
        <w:t xml:space="preserve">1.2 </w:t>
      </w:r>
      <w:proofErr w:type="spellStart"/>
      <w:r w:rsidRPr="00FD35D4">
        <w:rPr>
          <w:sz w:val="32"/>
          <w:szCs w:val="32"/>
        </w:rPr>
        <w:t>ระบบความปลอดภัยไซเบอร์</w:t>
      </w:r>
      <w:proofErr w:type="spellEnd"/>
      <w:r w:rsidRPr="00FD35D4">
        <w:rPr>
          <w:sz w:val="32"/>
          <w:szCs w:val="32"/>
        </w:rPr>
        <w:t xml:space="preserve"> (Cybersecurity Infrastructure)</w:t>
      </w:r>
    </w:p>
    <w:p w:rsidR="00AD0574" w:rsidRDefault="00AD05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843"/>
        <w:gridCol w:w="2839"/>
        <w:gridCol w:w="825"/>
        <w:gridCol w:w="719"/>
        <w:gridCol w:w="1416"/>
        <w:gridCol w:w="1147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Next-Generation Firewall (Fortinet </w:t>
            </w:r>
            <w:r w:rsidRPr="00FD35D4">
              <w:rPr>
                <w:b/>
                <w:bCs/>
                <w:color w:val="1A1A2E"/>
                <w:sz w:val="32"/>
                <w:szCs w:val="32"/>
              </w:rPr>
              <w:lastRenderedPageBreak/>
              <w:t xml:space="preserve">FortiGate 400F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Firewall Throughput ≥ 65 Gbps (ASIC-accelerated) - NGFW Throughput (IPS + App Control) ≥ 10 Gbps - SSL Inspection Throughput ≥ 7 Gbps - IPS, Application Control, Web Filtering - HA Active-Passive Redundant - SSL VPN (≥ 500 Concurrent Users สำหรับ Remote Access) - Threat Intelligence Auto-Update - รวม License 3 ปี (FortiGuard UTP Bundle)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1,700,000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SIEM &amp; Log Analytics Platform (FortiAnalyzer + Wazuh)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FortiAnalyzer VM/HW สำหรับ Fortinet Device Log Analytics - Wazuh SIEM/XDR (Open-source, self-hosted) - Log Ingestion ≥ 100 GB/day - Real-time Threat Detection &amp; Compliance Reporting - Integration กับ Fortinet Security Fabric - License 3 ปี (FortiAnalyzer)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700,000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700,000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Endpoint Detection &amp; Response (EDR) (FortiEDR หรือเทียบเท่า)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Agent-based สำหรับ Endpoint 100 เครื่อง - AI-driven Threat Hunting &amp; Zero-Day Protection - Integration กับ FortiGate &amp; FortiAnalyzer (Security Fabric) - License 3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350,000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Security Operations </w:t>
            </w:r>
            <w:r w:rsidRPr="00FD35D4">
              <w:rPr>
                <w:b/>
                <w:bCs/>
                <w:color w:val="1A1A2E"/>
                <w:sz w:val="32"/>
                <w:szCs w:val="32"/>
              </w:rPr>
              <w:lastRenderedPageBreak/>
              <w:t>Center (SOC) Workstation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พร้อม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Dual 27" Monitor)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- Intel Core i9 / AMD Ryzen 9 - RAM 64 GB, SSD 2 TB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lastRenderedPageBreak/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r w:rsidRPr="00FD35D4">
              <w:rPr>
                <w:color w:val="1A1A2E"/>
                <w:sz w:val="32"/>
                <w:szCs w:val="32"/>
              </w:rPr>
              <w:t xml:space="preserve">- Dual Monitor 27" 4K IPS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พร้อม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KVM Switch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และอุปกรณ์เสริม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240,000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UPS (Uninterruptible Power Supply)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Network &amp; Security Rack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APC Smart-UPS 5000VA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Runtime ≥ 15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นาที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ที่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Full Load - Online Double Conversion </w:t>
            </w:r>
            <w:r w:rsidRPr="00FD35D4">
              <w:rPr>
                <w:color w:val="1A1A2E"/>
                <w:sz w:val="32"/>
                <w:szCs w:val="32"/>
              </w:rPr>
              <w:t>- Network Management Card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170,000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2.6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Patch Management &amp; Vulnerability Scanner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Tenable Nessus Professional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Scan ≥ 256 IP - License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Integration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กับ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SIEM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180,000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180,000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2.7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1A1A2E"/>
                <w:sz w:val="32"/>
                <w:szCs w:val="32"/>
              </w:rPr>
              <w:t xml:space="preserve">Network Access Control (NAC) (FortiNAC หรือเทียบเท่า)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Endpoint Profiling &amp; Classification - 802.1X Authentication - Guest/Startup Portal (Multi-tenant Access Control) - Integration กับ FortiGate &amp; FortiAnalyzer - License 100 Endpoints, 3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ชุด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600,000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600,000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รวมระบบความปลอดภัยไซเบอร์ ระยะที่ 1 (2.1–2.7)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3,940,000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1.3 </w:t>
      </w:r>
      <w:proofErr w:type="spellStart"/>
      <w:r w:rsidRPr="00FD35D4">
        <w:rPr>
          <w:sz w:val="32"/>
          <w:szCs w:val="32"/>
        </w:rPr>
        <w:t>ระบบ</w:t>
      </w:r>
      <w:proofErr w:type="spellEnd"/>
      <w:r w:rsidRPr="00FD35D4">
        <w:rPr>
          <w:sz w:val="32"/>
          <w:szCs w:val="32"/>
        </w:rPr>
        <w:t xml:space="preserve"> Data Storage </w:t>
      </w:r>
      <w:proofErr w:type="spellStart"/>
      <w:r w:rsidRPr="00FD35D4">
        <w:rPr>
          <w:sz w:val="32"/>
          <w:szCs w:val="32"/>
        </w:rPr>
        <w:t>และ</w:t>
      </w:r>
      <w:proofErr w:type="spellEnd"/>
      <w:r w:rsidRPr="00FD35D4">
        <w:rPr>
          <w:sz w:val="32"/>
          <w:szCs w:val="32"/>
        </w:rPr>
        <w:t xml:space="preserve"> Backup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1925"/>
        <w:gridCol w:w="2772"/>
        <w:gridCol w:w="831"/>
        <w:gridCol w:w="724"/>
        <w:gridCol w:w="1465"/>
        <w:gridCol w:w="115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All-Flash SSD/NVMe Storage (Primary) (HPE Alletra 5000 / Lenovo ThinkSystem DE6400 หรือเทียบเท่า)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ความจุ Usable ≥ 200 TB
- IOPS ≥ 500,000 (Mixed R/W)
- NVMe/SAS SSD with NVMe Cache Tier
- Deduplication &amp; Compression (Inline)
- HA Dual Controller, 25GbE/100GbE Interface
- Snapshot &amp; Thin Provisioning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3,800,000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3,800,000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1A1A2E"/>
                <w:sz w:val="32"/>
                <w:szCs w:val="32"/>
              </w:rPr>
              <w:t xml:space="preserve">Backup &amp; Archive Storage (NAS)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ความจุ Raw ≥ 500 TB
- 10GbE/25GbE Network Interface
- RAID 6 / Erasure Coding
- Immutable Snapshot
- Synology / QNAP Enterprise หรือเทียบเท่า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1,200,000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1A1A2E"/>
                <w:sz w:val="32"/>
                <w:szCs w:val="32"/>
              </w:rPr>
              <w:t xml:space="preserve">Cloud Backup &amp; DR Subscription (3 ปี)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Cloud-based Disaster Recovery
- Automated Backup Schedule (Daily Incremental, Weekly Full)
- Geo-redundant Storage (≥ 10 TB Critical Data)
- Integration กับ On-premise Storage
- License 3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ชุด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280,000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280,000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รวมระบบ Storage &amp; Backup (3.1–3.3)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5,280,000</w:t>
            </w:r>
          </w:p>
        </w:tc>
      </w:tr>
    </w:tbl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3"/>
        <w:gridCol w:w="1387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วงเงินรวมหมวดที่ 1  :  ระบบเครือข่ายและความปลอดภัยไซเบอร์  (รายการ 1.1–3.3)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8B6914"/>
            <w:tcMar>
              <w:top w:w="100" w:type="dxa"/>
              <w:left w:w="100" w:type="dxa"/>
              <w:bottom w:w="100" w:type="dxa"/>
              <w:right w:w="16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15,000,000</w:t>
            </w:r>
          </w:p>
        </w:tc>
      </w:tr>
    </w:tbl>
    <w:p w:rsidR="00AD0574" w:rsidRPr="00FD35D4" w:rsidRDefault="00AD0574">
      <w:pPr>
        <w:spacing w:before="6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F6FA"/>
              <w:left w:val="single" w:sz="20" w:space="0" w:color="2B5EA7"/>
              <w:bottom w:val="single" w:sz="1" w:space="0" w:color="F4F6FA"/>
              <w:right w:val="single" w:sz="1" w:space="0" w:color="F4F6FA"/>
            </w:tcBorders>
            <w:shd w:val="clear" w:color="auto" w:fill="F4F6FA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 xml:space="preserve">หมายเหตุ: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ราคา License ที่ระบุเป็นราคา 3 ปีแรก (FortiGuard UTP, FortiAnalyzer, FortiEDR, FortiNAC, Cloud Backup) หลังจากนั้นจะจ่ายเป็นค่าต่ออายุในงบดำเนินการ ประมาณ 1.0 ล้านบาท/ปี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InfiniBand Switch (NDR 400Gbps) และ HCA (ConnectX-7 NDR) เป็นอุปกรณ์จำเป็นสำหรับ GPU Cluster High-Bandwidth Interconnect ที่มีความหน่วงต่ำ จำนวน HCA 8 การ์ดรวมสำรอง 1 การ์ดสำหรับ Hot Standby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ออกแบบระบบ Cybersecurity ตามแนวทาง Fortinet Security Fabric (FortiGate + FortiAnalyzer + FortiEDR + FortiNAC) เพื่อการบริหารจัดการแบบรวมศูนย์ ลดความซับซ้อนในการปฏิบัติงาน และเพิ่มประสิทธิภาพการตอบสนองภัยคุกคามอัตโนมัติ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ย้ายรายการ NAC จากระยะที่ 2 มาเป็นระยะที่ 1 เนื่องจากจำเป็นต้องใช้ตั้งแต่เริ่มเปิดศูนย์ฯ สำหรับการควบคุมการเข้าถึงเครือข่ายแบบ Multi-tenant (แยก Startup แต่ละทีม)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รายการ Cybersecurity ระยะที่ 2 (PAM, DLP, Cyber Range) วงเงินประมาณ 1,550,000 บาท จะจัดซื้อเพิ่มเติมในปีที่ 3–4 จากงบดำเนินการหรืองบสำรอง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เปลี่ยน Wireless Controller เป็น Cloud-managed License (รวมอยู่ในราคา AP แล้ว) และเพิ่ม OOB Management Switch สำหรับ IPMI/BMC Management แยกจาก Production Network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ใช้ Cloud Backup (รายการ 3.3) สำหรับ Critical Data ≥ 10 TB (Config, Database, Source Code, IP) จัดเป็นงบลงทุนเนื่องจากเป็นการจ่ายล่วงหน้า 3 ปี (Prepaid Subscription)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ค่าบำรุงรักษาอุปกรณ์เครือข่ายและ Security ปีที่ 2–5 ประมาณ 1.2–1.5 ล้านบาท/ปี จ่ายจากงบดำเนินการ</w:t>
            </w:r>
          </w:p>
        </w:tc>
      </w:tr>
    </w:tbl>
    <w:p w:rsidR="00AD0574" w:rsidRPr="00FD35D4" w:rsidRDefault="008906AA">
      <w:pPr>
        <w:rPr>
          <w:sz w:val="32"/>
          <w:szCs w:val="32"/>
        </w:rPr>
      </w:pPr>
      <w:r w:rsidRPr="00FD35D4">
        <w:rPr>
          <w:sz w:val="32"/>
          <w:szCs w:val="32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20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CCDDFF"/>
                <w:sz w:val="32"/>
                <w:szCs w:val="32"/>
              </w:rPr>
              <w:lastRenderedPageBreak/>
              <w:t>หมวดที่</w:t>
            </w:r>
            <w:proofErr w:type="spellEnd"/>
            <w:r w:rsidRPr="00FD35D4">
              <w:rPr>
                <w:color w:val="CCDDFF"/>
                <w:sz w:val="32"/>
                <w:szCs w:val="32"/>
              </w:rPr>
              <w:t xml:space="preserve"> 2</w:t>
            </w:r>
          </w:p>
          <w:p w:rsidR="00AD0574" w:rsidRPr="00FD35D4" w:rsidRDefault="008906AA">
            <w:pPr>
              <w:spacing w:after="20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AI Computing GPU Cluster Infrastructure</w:t>
            </w:r>
          </w:p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i/>
                <w:iCs/>
                <w:color w:val="CCDDFF"/>
                <w:sz w:val="32"/>
                <w:szCs w:val="32"/>
              </w:rPr>
              <w:t xml:space="preserve">AI Training, Inference &amp; Research Computing </w:t>
            </w:r>
            <w:proofErr w:type="gramStart"/>
            <w:r w:rsidRPr="00FD35D4">
              <w:rPr>
                <w:i/>
                <w:iCs/>
                <w:color w:val="CCDDFF"/>
                <w:sz w:val="32"/>
                <w:szCs w:val="32"/>
              </w:rPr>
              <w:t>Platform  |</w:t>
            </w:r>
            <w:proofErr w:type="gramEnd"/>
            <w:r w:rsidRPr="00FD35D4">
              <w:rPr>
                <w:i/>
                <w:iCs/>
                <w:color w:val="CCDDFF"/>
                <w:sz w:val="32"/>
                <w:szCs w:val="32"/>
              </w:rPr>
              <w:t xml:space="preserve">  </w:t>
            </w:r>
            <w:proofErr w:type="spellStart"/>
            <w:r w:rsidRPr="00FD35D4">
              <w:rPr>
                <w:i/>
                <w:iCs/>
                <w:color w:val="CCDDFF"/>
                <w:sz w:val="32"/>
                <w:szCs w:val="32"/>
              </w:rPr>
              <w:t>วงเงิน</w:t>
            </w:r>
            <w:proofErr w:type="spellEnd"/>
            <w:r w:rsidRPr="00FD35D4">
              <w:rPr>
                <w:i/>
                <w:iCs/>
                <w:color w:val="CCDDFF"/>
                <w:sz w:val="32"/>
                <w:szCs w:val="32"/>
              </w:rPr>
              <w:t xml:space="preserve"> 65,000,000 </w:t>
            </w:r>
            <w:proofErr w:type="spellStart"/>
            <w:r w:rsidRPr="00FD35D4">
              <w:rPr>
                <w:i/>
                <w:iCs/>
                <w:color w:val="CCDDFF"/>
                <w:sz w:val="32"/>
                <w:szCs w:val="32"/>
              </w:rPr>
              <w:t>บาท</w:t>
            </w:r>
            <w:proofErr w:type="spellEnd"/>
          </w:p>
        </w:tc>
      </w:tr>
    </w:tbl>
    <w:p w:rsidR="00AD0574" w:rsidRPr="00FD35D4" w:rsidRDefault="00AD0574">
      <w:pPr>
        <w:spacing w:before="12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6E4F7"/>
              <w:left w:val="single" w:sz="20" w:space="0" w:color="1A3A6B"/>
              <w:bottom w:val="single" w:sz="1" w:space="0" w:color="D6E4F7"/>
              <w:right w:val="single" w:sz="1" w:space="0" w:color="D6E4F7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60" w:line="34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หลักการออกแบบ GPU Cluster สำหรับศูนย์ MFU-ARIC</w:t>
            </w:r>
          </w:p>
          <w:p w:rsidR="00AD0574" w:rsidRPr="00FD35D4" w:rsidRDefault="008906AA">
            <w:pPr>
              <w:spacing w:after="6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32"/>
                <w:szCs w:val="32"/>
              </w:rPr>
              <w:t xml:space="preserve">ออกแบบเป็น Hybrid Architecture ที่ผสมผสานระหว่าง On-premise High-Performance GPU Cluster สำหรับการพัฒนา AI Solutions และงานวิจัยประยุกต์ที่ต้องการประสิทธิภาพสูงและความปลอดภัยของข้อมูล กับ Cloud GPU Burst Capacity สำหรับ Startup และโครงการร่วมภาคอุตสาหกรรมที่ต้องการขยาย Scale เป็นครั้งคราว ซึ่งช่วยลดต้นทุนการลงทุนเริ่มต้นและเพิ่มความยืดหยุ่นในการรองรับธุรกิจนวัตกรรม</w:t>
            </w:r>
          </w:p>
          <w:p w:rsidR="00AD0574" w:rsidRPr="00FD35D4" w:rsidRDefault="008906AA">
            <w:pPr>
              <w:pStyle w:val="ListParagraph"/>
              <w:numPr>
                <w:ilvl w:val="0"/>
                <w:numId w:val="2"/>
              </w:numPr>
              <w:spacing w:before="40"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32"/>
                <w:szCs w:val="32"/>
              </w:rPr>
              <w:t xml:space="preserve">On-premise: เหมาะสำหรับการพัฒนา AI Product/Solution ที่ต้องการ Data Security, Low Latency และ Continuous Training</w:t>
            </w:r>
          </w:p>
          <w:p w:rsidR="00AD0574" w:rsidRPr="00FD35D4" w:rsidRDefault="008906AA">
            <w:pPr>
              <w:pStyle w:val="ListParagraph"/>
              <w:numPr>
                <w:ilvl w:val="0"/>
                <w:numId w:val="2"/>
              </w:numPr>
              <w:spacing w:before="40"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32"/>
                <w:szCs w:val="32"/>
              </w:rPr>
              <w:t xml:space="preserve">Cloud Hybrid: ใช้สำหรับ Startup Workload, Large-scale Experiment, Temporary Burst และ Backup DR</w:t>
            </w:r>
          </w:p>
          <w:p w:rsidR="00AD0574" w:rsidRPr="00FD35D4" w:rsidRDefault="008906AA">
            <w:pPr>
              <w:pStyle w:val="ListParagraph"/>
              <w:numPr>
                <w:ilvl w:val="0"/>
                <w:numId w:val="2"/>
              </w:numPr>
              <w:spacing w:before="40"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32"/>
                <w:szCs w:val="32"/>
              </w:rPr>
              <w:t xml:space="preserve">ผ่าน InfiniBand 200Gbps Interconnect เพื่อให้ GPU-to-GPU Communication มีความหน่วงต่ำที่สุด</w:t>
            </w:r>
            <w:r>
              <w:rPr>
                <w:sz w:val="32"/>
                <w:szCs w:val="32"/>
              </w:rPr>
              <w:br/>
              <w:t xml:space="preserve">Multi-tenant Architecture: รองรับการแบ่ง Resource ให้ Startup หลายทีมใช้งานพร้อมกันอย่างปลอดภัย</w:t>
            </w:r>
          </w:p>
        </w:tc>
      </w:tr>
    </w:tbl>
    <w:p w:rsidR="00AD0574" w:rsidRPr="00FD35D4" w:rsidRDefault="00AD0574">
      <w:pPr>
        <w:spacing w:before="14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2.1 GPU Server Cluster </w:t>
      </w:r>
      <w:proofErr w:type="spellStart"/>
      <w:r w:rsidRPr="00FD35D4">
        <w:rPr>
          <w:sz w:val="32"/>
          <w:szCs w:val="32"/>
        </w:rPr>
        <w:t>หลัก</w:t>
      </w:r>
      <w:proofErr w:type="spellEnd"/>
      <w:r w:rsidRPr="00FD35D4">
        <w:rPr>
          <w:sz w:val="32"/>
          <w:szCs w:val="32"/>
        </w:rPr>
        <w:t xml:space="preserve"> (Primary HPC Cluster)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778"/>
        <w:gridCol w:w="2810"/>
        <w:gridCol w:w="831"/>
        <w:gridCol w:w="724"/>
        <w:gridCol w:w="1455"/>
        <w:gridCol w:w="127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4.1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GPU Server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ระดับ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Research (NVIDIA DGX H100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- 8× NVIDIA H100 SXM5 80GB HBM3 - Dual Intel Xeon Sapphire Rapids / AMD EPYC - RAM 2 TB DDR5 ECC - Storage: 30 TB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SSD (Internal)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lastRenderedPageBreak/>
              <w:t>NVLink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4.0 + 8× InfiniBand HDR200 - Power: ≤ 10.2 kW per server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14,000,000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14,000,000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4.2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GPU Server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ระดับ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Mid-range (NVIDIA HGX A100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- 4× NVIDIA A100 SXM4 80GB HBM2e - Dual AMD EPYC 7003 Series - RAM 512 GB DDR4 ECC - Storage: 15 TB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SSD - 4× InfiniBand HDR100 - Power: ≤ 6.5 kW per server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4,500,000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18,000,000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4.3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AI Inference Server (NVIDIA L40S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- 8× NVIDIA L40S 48GB GDDR6 - Dual Intel Xeon Platinum - RAM 1 TB DDR5 - 25GbE NIC ×2 -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Model Deployment &amp; Serving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7,000,000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Cloud GPU Credits (Burst Capacity)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NVIDIA DGX Cloud / AWS / GCP
- สำหรับ Large-scale Experiment
- Temporary Workload Burst
- H100/H200 On-demand Access
- Credit Pool 3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ชุด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4,700,000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4,700,000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รวม GPU Servers &amp; Cloud Credits (4.1–4.4)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43,700,000</w:t>
            </w:r>
          </w:p>
        </w:tc>
      </w:tr>
    </w:tbl>
    <w:p w:rsidR="00AD0574" w:rsidRPr="00FD35D4" w:rsidRDefault="00AD0574">
      <w:pPr>
        <w:spacing w:before="6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F5E9"/>
              <w:left w:val="single" w:sz="20" w:space="0" w:color="1A6B3A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 xml:space="preserve">รายละเอียดขีดความสามารถของ GPU Cluster รวม (4.1–4.4):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GPU รวม: 8× H100 + 16× A100 + 16× L40S = 40 GPU (On-premise)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รวม AI Compute Power: ≈ 4,800 TFLOPS (FP16) สำหรับ Training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≈ 9,600 TFLOPS (FP8) Transformer Engine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รวม GPU VRAM: 8×80 GB (H100) + 16×80 GB (A100) + 16×48 GB (L40S) = 2,688 GB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Cloud GPU Credits เพิ่มเติมสำหรับ Burst Capacity และ Large-scale Experiments ที่เกินกำลัง On-premise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รองรับการ Training โมเดล LLM ขนาด 7B–70B Parameters พร้อมกันหลายโครงการ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>◆ 2.2 CPU Management &amp; Head Node Server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761"/>
        <w:gridCol w:w="2933"/>
        <w:gridCol w:w="831"/>
        <w:gridCol w:w="724"/>
        <w:gridCol w:w="1469"/>
        <w:gridCol w:w="115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lastRenderedPageBreak/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HPC Management / Head Node Server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Dual AMD EPYC 9374F (48 core×2) - RAM 768 GB DDR5 ECC - Storage: 8 TB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+ 100 TB HDD - 25GbE + InfiniBand HDR100 -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Job Scheduling (SLURM)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900,000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Data Preprocessing CPU Server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- 2× Intel Xeon Platinum 8460Y (40 core×2) - RAM 512 GB DDR5 - Storage: 20 TB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SSD - 25GbE NIC ×2 -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ETL, Data Augmentation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2,400,000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CPU Servers (5.1–5.2)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4,200,000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2.3 AI Research Workstation </w:t>
      </w:r>
      <w:proofErr w:type="spellStart"/>
      <w:r w:rsidRPr="00FD35D4">
        <w:rPr>
          <w:sz w:val="32"/>
          <w:szCs w:val="32"/>
        </w:rPr>
        <w:t>และ</w:t>
      </w:r>
      <w:proofErr w:type="spellEnd"/>
      <w:r w:rsidRPr="00FD35D4">
        <w:rPr>
          <w:sz w:val="32"/>
          <w:szCs w:val="32"/>
        </w:rPr>
        <w:t xml:space="preserve"> Software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812"/>
        <w:gridCol w:w="2773"/>
        <w:gridCol w:w="831"/>
        <w:gridCol w:w="724"/>
        <w:gridCol w:w="1458"/>
        <w:gridCol w:w="127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AI Research Workstation (High-End,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สำหรับนักวิจัย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NVIDIA RTX 6000 Ada 48GB ×2 - AMD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Threadripper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PRO 7000 series - RAM 256 GB DDR5 ECC - SSD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8 TB </w:t>
            </w:r>
            <w:r w:rsidRPr="00FD35D4">
              <w:rPr>
                <w:color w:val="1A1A2E"/>
                <w:sz w:val="32"/>
                <w:szCs w:val="32"/>
              </w:rPr>
              <w:t xml:space="preserve">- 25GbE NIC,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พร้อม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4K Monitor 32"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AI Training Workstation (Mid-range,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lastRenderedPageBreak/>
              <w:t>สำหรับนักศึกษา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ป.โท-เอก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- NVIDIA RTX 4090 24GB ×2 - AMD Ryzen 9 7950X - RAM 128 GB DDR5 - SSD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lastRenderedPageBreak/>
              <w:t>NVMe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4 TB - 27" 4K Monitor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180,000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3,600,000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HPC Software Stack (NVIDIA AI Enterprise License)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CUDA Toolkit,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cuDNN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,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TensorRT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NGC Container Registry Access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NeMo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, Triton Inference Server - NVIDIA Base Command (HPC Orchestration) - License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Cluster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ทั้งหมด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MLOps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Platform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MLflow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/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Kubeflow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Enterprise)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Experiment Tracking &amp; Model Registry - Pipeline Automation - 50 Users Concurrent - License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600,000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Workstation &amp; Software (6.1–6.4)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10,200,000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2.4 </w:t>
      </w:r>
      <w:proofErr w:type="spellStart"/>
      <w:r w:rsidRPr="00FD35D4">
        <w:rPr>
          <w:sz w:val="32"/>
          <w:szCs w:val="32"/>
        </w:rPr>
        <w:t>โครงสร้างพื้นฐานสนับสนุน</w:t>
      </w:r>
      <w:proofErr w:type="spellEnd"/>
      <w:r w:rsidRPr="00FD35D4">
        <w:rPr>
          <w:sz w:val="32"/>
          <w:szCs w:val="32"/>
        </w:rPr>
        <w:t xml:space="preserve"> Data Center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926"/>
        <w:gridCol w:w="2762"/>
        <w:gridCol w:w="831"/>
        <w:gridCol w:w="724"/>
        <w:gridCol w:w="1474"/>
        <w:gridCol w:w="1159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Server Rack Cabinet (42U, 1000mm depth)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APC NetShelter SX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- 42U, 1000mm Depth </w:t>
            </w:r>
            <w:r w:rsidRPr="00FD35D4">
              <w:rPr>
                <w:color w:val="1A1A2E"/>
                <w:sz w:val="32"/>
                <w:szCs w:val="32"/>
              </w:rPr>
              <w:t>- Side Panel, Cable Management - Locking Door, Brush Port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ตู้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550,000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Precision Air Conditioning (In-row Cooling)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Capacity ≥ 30 kW per unit - COP ≥ 4.0 - Hot/Cold Aisle </w:t>
            </w: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Containment - Liebert /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Vertiv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UPS System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GPU Cluster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ทั้งหมด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APC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Symmetra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PX 150 kVA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Online Double Conversion - Runtime ≥ 10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นาที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ที่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Full Load - N+1 Redundancy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1,800,000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3,600,000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Power Distribution Unit (PDU) (Per Rack, Smart Metered)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- APC Metered Rack PDU 32A/22kW - Per-outlet Monitoring - IEC C19/C13 Outlets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DCIM Software (Data Center Infrastructure Management)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Power &amp; Cooling Monitoring - Capacity Planning - Integration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กับ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BMS - License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400,000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400,000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Data Center Infrastructure (7.1–7.5)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6,900,000</w:t>
            </w:r>
          </w:p>
        </w:tc>
      </w:tr>
    </w:tbl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5"/>
        <w:gridCol w:w="1755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วงเงินรวมหมวดที่ 2  :  ครุภัณฑ์ AI Computing  (รายการ 4.1–7.5)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8B6914"/>
            <w:tcMar>
              <w:top w:w="100" w:type="dxa"/>
              <w:left w:w="100" w:type="dxa"/>
              <w:bottom w:w="100" w:type="dxa"/>
              <w:right w:w="16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65,000,000</w:t>
            </w:r>
          </w:p>
        </w:tc>
      </w:tr>
    </w:tbl>
    <w:p w:rsidR="00AD0574" w:rsidRPr="00FD35D4" w:rsidRDefault="00AD0574">
      <w:pPr>
        <w:spacing w:before="6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ECEC"/>
              <w:left w:val="single" w:sz="20" w:space="0" w:color="C0392B"/>
              <w:bottom w:val="single" w:sz="1" w:space="0" w:color="FFECEC"/>
              <w:right w:val="single" w:sz="1" w:space="0" w:color="FFECEC"/>
            </w:tcBorders>
            <w:shd w:val="clear" w:color="auto" w:fill="FFEC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 xml:space="preserve">หมายเหตุ: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ปรับลด GPU Server H100 จาก 2 เครื่องเหลือ 1 เครื่อง และเพิ่ม Cloud GPU Credits 4.7 ล้านบาท (3 ปี) สำหรับ Burst Capacity เพื่อให้อยู่ในกรอบวงเงิน 65 ล้านบาท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สามารถจัดซื้อ H100 เครื่องที่ 2 ได้ในระยะที่ 2 เมื่อมีความต้องการที่ชัดเจนและงบประมาณเพิ่มเติม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Cloud GPU Credits (รายการ 4.4) จัดเป็นงบลงทุนเนื่องจากเป็น การจัดซื้อ Compute Resource Pool แบบจ่ายล่วงหน้า 3 ปี (Prepaid Credit) มีลักษณะคล้าย Perpetual License ไม่ใช่การเช่ารายเดือน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ค่าต่ออายุ License Software (NVIDIA AI Enterprise, MLOps) หลังปีที่ 3 ประมาณ 1,000,000 บาท/ปี จะจ่ายจากงบดำเนินการ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ค่าบำรุงรักษาและรับประกัน (Maintenance &amp; Extended Warranty) ปีที่ 1 อยู่ในเงื่อนไขรับประกันของผู้ผลิต ปีที่ 2–5 ประมาณ 10–12% ของมูลค่าครุภัณฑ์ต่อปี จะจ่ายจากงบดำเนินการ (ประมาณ 6–8 ล้านบาท/ปี)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ควรขอ Academic Discount จาก NVIDIA, Intel, AMD เนื่องจากโครงการวิจัยมหาวิทยาลัยมักได้รับส่วนลด 15–30%</w:t>
            </w:r>
          </w:p>
        </w:tc>
      </w:tr>
    </w:tbl>
    <w:p w:rsidR="00AD0574" w:rsidRPr="00FD35D4" w:rsidRDefault="008906AA">
      <w:pPr>
        <w:rPr>
          <w:sz w:val="32"/>
          <w:szCs w:val="32"/>
        </w:rPr>
      </w:pPr>
      <w:r w:rsidRPr="00FD35D4">
        <w:rPr>
          <w:sz w:val="32"/>
          <w:szCs w:val="32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20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CCDDFF"/>
                <w:sz w:val="32"/>
                <w:szCs w:val="32"/>
              </w:rPr>
              <w:lastRenderedPageBreak/>
              <w:t>หมวดที่</w:t>
            </w:r>
            <w:proofErr w:type="spellEnd"/>
            <w:r w:rsidRPr="00FD35D4">
              <w:rPr>
                <w:color w:val="CCDDFF"/>
                <w:sz w:val="32"/>
                <w:szCs w:val="32"/>
              </w:rPr>
              <w:t xml:space="preserve"> 3</w:t>
            </w:r>
          </w:p>
          <w:p w:rsidR="00AD0574" w:rsidRPr="00FD35D4" w:rsidRDefault="008906AA">
            <w:pPr>
              <w:spacing w:after="20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Robotics Lab 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และอุปกรณ์เสริม</w:t>
            </w:r>
            <w:proofErr w:type="spellEnd"/>
          </w:p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i/>
                <w:iCs/>
                <w:color w:val="CCDDFF"/>
                <w:sz w:val="32"/>
                <w:szCs w:val="32"/>
              </w:rPr>
              <w:t xml:space="preserve">Robotics Research, Education &amp; Innovation </w:t>
            </w:r>
            <w:proofErr w:type="gramStart"/>
            <w:r w:rsidRPr="00FD35D4">
              <w:rPr>
                <w:i/>
                <w:iCs/>
                <w:color w:val="CCDDFF"/>
                <w:sz w:val="32"/>
                <w:szCs w:val="32"/>
              </w:rPr>
              <w:t>Laboratory  |</w:t>
            </w:r>
            <w:proofErr w:type="gramEnd"/>
            <w:r w:rsidRPr="00FD35D4">
              <w:rPr>
                <w:i/>
                <w:iCs/>
                <w:color w:val="CCDDFF"/>
                <w:sz w:val="32"/>
                <w:szCs w:val="32"/>
              </w:rPr>
              <w:t xml:space="preserve">  </w:t>
            </w:r>
            <w:proofErr w:type="spellStart"/>
            <w:r w:rsidRPr="00FD35D4">
              <w:rPr>
                <w:i/>
                <w:iCs/>
                <w:color w:val="CCDDFF"/>
                <w:sz w:val="32"/>
                <w:szCs w:val="32"/>
              </w:rPr>
              <w:t>วงเงิน</w:t>
            </w:r>
            <w:proofErr w:type="spellEnd"/>
            <w:r w:rsidRPr="00FD35D4">
              <w:rPr>
                <w:i/>
                <w:iCs/>
                <w:color w:val="CCDDFF"/>
                <w:sz w:val="32"/>
                <w:szCs w:val="32"/>
              </w:rPr>
              <w:t xml:space="preserve"> 50,000,000 </w:t>
            </w:r>
            <w:proofErr w:type="spellStart"/>
            <w:r w:rsidRPr="00FD35D4">
              <w:rPr>
                <w:i/>
                <w:iCs/>
                <w:color w:val="CCDDFF"/>
                <w:sz w:val="32"/>
                <w:szCs w:val="32"/>
              </w:rPr>
              <w:t>บาท</w:t>
            </w:r>
            <w:proofErr w:type="spellEnd"/>
          </w:p>
        </w:tc>
      </w:tr>
    </w:tbl>
    <w:p w:rsidR="00AD0574" w:rsidRPr="00FD35D4" w:rsidRDefault="00AD0574">
      <w:pPr>
        <w:spacing w:before="12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F5E9"/>
              <w:left w:val="single" w:sz="20" w:space="0" w:color="1A6B3A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60" w:line="34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6B3A"/>
                <w:sz w:val="32"/>
                <w:szCs w:val="32"/>
              </w:rPr>
              <w:t xml:space="preserve">แนวทางการออกแบบ Robotics Lab สำหรับ MFU-ARIC</w:t>
            </w:r>
          </w:p>
          <w:p w:rsidR="00AD0574" w:rsidRPr="00FD35D4" w:rsidRDefault="008906AA">
            <w:pPr>
              <w:spacing w:after="6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32"/>
                <w:szCs w:val="32"/>
              </w:rPr>
              <w:t xml:space="preserve">ออกแบบเป็น Multi-purpose Robotics Innovation Space ที่รองรับการพัฒนานวัตกรรม การบ่มเพาะ Startup การเรียนการสอน และการสาธิตผลิตภัณฑ์ต่อนักลงทุนและภาคอุตสาหกรรม โดยแบ่งเป็น 4 โซนหลัก ได้แก่ (1) Collaborative Robotics Zone สำหรับพัฒนา Cobot Solutions ร่วมกับภาคอุตสาหกรรม (2) Autonomous Systems Zone สำหรับ Mobile Robot และ Drone Startup (3) AI-integrated Robotics Zone สำหรับพัฒนา AI+Robot Product/Solution ขั้นสูง และ (4) Demo &amp; Investor Showcase Area สำหรับนำเสนอผลงาน Startup และผลิตภัณฑ์นวัตกรรมต่อนักลงทุนและภาคอุตสาหกรรม</w:t>
            </w:r>
          </w:p>
        </w:tc>
      </w:tr>
    </w:tbl>
    <w:p w:rsidR="00AD0574" w:rsidRPr="00FD35D4" w:rsidRDefault="00AD0574">
      <w:pPr>
        <w:spacing w:before="14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3.1 </w:t>
      </w:r>
      <w:proofErr w:type="spellStart"/>
      <w:r w:rsidRPr="00FD35D4">
        <w:rPr>
          <w:sz w:val="32"/>
          <w:szCs w:val="32"/>
        </w:rPr>
        <w:t>แขนหุ่นยนต์อุตสาหกรรมร่วมมือ</w:t>
      </w:r>
      <w:proofErr w:type="spellEnd"/>
      <w:r w:rsidRPr="00FD35D4">
        <w:rPr>
          <w:sz w:val="32"/>
          <w:szCs w:val="32"/>
        </w:rPr>
        <w:t xml:space="preserve"> (Collaborative Robot Arms)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843"/>
        <w:gridCol w:w="2745"/>
        <w:gridCol w:w="831"/>
        <w:gridCol w:w="724"/>
        <w:gridCol w:w="1455"/>
        <w:gridCol w:w="127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Collaborative Robot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Cobot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) 10 kg (Universal Robots UR10e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Payload: 10 kg, Reach: 1300 mm - Repeatability: ±0.05 mm - IP54, Force/Torque Sensing - Drag &amp; Drop Programming - Safety: ISO/TS 15066 Certified </w:t>
            </w: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พร้อม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Controller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และ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Teach Pendant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Collaborative Robot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Cobot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) 5 kg (Universal </w:t>
            </w:r>
            <w:r w:rsidRPr="00FD35D4">
              <w:rPr>
                <w:b/>
                <w:bCs/>
                <w:color w:val="1A1A2E"/>
                <w:sz w:val="32"/>
                <w:szCs w:val="32"/>
              </w:rPr>
              <w:lastRenderedPageBreak/>
              <w:t xml:space="preserve">Robots UR5e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- Payload: 5 kg, Reach: 850 mm - Repeatability: ±0.03 mm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สำหรับงาน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Assembly &amp; Inspection </w:t>
            </w: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พร้อม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Controller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และ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Teach Pendant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High-Payload Industrial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Cobot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20 kg (FANUC CRX-20iA/L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Payload: 20 kg, Reach: 1889 mm - IP67 Waterproof - Tablet-based Programming - Drag &amp; Drop Teaching </w:t>
            </w: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สำหรับงาน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Heavy Manipulation &amp; Palletizing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1,900,000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Dual-Arm Robot (ABB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YuMi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IRB 14000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Dual-arm, 0.5 kg payload each - 14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DoF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Total - Integrated Force Sensing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สำหรับงาน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Precision Assembly, Human-Robot Collaboration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5,000,000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Robot Gripper &amp; End-Effector Set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Robotiq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2F-85 Adaptive Gripper - Vacuum Gripper, Magnetic Gripper - Force/Torque Sensor - Vision-guided Gripper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ชุดละ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4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รายการ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, 4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1,400,000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8.6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Robot Workstation &amp; Safety Cell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- Aluminum Profile Frame - Safety Light Curtain - Collaborative Mat (Safety Floor Sensor) - Work Surface 1200×800 mm - Cable Management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Collaborative Robots (8.1–8.6)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16,200,000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  <w:bookmarkStart w:id="0" w:name="_GoBack"/>
      <w:bookmarkEnd w:id="0"/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lastRenderedPageBreak/>
        <w:t xml:space="preserve">◆ 3.2 </w:t>
      </w:r>
      <w:proofErr w:type="spellStart"/>
      <w:r w:rsidRPr="00FD35D4">
        <w:rPr>
          <w:sz w:val="32"/>
          <w:szCs w:val="32"/>
        </w:rPr>
        <w:t>ระบบหุ่นยนต์เคลื่อนที่และ</w:t>
      </w:r>
      <w:proofErr w:type="spellEnd"/>
      <w:r w:rsidRPr="00FD35D4">
        <w:rPr>
          <w:sz w:val="32"/>
          <w:szCs w:val="32"/>
        </w:rPr>
        <w:t xml:space="preserve"> Autonomous Systems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909"/>
        <w:gridCol w:w="2678"/>
        <w:gridCol w:w="831"/>
        <w:gridCol w:w="724"/>
        <w:gridCol w:w="1456"/>
        <w:gridCol w:w="127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9.1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Autonomous Mobile Robot (AMR) Platform (MiR250 /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Clearpath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Robotics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Payload ≥ 250 kg </w:t>
            </w:r>
            <w:r w:rsidRPr="00FD35D4">
              <w:rPr>
                <w:color w:val="1A1A2E"/>
                <w:sz w:val="32"/>
                <w:szCs w:val="32"/>
              </w:rPr>
              <w:t xml:space="preserve">- Speed ≤ 2 m/s - LiDAR + Camera Navigation - Fleet Management Software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Autonomous Logistics Research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คัน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4,500,000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9.2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Research Mobile Robot Platform (ROS2 Compatible)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Differential Drive /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Mecanum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Wheel </w:t>
            </w:r>
            <w:r w:rsidRPr="00FD35D4">
              <w:rPr>
                <w:color w:val="1A1A2E"/>
                <w:sz w:val="32"/>
                <w:szCs w:val="32"/>
              </w:rPr>
              <w:t xml:space="preserve">- Intel NUC / Jetson AGX Orin Onboard - LiDAR, RGB-D Camera, IMU - Open-source ROS2 Compatible - TurtleBot4 Pro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คัน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9.3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Quadruped Robot (4-leg) (Boston Dynamics Spot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ความสูง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~0.6 m,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น้ำหนัก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~30 kg </w:t>
            </w:r>
            <w:r w:rsidRPr="00FD35D4">
              <w:rPr>
                <w:color w:val="1A1A2E"/>
                <w:sz w:val="32"/>
                <w:szCs w:val="32"/>
              </w:rPr>
              <w:t xml:space="preserve">- Payload 14 kg - Perception: 360° Camera, LiDAR - SDK: Python/ROS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สำหรับงาน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Inspection &amp; Terrain Navigation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2,800,000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9.4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UAV / Drone Research Platform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Multi-rotor, Payload ≥ 2 kg - Flight Time ≥ 30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นาที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r w:rsidRPr="00FD35D4">
              <w:rPr>
                <w:color w:val="1A1A2E"/>
                <w:sz w:val="32"/>
                <w:szCs w:val="32"/>
              </w:rPr>
              <w:t xml:space="preserve">- GNSS RTK, LiDAR,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RGB+Thermal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Camera - SDK: ROS2 Compatible - </w:t>
            </w: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DJI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Matrice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350 RTK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ลำ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450,000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9.5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Drone Indoor Testing Frame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- 6m×4m×3m Steel Net Enclosure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พร้อม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Anti-crash Cage - Motion Capture Markers </w:t>
            </w: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Indoor Autonomous Flight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Autonomous Systems (9.1–9.5)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11,100,000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3.3 </w:t>
      </w:r>
      <w:proofErr w:type="spellStart"/>
      <w:r w:rsidRPr="00FD35D4">
        <w:rPr>
          <w:sz w:val="32"/>
          <w:szCs w:val="32"/>
        </w:rPr>
        <w:t>ระบบ</w:t>
      </w:r>
      <w:proofErr w:type="spellEnd"/>
      <w:r w:rsidRPr="00FD35D4">
        <w:rPr>
          <w:sz w:val="32"/>
          <w:szCs w:val="32"/>
        </w:rPr>
        <w:t xml:space="preserve"> Sensing, Vision &amp; AI Hardware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86"/>
        <w:gridCol w:w="2582"/>
        <w:gridCol w:w="831"/>
        <w:gridCol w:w="724"/>
        <w:gridCol w:w="1459"/>
        <w:gridCol w:w="127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10.1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3D Motion Capture System (Vicon /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OptiTrack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- ≥ 12 Camera, ≥ 200 fps - Accuracy &lt; 0.5 mm - Coverage Area ≥ 8m×6m×3m - Real-time 6DOF Tracking - SDK: ROS, MATLAB, Python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5,500,000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10.2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Industrial 3D Vision System </w:t>
            </w: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(Cognex / SICK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- 3D Point Cloud Camera - Resolution ≥ 2 MP, 3D Accuracy ±0.1 mm - Robot Vision Integration - Deep Learning Vision Software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1,400,000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10.3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RGB-D Depth Camera (Intel RealSense D455 </w:t>
            </w:r>
            <w:r w:rsidRPr="00FD35D4">
              <w:rPr>
                <w:b/>
                <w:bCs/>
                <w:color w:val="1A1A2E"/>
                <w:sz w:val="32"/>
                <w:szCs w:val="32"/>
              </w:rPr>
              <w:lastRenderedPageBreak/>
              <w:t>/ Azure Kinect DK)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 xml:space="preserve">- Depth Range: 0.6–6 m - RGB: 4MP,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IR+ToF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Sensor - SDK: Python/ROS2 -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</w:t>
            </w:r>
            <w:r w:rsidRPr="00FD35D4">
              <w:rPr>
                <w:color w:val="1A1A2E"/>
                <w:sz w:val="32"/>
                <w:szCs w:val="32"/>
              </w:rPr>
              <w:lastRenderedPageBreak/>
              <w:t>Hand Tracking, Object Detection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10.4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LiDAR Sensor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Mobile Robot)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- 360° Rotation, Range ≥ 100 m - ≥ 128 Channels - Ouster OS1-128 /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Velodyne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VLP-32C </w:t>
            </w:r>
            <w:r w:rsidRPr="00FD35D4">
              <w:rPr>
                <w:color w:val="1A1A2E"/>
                <w:sz w:val="32"/>
                <w:szCs w:val="32"/>
              </w:rPr>
              <w:t>- ROS2 Driver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ตัว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10.5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NVIDIA Jetson AGX Orin Developer Kit (Edge AI Computing)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- 275 TOPS AI Performance - 64 GB LPDDR5 - 64 GB eMMC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On-robot AI Processing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75,000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750,000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10.6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Haptic Feedback Device </w:t>
            </w:r>
            <w:r w:rsidRPr="00FD35D4">
              <w:rPr>
                <w:b/>
                <w:bCs/>
                <w:color w:val="1A1A2E"/>
                <w:sz w:val="32"/>
                <w:szCs w:val="32"/>
              </w:rPr>
              <w:t>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Teleoperation &amp; VR Research)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- 6-DoF Force Feedback - 3DSystems Touch X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- SDK: C++, Python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Sensing &amp; Vision (10.1–10.6)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10,350,000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>◆ 3.4 Digital Twin, Simulation &amp; Robotics Software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32"/>
        <w:gridCol w:w="2653"/>
        <w:gridCol w:w="831"/>
        <w:gridCol w:w="724"/>
        <w:gridCol w:w="1462"/>
        <w:gridCol w:w="115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11.1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Robot Simulation Platform (NVIDIA Isaac Sim / Gazebo Enterprise)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Digital Twin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Robot Testing - Physics-accurate Simulation - ROS2 Integration </w:t>
            </w:r>
            <w:r w:rsidRPr="00FD35D4">
              <w:rPr>
                <w:color w:val="1A1A2E"/>
                <w:sz w:val="32"/>
                <w:szCs w:val="32"/>
              </w:rPr>
              <w:t xml:space="preserve">- Synthetic Data Generation - License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(20 Users)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>11.2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Robotics Middleware &amp; SDK (ROS2 Enterprise Support + MoveIt2)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Robot Operating System 2 - Motion Planning, Navigation Stack - Perception Pipeline - Technical Support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11.3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AI-Robot Integration Platform (NVIDIA Isaac ROS)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Hardware-accelerated ROS2 Packages - NVIDIA Jetson Optimized - Computer Vision, SLAM, Navigation - License 3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ปี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800,000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11.4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VR/AR System 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Robot Teleoperation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Meta Quest Pro / HTC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Vive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Pro 2 - 6-DoF Controller - VR Glove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Hand Tracking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Remote Robot Control Research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600,000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Simulation &amp; Software (11.1–11.4)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3,400,000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3.5 </w:t>
      </w:r>
      <w:proofErr w:type="spellStart"/>
      <w:r w:rsidRPr="00FD35D4">
        <w:rPr>
          <w:sz w:val="32"/>
          <w:szCs w:val="32"/>
        </w:rPr>
        <w:t>อุปกรณ์และเครื่องมือสนับสนุน</w:t>
      </w:r>
      <w:proofErr w:type="spellEnd"/>
      <w:r w:rsidRPr="00FD35D4">
        <w:rPr>
          <w:sz w:val="32"/>
          <w:szCs w:val="32"/>
        </w:rPr>
        <w:t xml:space="preserve"> Robotics Lab</w:t>
      </w:r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26"/>
        <w:gridCol w:w="2762"/>
        <w:gridCol w:w="831"/>
        <w:gridCol w:w="724"/>
        <w:gridCol w:w="1459"/>
        <w:gridCol w:w="1158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รายการครุภัณฑ์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ข้อกำหนดทางเทคนิค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(Specification)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หน่วย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ราคาต่อหน่วย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12.1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3D Printer Industrial Grade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Robot Part Prototyping)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FDM + Resin (SLA/DLP) </w:t>
            </w:r>
            <w:r w:rsidRPr="00FD35D4">
              <w:rPr>
                <w:color w:val="1A1A2E"/>
                <w:sz w:val="32"/>
                <w:szCs w:val="32"/>
              </w:rPr>
              <w:t xml:space="preserve">- Build Volume ≥ 500×500×600 mm (FDM) - Resolution ≤ 0.05 mm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Markforged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/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Ultimaker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S5 Pro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หรือเทียบเท่า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เครื่อง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350,000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1,050,000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>12.2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Electronics Workbench Complete Set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Oscilloscope Digital 4CH 1 GHz - Function Generator, Power Supply </w:t>
            </w:r>
            <w:r w:rsidRPr="00FD35D4">
              <w:rPr>
                <w:color w:val="1A1A2E"/>
                <w:sz w:val="32"/>
                <w:szCs w:val="32"/>
              </w:rPr>
              <w:t>- Soldering Station (Temperature Controlled) - Multimeter, PCB Holder - Component Storage Cabinet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800,000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12.3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PCB Prototyping Equipment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PCB Milling Machine (Desktop CNC) - Reflow Oven - Pick &amp; Place Machine (Desktop) </w:t>
            </w:r>
            <w:r w:rsidRPr="00FD35D4">
              <w:rPr>
                <w:color w:val="1A1A2E"/>
                <w:sz w:val="32"/>
                <w:szCs w:val="32"/>
              </w:rPr>
              <w:t xml:space="preserve">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สำหรับสร้าง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Custom Robot Electronics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600,000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600,000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12.4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Robot Component Storage &amp; Tooling Cabinet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- Modular Tool Cabinet - Parts Organizer - Anti-static Mat &amp; Wristband Set - Compressed Air System - Robot Maintenance Tool Kit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12.5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Safety Equipment &amp; Lab Accessories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- Safety Glasses, Gloves, Lab Coat - Emergency Stop System - Robot Safety Sensor Mat - Fire Safety Equipment - First Aid Kit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12.6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Surgical Robot Training Simulator (MicroPort Toumai หรือเทียบเท่า)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- Surgical Simulation Platform
- Training Module Software
- Haptic Feedback Controller
- 3D Visualization Screen
- สอดคล้องกับแผนความร่วมมือจีน-อาเซียน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1,500,000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lastRenderedPageBreak/>
              <w:t>12.7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1A2E"/>
                <w:sz w:val="32"/>
                <w:szCs w:val="32"/>
              </w:rPr>
              <w:t>Agricultural Robot Kit (</w:t>
            </w: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สำหรับ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Smart Farming Research)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- Lightweight Crop Inspection Robot - Soil Sensor Array </w:t>
            </w:r>
            <w:r w:rsidRPr="00FD35D4">
              <w:rPr>
                <w:color w:val="1A1A2E"/>
                <w:sz w:val="32"/>
                <w:szCs w:val="32"/>
              </w:rPr>
              <w:t xml:space="preserve">- Spray Nozzle Arm - Weather Station Integration -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สำหรับวิจัย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AI for Agriculture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ในบริบทภาคเหนือ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ชุด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2,000,000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2,000,000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12.8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Humanoid Robot Platform (Unitree G1 หรือเทียบเท่า)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- Full-size Humanoid Robot
- ≥ 23 DoF, Walking/Manipulation
- Onboard AI Computing (Jetson/equivalent)
- SDK: Python/ROS2 Compatible
- สำหรับงานวิจัย Embodied AI
  และ Human-Robot Interaction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ตัว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1,250,000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2,500,000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รวมอุปกรณ์สนับสนุน (12.1–12.8)</w:t>
            </w:r>
          </w:p>
        </w:tc>
        <w:tc>
          <w:tcPr>
            <w:tcW w:w="0" w:type="auto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8,950,000</w:t>
            </w:r>
          </w:p>
        </w:tc>
      </w:tr>
    </w:tbl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5"/>
        <w:gridCol w:w="1745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5E3A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วงเงินรวมหมวดที่ 3  :  ครุภัณฑ์ Robotics Lab  (รายการ 8.1–12.8)</w:t>
            </w:r>
          </w:p>
        </w:tc>
        <w:tc>
          <w:tcPr>
            <w:tcW w:w="0" w:type="auto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00" w:type="dxa"/>
              <w:bottom w:w="100" w:type="dxa"/>
              <w:right w:w="16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50,000,000</w:t>
            </w:r>
          </w:p>
        </w:tc>
      </w:tr>
    </w:tbl>
    <w:p w:rsidR="00AD0574" w:rsidRPr="00FD35D4" w:rsidRDefault="00AD0574">
      <w:pPr>
        <w:spacing w:before="6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F5E9"/>
              <w:left w:val="single" w:sz="20" w:space="0" w:color="1A6B3A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pStyle w:val="ListParagraph"/>
              <w:numPr>
                <w:ilvl w:val="0"/>
                <w:numId w:val="2"/>
              </w:numPr>
              <w:spacing w:before="40" w:after="40" w:line="32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 xml:space="preserve">หมายเหตุ: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เพิ่มรายการ 12.8 Humanoid Robot Platform (Unitree G1) 2 ตัว เพื่อสอดคล้องกับเสาหลักด้าน Humanoid Robotics ของโครงการ และแผนความร่วมมือกับ UBTECH, Unitree และ Fourier Intelligence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เปลี่ยนรายการ 12.6 จาก da Vinci Simulation เป็น MicroPort Toumai Surgical Trainer เพื่อสอดคล้องกับแผนพันธมิตรจีนด้าน Healthcare Robotics และต้นทุนที่ต่ำกว่า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รายการ 12.7 Agricultural Robot Kit ลดจาก 2 ชุดเป็น 1 ชุด เป็น Flagship ที่สอดคล้องกับ Research Cluster ด้าน AI for Agriculture ของ มฟล.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ค่าต่ออายุ License (Isaac Sim, ROS2, Isaac ROS) หลังปีที่ 3 ประมาณ 900,000 บาท/ปี จะจ่ายจากงบดำเนินการ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ค่าบำรุงรักษาหุ่นยนต์และอุปกรณ์ Robotics Lab ปีที่ 2–5 ประมาณ 8–12% ของมูลค่าครุภัณฑ์ต่อปี (ประมาณ 4–6 ล้านบาท/ปี) จ่ายจากงบดำเนินการ</w:t>
            </w:r>
          </w:p>
        </w:tc>
      </w:tr>
    </w:tbl>
    <w:p w:rsidR="00AD0574" w:rsidRPr="00FD35D4" w:rsidRDefault="008906AA">
      <w:pPr>
        <w:rPr>
          <w:sz w:val="32"/>
          <w:szCs w:val="32"/>
        </w:rPr>
      </w:pPr>
      <w:r w:rsidRPr="00FD35D4">
        <w:rPr>
          <w:sz w:val="32"/>
          <w:szCs w:val="32"/>
        </w:rPr>
        <w:br w:type="page"/>
      </w:r>
    </w:p>
    <w:p w:rsidR="00AD0574" w:rsidRPr="00FD35D4" w:rsidRDefault="008906AA">
      <w:pPr>
        <w:pStyle w:val="Heading1"/>
        <w:pBdr>
          <w:bottom w:val="single" w:sz="10" w:space="4" w:color="1A3A6B"/>
        </w:pBdr>
        <w:rPr>
          <w:sz w:val="32"/>
          <w:szCs w:val="32"/>
        </w:rPr>
      </w:pPr>
      <w:proofErr w:type="spellStart"/>
      <w:r w:rsidRPr="00FD35D4">
        <w:rPr>
          <w:sz w:val="32"/>
          <w:szCs w:val="32"/>
        </w:rPr>
        <w:lastRenderedPageBreak/>
        <w:t>สรุปรวมงบลงทุน</w:t>
      </w:r>
      <w:proofErr w:type="spellEnd"/>
      <w:r w:rsidRPr="00FD35D4">
        <w:rPr>
          <w:sz w:val="32"/>
          <w:szCs w:val="32"/>
        </w:rPr>
        <w:t xml:space="preserve"> (Capital Expenditure) </w:t>
      </w:r>
      <w:proofErr w:type="spellStart"/>
      <w:r w:rsidRPr="00FD35D4">
        <w:rPr>
          <w:sz w:val="32"/>
          <w:szCs w:val="32"/>
        </w:rPr>
        <w:t>ทั้งหมด</w:t>
      </w:r>
      <w:proofErr w:type="spellEnd"/>
    </w:p>
    <w:p w:rsidR="00AD0574" w:rsidRPr="00FD35D4" w:rsidRDefault="00AD0574">
      <w:pPr>
        <w:spacing w:before="10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6E4F7"/>
              <w:left w:val="single" w:sz="20" w:space="0" w:color="1A3A6B"/>
              <w:bottom w:val="single" w:sz="1" w:space="0" w:color="D6E4F7"/>
              <w:right w:val="single" w:sz="1" w:space="0" w:color="D6E4F7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60" w:line="360" w:lineRule="auto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 xml:space="preserve">ตารางสรุปวงเงินงบลงทุนรวม 3 หมวดหลัก</w:t>
            </w:r>
            <w:r>
              <w:rPr>
                <w:b/>
                <w:bCs/>
                <w:color w:val="1A1A2E"/>
                <w:sz w:val="28"/>
                <w:szCs w:val="28"/>
              </w:rPr>
              <w:br/>
              <w:t xml:space="preserve">งบลงทุนทั้งหมดของศูนย์ MFU-ARIC (ปีที่ 1–5) รวม 130 ล้านบาท ประกอบด้วย 3 หมวดหลัก 61 รายการครุภัณฑ์ รองรับการดำเนินงานครบทั้ง 4 องค์ประกอบหลัก (Innovation, Education, Applied Research, Regional)</w:t>
            </w:r>
          </w:p>
        </w:tc>
      </w:tr>
    </w:tbl>
    <w:p w:rsidR="00AD0574" w:rsidRPr="00FD35D4" w:rsidRDefault="00AD0574">
      <w:pPr>
        <w:spacing w:before="12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3812"/>
        <w:gridCol w:w="1919"/>
        <w:gridCol w:w="1505"/>
        <w:gridCol w:w="1399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หมวด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ประเภทครุภัณฑ์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รายละเอียดย่อย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จำนวนรายการ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วงเงิน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บาท</w:t>
            </w:r>
            <w:proofErr w:type="spellEnd"/>
            <w:r w:rsidRPr="00FD35D4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ระบบเครือข่ายและความปลอดภัยไซเบอร์</w:t>
            </w:r>
            <w:proofErr w:type="spellEnd"/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เครือข่าย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+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ไซเบอร์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+ Storage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17 รายการ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15,000,000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 xml:space="preserve">• </w:t>
            </w:r>
            <w:proofErr w:type="spellStart"/>
            <w:r w:rsidRPr="00FD35D4">
              <w:rPr>
                <w:color w:val="1A1A2E"/>
                <w:sz w:val="32"/>
                <w:szCs w:val="32"/>
              </w:rPr>
              <w:t>ระบบเครือข่ายความเร็วสูง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(1.1–1.7)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Switch 10G/100G, InfiniBand NDR 400G, Wi-Fi 7, OOB Mgmt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5,780,000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• ระบบ Cybersecurity ระยะที่ 1 (2.1–2.7)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Firewall, SIEM, EDR, SOC, NAC (Fortinet Fabric)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3,940,000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Data Storage &amp; Backup (3.1–3.3)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color w:val="1A1A2E"/>
                <w:sz w:val="32"/>
                <w:szCs w:val="32"/>
              </w:rPr>
              <w:t xml:space="preserve">NVMe/SSD Storage, NAS, Cloud Backup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5,280,000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AI Computing (GPU Cluster)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GPU Server + Workstation + Software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15 รายการ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65,000,000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• GPU Server Cluster &amp; Cloud (4.1–4.4)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H100 ×8, A100 ×16, L40S ×16, Cloud Credits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43,700,000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CPU Management Server (5.1–5.2)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Head Node, Preprocessing Server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Workstation &amp; Software (6.1–6.4)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Research WS, AI WS, HPC Software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Data Center Infrastructure (7.1–7.5)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Rack, Cooling, UPS, PDU, DCIM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6,900,000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 w:rsidRPr="00FD35D4">
              <w:rPr>
                <w:b/>
                <w:bCs/>
                <w:color w:val="1A3A6B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b/>
                <w:bCs/>
                <w:color w:val="1A3A6B"/>
                <w:sz w:val="32"/>
                <w:szCs w:val="32"/>
              </w:rPr>
              <w:t xml:space="preserve"> Robotics Lab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color w:val="1A1A2E"/>
                <w:sz w:val="32"/>
                <w:szCs w:val="32"/>
              </w:rPr>
              <w:t>Cobot</w:t>
            </w:r>
            <w:proofErr w:type="spellEnd"/>
            <w:r w:rsidRPr="00FD35D4">
              <w:rPr>
                <w:color w:val="1A1A2E"/>
                <w:sz w:val="32"/>
                <w:szCs w:val="32"/>
              </w:rPr>
              <w:t xml:space="preserve"> + Autonomous + Sensing + SW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32"/>
                <w:szCs w:val="32"/>
              </w:rPr>
              <w:t xml:space="preserve">29 รายการ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50,000,000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Collaborative Robots (8.1–8.6)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UR10e×4, UR5e×4, CRX×2, YuMi×2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16,200,000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Autonomous Systems (9.1–9.5)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AMR, Mobile Robot, Spot, Drone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11,100,000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Sensing &amp; Vision (10.1–10.6)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Motion Capture, LiDAR, 3D Camera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10,350,000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• Simulation &amp; Software (11.1–11.4)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 w:rsidRPr="00FD35D4">
              <w:rPr>
                <w:color w:val="1A1A2E"/>
                <w:sz w:val="32"/>
                <w:szCs w:val="32"/>
              </w:rPr>
              <w:t>Isaac Sim, ROS2, VR/AR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3,400,000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AD05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• Lab Equipment &amp; Support (12.1–12.8)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3D Printer, Electronics, Toumai, Agri-Robot, Humanoid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8,950,000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10" w:type="dxa"/>
              <w:left w:w="100" w:type="dxa"/>
              <w:bottom w:w="11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A3A6B"/>
                <w:sz w:val="32"/>
                <w:szCs w:val="32"/>
              </w:rPr>
              <w:t xml:space="preserve">รวมงบลงทุน (Capital Expenditure) ทั้งหมด  3 หมวด  60 รายการ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110" w:type="dxa"/>
              <w:left w:w="100" w:type="dxa"/>
              <w:bottom w:w="110" w:type="dxa"/>
              <w:right w:w="100" w:type="dxa"/>
            </w:tcMar>
          </w:tcPr>
          <w:p w:rsidR="00AD0574" w:rsidRPr="00FD35D4" w:rsidRDefault="008906AA">
            <w:pPr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130,000,000</w:t>
            </w:r>
          </w:p>
        </w:tc>
      </w:tr>
    </w:tbl>
    <w:p w:rsidR="00AD0574" w:rsidRPr="00FD35D4" w:rsidRDefault="00AD0574">
      <w:pPr>
        <w:spacing w:before="120"/>
        <w:rPr>
          <w:sz w:val="32"/>
          <w:szCs w:val="32"/>
        </w:rPr>
      </w:pPr>
    </w:p>
    <w:p w:rsidR="00AD0574" w:rsidRPr="00FD35D4" w:rsidRDefault="008906AA">
      <w:pPr>
        <w:pStyle w:val="Heading2"/>
        <w:rPr>
          <w:sz w:val="32"/>
          <w:szCs w:val="32"/>
        </w:rPr>
      </w:pPr>
      <w:r w:rsidRPr="00FD35D4">
        <w:rPr>
          <w:sz w:val="32"/>
          <w:szCs w:val="32"/>
        </w:rPr>
        <w:t xml:space="preserve">◆ </w:t>
      </w:r>
      <w:proofErr w:type="spellStart"/>
      <w:r w:rsidRPr="00FD35D4">
        <w:rPr>
          <w:sz w:val="32"/>
          <w:szCs w:val="32"/>
        </w:rPr>
        <w:t>แผนการจัดซื้อตามระยะโครงการ</w:t>
      </w:r>
      <w:proofErr w:type="spellEnd"/>
    </w:p>
    <w:p w:rsidR="00AD0574" w:rsidRPr="00FD35D4" w:rsidRDefault="00AD0574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1913"/>
        <w:gridCol w:w="1913"/>
        <w:gridCol w:w="1845"/>
        <w:gridCol w:w="1399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หมวดครุภัณฑ์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ปีที่ 1–2 (พ.ศ. 2570–71) บาท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ปีที่ 3–4 (พ.ศ. 2572–73) บาท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ปีที่ 5 (พ.ศ. 2574) บาท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FFFFFF"/>
                <w:sz w:val="32"/>
                <w:szCs w:val="32"/>
              </w:rPr>
              <w:t>รวม</w:t>
            </w:r>
            <w:proofErr w:type="spellEnd"/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lastRenderedPageBreak/>
              <w:t>ระบบเครือข่าย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&amp; Cybersecurity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10,000,000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15,000,000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AI Computing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35,000,000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25,000,000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5,000,000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65,000,000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1A2E"/>
                <w:sz w:val="32"/>
                <w:szCs w:val="32"/>
              </w:rPr>
              <w:t>ครุภัณฑ์</w:t>
            </w:r>
            <w:proofErr w:type="spellEnd"/>
            <w:r w:rsidRPr="00FD35D4">
              <w:rPr>
                <w:b/>
                <w:bCs/>
                <w:color w:val="1A1A2E"/>
                <w:sz w:val="32"/>
                <w:szCs w:val="32"/>
              </w:rPr>
              <w:t xml:space="preserve"> Robotics Lab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20,000,000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22,000,000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color w:val="1A1A2E"/>
                <w:sz w:val="32"/>
                <w:szCs w:val="32"/>
              </w:rPr>
              <w:t xml:space="preserve">8,000,000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50,000,000</w:t>
            </w:r>
          </w:p>
        </w:tc>
      </w:tr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rPr>
                <w:sz w:val="32"/>
                <w:szCs w:val="32"/>
              </w:rPr>
            </w:pPr>
            <w:proofErr w:type="spellStart"/>
            <w:r w:rsidRPr="00FD35D4">
              <w:rPr>
                <w:b/>
                <w:bCs/>
                <w:color w:val="1A3A6B"/>
                <w:sz w:val="32"/>
                <w:szCs w:val="32"/>
              </w:rPr>
              <w:t>รวม</w:t>
            </w:r>
            <w:proofErr w:type="spellEnd"/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65,000,000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50,000,000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15,000,000</w:t>
            </w:r>
          </w:p>
        </w:tc>
        <w:tc>
          <w:tcPr>
            <w:tcW w:w="0" w:type="auto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0574" w:rsidRPr="00FD35D4" w:rsidRDefault="008906A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130,000,000</w:t>
            </w:r>
          </w:p>
        </w:tc>
      </w:tr>
    </w:tbl>
    <w:p w:rsidR="00AD0574" w:rsidRPr="00FD35D4" w:rsidRDefault="00AD0574">
      <w:pPr>
        <w:spacing w:before="12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0574" w:rsidRPr="00FD35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F8E1"/>
              <w:left w:val="single" w:sz="20" w:space="0" w:color="8B6914"/>
              <w:bottom w:val="single" w:sz="1" w:space="0" w:color="FFF8E1"/>
              <w:right w:val="single" w:sz="1" w:space="0" w:color="FFF8E1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AD0574" w:rsidRPr="00FD35D4" w:rsidRDefault="008906AA">
            <w:pPr>
              <w:spacing w:after="80" w:line="360" w:lineRule="auto"/>
              <w:rPr>
                <w:sz w:val="32"/>
                <w:szCs w:val="32"/>
              </w:rPr>
            </w:pPr>
            <w:proofErr w:type="spellStart"/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 xml:space="preserve">ข้อเสนอแนะเชิงกลยุทธ์ด้านการจัดซื้อจัดจ้าง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1. ควรดำเนินการ Vendor Evaluation อย่างเป็นระบบก่อนประกาศ TOR โดยเชิญผู้ผลิตและตัวแทนจำหน่ายมานำเสนอและทำ Demo เพื่อให้ได้ Spec ที่แม่นยำและราคาที่ดีที่สุด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2. GPU Server (รายการ 4.1–4.3) ควรพิจารณา Leasing Model สำหรับบางส่วน เนื่องจากเทคโนโลยีเปลี่ยนเร็ว การซื้อขาดอาจทำให้เสียโอกาสในการ Upgrade ตามวงจร Technology Refresh 3–4 ปี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3. ควรขอ Academic Discount จากผู้ผลิตทุกราย เนื่องจากโครงการวิจัยและการศึกษาของมหาวิทยาลัยมักได้รับส่วนลดพิเศษ 15–30% (NVIDIA, Universal Robots, ABB, Unitree มีโปรแกรม Academic Pricing ชัดเจน)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4. สำหรับรายการ Software License ควรเจรจา Enterprise Agreement แบบหลายปี เพื่อลดต้นทุนรวม และพิจารณา Open-source Alternatives (เช่น MinIO แทน Enterprise Storage, OpenShift แทน Commercial K8s) สำหรับส่วนที่ไม่จำเป็นต้องใช้ Commercial Support | </w:t>
            </w:r>
            <w:r>
              <w:rPr>
                <w:b/>
                <w:bCs/>
                <w:color w:val="1A1A2E"/>
                <w:sz w:val="28"/>
                <w:szCs w:val="28"/>
              </w:rPr>
              <w:t xml:space="preserve">5. สำคัญ: ค่าต่ออายุ Software License ทั้งหมดหลังปีที่ 3 ประมาณ 2,700,000 บาท/ปี (SIEM 400K, EDR 150K, Cloud Backup 75K, NVIDIA AI Enterprise 830K, MLOps 200K, Isaac Sim 500K, ROS2 170K, Isaac ROS 270K, DCIM 130K) ต้องจัดสรรในงบดำเนินการประจำปีตั้งแต่ปีที่ 4 เป็นต้นไป</w:t>
            </w:r>
          </w:p>
        </w:tc>
      </w:tr>
    </w:tbl>
    <w:p w:rsidR="00AD0574" w:rsidRPr="00FD35D4" w:rsidRDefault="00AD0574">
      <w:pPr>
        <w:spacing w:before="160"/>
        <w:rPr>
          <w:sz w:val="32"/>
          <w:szCs w:val="32"/>
        </w:rPr>
      </w:pPr>
    </w:p>
    <w:p w:rsidR="00AD0574" w:rsidRPr="00FD35D4" w:rsidRDefault="008906AA">
      <w:pPr>
        <w:pBdr>
          <w:top w:val="single" w:sz="4" w:space="0" w:color="CCCCCC"/>
        </w:pBdr>
        <w:spacing w:before="200"/>
        <w:jc w:val="center"/>
        <w:rPr>
          <w:sz w:val="32"/>
          <w:szCs w:val="32"/>
        </w:rPr>
      </w:pPr>
      <w:proofErr w:type="spellStart"/>
      <w:r w:rsidRPr="00FD35D4">
        <w:rPr>
          <w:i/>
          <w:iCs/>
          <w:color w:val="888888"/>
          <w:sz w:val="32"/>
          <w:szCs w:val="32"/>
        </w:rPr>
        <w:t>เอกสารจัดทำโดย</w:t>
      </w:r>
      <w:proofErr w:type="spellEnd"/>
      <w:r w:rsidRPr="00FD35D4">
        <w:rPr>
          <w:i/>
          <w:iCs/>
          <w:color w:val="888888"/>
          <w:sz w:val="32"/>
          <w:szCs w:val="32"/>
        </w:rPr>
        <w:t xml:space="preserve"> </w:t>
      </w:r>
      <w:proofErr w:type="spellStart"/>
      <w:r w:rsidRPr="00FD35D4">
        <w:rPr>
          <w:i/>
          <w:iCs/>
          <w:color w:val="888888"/>
          <w:sz w:val="32"/>
          <w:szCs w:val="32"/>
        </w:rPr>
        <w:t>ฝ่ายจัดการครุภัณฑ์และเทคโนโลยี</w:t>
      </w:r>
      <w:proofErr w:type="spellEnd"/>
      <w:r w:rsidRPr="00FD35D4">
        <w:rPr>
          <w:i/>
          <w:iCs/>
          <w:color w:val="888888"/>
          <w:sz w:val="32"/>
          <w:szCs w:val="32"/>
        </w:rPr>
        <w:t xml:space="preserve"> </w:t>
      </w:r>
      <w:proofErr w:type="spellStart"/>
      <w:r w:rsidRPr="00FD35D4">
        <w:rPr>
          <w:i/>
          <w:iCs/>
          <w:color w:val="888888"/>
          <w:sz w:val="32"/>
          <w:szCs w:val="32"/>
        </w:rPr>
        <w:t>มหาวิทยาลัยแม่ฟ้าหลวง</w:t>
      </w:r>
      <w:proofErr w:type="spellEnd"/>
      <w:r w:rsidRPr="00FD35D4">
        <w:rPr>
          <w:i/>
          <w:iCs/>
          <w:color w:val="888888"/>
          <w:sz w:val="32"/>
          <w:szCs w:val="32"/>
        </w:rPr>
        <w:t xml:space="preserve"> | </w:t>
      </w:r>
      <w:proofErr w:type="spellStart"/>
      <w:r w:rsidRPr="00FD35D4">
        <w:rPr>
          <w:i/>
          <w:iCs/>
          <w:color w:val="888888"/>
          <w:sz w:val="32"/>
          <w:szCs w:val="32"/>
        </w:rPr>
        <w:t>มีนาคม</w:t>
      </w:r>
      <w:proofErr w:type="spellEnd"/>
      <w:r w:rsidRPr="00FD35D4">
        <w:rPr>
          <w:i/>
          <w:iCs/>
          <w:color w:val="888888"/>
          <w:sz w:val="32"/>
          <w:szCs w:val="32"/>
        </w:rPr>
        <w:t xml:space="preserve"> </w:t>
      </w:r>
      <w:proofErr w:type="spellStart"/>
      <w:r w:rsidRPr="00FD35D4">
        <w:rPr>
          <w:i/>
          <w:iCs/>
          <w:color w:val="888888"/>
          <w:sz w:val="32"/>
          <w:szCs w:val="32"/>
        </w:rPr>
        <w:t>พ.ศ</w:t>
      </w:r>
      <w:proofErr w:type="spellEnd"/>
      <w:r w:rsidRPr="00FD35D4">
        <w:rPr>
          <w:i/>
          <w:iCs/>
          <w:color w:val="888888"/>
          <w:sz w:val="32"/>
          <w:szCs w:val="32"/>
        </w:rPr>
        <w:t>. 2569 | www.mfu.ac.th</w:t>
      </w:r>
    </w:p>
    <w:sectPr w:rsidR="00AD0574" w:rsidRPr="00FD35D4">
      <w:headerReference w:type="default" r:id="rId7"/>
      <w:footerReference w:type="default" r:id="rId8"/>
      <w:pgSz w:w="11906" w:h="16838"/>
      <w:pgMar w:top="1200" w:right="108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6AA" w:rsidRDefault="008906AA">
      <w:r>
        <w:separator/>
      </w:r>
    </w:p>
  </w:endnote>
  <w:endnote w:type="continuationSeparator" w:id="0">
    <w:p w:rsidR="008906AA" w:rsidRDefault="0089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0574" w:rsidRDefault="008906AA">
    <w:pPr>
      <w:pBdr>
        <w:top w:val="single" w:sz="4" w:space="0" w:color="CCCCCC"/>
      </w:pBdr>
      <w:spacing w:before="80"/>
    </w:pPr>
    <w:proofErr w:type="spellStart"/>
    <w:r>
      <w:rPr>
        <w:color w:val="888888"/>
        <w:sz w:val="17"/>
        <w:szCs w:val="17"/>
      </w:rPr>
      <w:t>มหาวิทยาลัยแม่ฟ้าหลวง</w:t>
    </w:r>
    <w:proofErr w:type="spellEnd"/>
    <w:r>
      <w:rPr>
        <w:color w:val="888888"/>
        <w:sz w:val="17"/>
        <w:szCs w:val="17"/>
      </w:rPr>
      <w:t xml:space="preserve"> | MFU-ARIC | </w:t>
    </w:r>
    <w:proofErr w:type="spellStart"/>
    <w:r>
      <w:rPr>
        <w:color w:val="888888"/>
        <w:sz w:val="17"/>
        <w:szCs w:val="17"/>
      </w:rPr>
      <w:t>รายละเอียดครุภัณฑ์งบลงทุน</w:t>
    </w:r>
    <w:proofErr w:type="spellEnd"/>
    <w:r>
      <w:rPr>
        <w:color w:val="888888"/>
        <w:sz w:val="17"/>
        <w:szCs w:val="17"/>
      </w:rPr>
      <w:t xml:space="preserve"> </w:t>
    </w:r>
    <w:proofErr w:type="spellStart"/>
    <w:r>
      <w:rPr>
        <w:color w:val="888888"/>
        <w:sz w:val="17"/>
        <w:szCs w:val="17"/>
      </w:rPr>
      <w:t>พ.ศ</w:t>
    </w:r>
    <w:proofErr w:type="spellEnd"/>
    <w:r>
      <w:rPr>
        <w:color w:val="888888"/>
        <w:sz w:val="17"/>
        <w:szCs w:val="17"/>
      </w:rPr>
      <w:t xml:space="preserve">. 2570–2574 | </w:t>
    </w:r>
    <w:proofErr w:type="spellStart"/>
    <w:r>
      <w:rPr>
        <w:color w:val="888888"/>
        <w:sz w:val="17"/>
        <w:szCs w:val="17"/>
      </w:rPr>
      <w:t>หน้า</w:t>
    </w:r>
    <w:proofErr w:type="spellEnd"/>
    <w:r>
      <w:rPr>
        <w:color w:val="888888"/>
        <w:sz w:val="17"/>
        <w:szCs w:val="17"/>
      </w:rPr>
      <w:t xml:space="preserve">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 w:rsidR="00FD35D4">
      <w:rPr>
        <w:color w:val="888888"/>
        <w:sz w:val="17"/>
        <w:szCs w:val="17"/>
      </w:rPr>
      <w:fldChar w:fldCharType="separate"/>
    </w:r>
    <w:r w:rsidR="00FD35D4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 w:rsidR="00FD35D4">
      <w:rPr>
        <w:color w:val="888888"/>
        <w:sz w:val="17"/>
        <w:szCs w:val="17"/>
      </w:rPr>
      <w:fldChar w:fldCharType="separate"/>
    </w:r>
    <w:r w:rsidR="00FD35D4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6AA" w:rsidRDefault="008906AA">
      <w:r>
        <w:separator/>
      </w:r>
    </w:p>
  </w:footnote>
  <w:footnote w:type="continuationSeparator" w:id="0">
    <w:p w:rsidR="008906AA" w:rsidRDefault="00890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22"/>
      <w:gridCol w:w="2838"/>
    </w:tblGrid>
    <w:tr w:rsidR="00AD0574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1A3A6B"/>
            <w:right w:val="none" w:sz="0" w:space="0" w:color="FFFFFF"/>
          </w:tcBorders>
        </w:tcPr>
        <w:p w:rsidR="00AD0574" w:rsidRDefault="008906AA">
          <w:pPr>
            <w:spacing w:before="40" w:after="40"/>
          </w:pPr>
          <w:proofErr w:type="spellStart"/>
          <w:r>
            <w:rPr>
              <w:color w:val="1A3A6B"/>
              <w:sz w:val="17"/>
              <w:szCs w:val="17"/>
            </w:rPr>
            <w:t>รายละเอียดครุภัณฑ์และงบลงทุน</w:t>
          </w:r>
          <w:proofErr w:type="spellEnd"/>
          <w:r>
            <w:rPr>
              <w:color w:val="1A3A6B"/>
              <w:sz w:val="17"/>
              <w:szCs w:val="17"/>
            </w:rPr>
            <w:t xml:space="preserve"> | </w:t>
          </w:r>
          <w:proofErr w:type="spellStart"/>
          <w:r>
            <w:rPr>
              <w:color w:val="1A3A6B"/>
              <w:sz w:val="17"/>
              <w:szCs w:val="17"/>
            </w:rPr>
            <w:t>ศูนย์นวัตกรรมด้าน</w:t>
          </w:r>
          <w:proofErr w:type="spellEnd"/>
          <w:r>
            <w:rPr>
              <w:color w:val="1A3A6B"/>
              <w:sz w:val="17"/>
              <w:szCs w:val="17"/>
            </w:rPr>
            <w:t xml:space="preserve"> AI </w:t>
          </w:r>
          <w:proofErr w:type="spellStart"/>
          <w:r>
            <w:rPr>
              <w:color w:val="1A3A6B"/>
              <w:sz w:val="17"/>
              <w:szCs w:val="17"/>
            </w:rPr>
            <w:t>และ</w:t>
          </w:r>
          <w:proofErr w:type="spellEnd"/>
          <w:r>
            <w:rPr>
              <w:color w:val="1A3A6B"/>
              <w:sz w:val="17"/>
              <w:szCs w:val="17"/>
            </w:rPr>
            <w:t xml:space="preserve"> Robot </w:t>
          </w:r>
          <w:proofErr w:type="spellStart"/>
          <w:r>
            <w:rPr>
              <w:color w:val="1A3A6B"/>
              <w:sz w:val="17"/>
              <w:szCs w:val="17"/>
            </w:rPr>
            <w:t>มหาวิทยาลัยแม่ฟ้าหลวง</w:t>
          </w:r>
          <w:proofErr w:type="spellEnd"/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1A3A6B"/>
            <w:right w:val="none" w:sz="0" w:space="0" w:color="FFFFFF"/>
          </w:tcBorders>
        </w:tcPr>
        <w:p w:rsidR="00AD0574" w:rsidRDefault="008906AA">
          <w:pPr>
            <w:spacing w:before="40" w:after="40"/>
            <w:jc w:val="right"/>
          </w:pPr>
          <w:r>
            <w:rPr>
              <w:color w:val="888888"/>
              <w:sz w:val="17"/>
              <w:szCs w:val="17"/>
            </w:rPr>
            <w:t>MFU-ARIC Equipment Specifications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21F58"/>
    <w:multiLevelType w:val="hybridMultilevel"/>
    <w:tmpl w:val="38DA564C"/>
    <w:lvl w:ilvl="0" w:tplc="06DEEE5A">
      <w:start w:val="1"/>
      <w:numFmt w:val="bullet"/>
      <w:lvlText w:val="●"/>
      <w:lvlJc w:val="left"/>
      <w:pPr>
        <w:ind w:left="720" w:hanging="360"/>
      </w:pPr>
    </w:lvl>
    <w:lvl w:ilvl="1" w:tplc="B3FA2DDE">
      <w:start w:val="1"/>
      <w:numFmt w:val="bullet"/>
      <w:lvlText w:val="○"/>
      <w:lvlJc w:val="left"/>
      <w:pPr>
        <w:ind w:left="1440" w:hanging="360"/>
      </w:pPr>
    </w:lvl>
    <w:lvl w:ilvl="2" w:tplc="17EC169A">
      <w:start w:val="1"/>
      <w:numFmt w:val="bullet"/>
      <w:lvlText w:val="■"/>
      <w:lvlJc w:val="left"/>
      <w:pPr>
        <w:ind w:left="2160" w:hanging="360"/>
      </w:pPr>
    </w:lvl>
    <w:lvl w:ilvl="3" w:tplc="860ABC1C">
      <w:start w:val="1"/>
      <w:numFmt w:val="bullet"/>
      <w:lvlText w:val="●"/>
      <w:lvlJc w:val="left"/>
      <w:pPr>
        <w:ind w:left="2880" w:hanging="360"/>
      </w:pPr>
    </w:lvl>
    <w:lvl w:ilvl="4" w:tplc="38C0ADE2">
      <w:start w:val="1"/>
      <w:numFmt w:val="bullet"/>
      <w:lvlText w:val="○"/>
      <w:lvlJc w:val="left"/>
      <w:pPr>
        <w:ind w:left="3600" w:hanging="360"/>
      </w:pPr>
    </w:lvl>
    <w:lvl w:ilvl="5" w:tplc="610A106C">
      <w:start w:val="1"/>
      <w:numFmt w:val="bullet"/>
      <w:lvlText w:val="■"/>
      <w:lvlJc w:val="left"/>
      <w:pPr>
        <w:ind w:left="4320" w:hanging="360"/>
      </w:pPr>
    </w:lvl>
    <w:lvl w:ilvl="6" w:tplc="81168F28">
      <w:start w:val="1"/>
      <w:numFmt w:val="bullet"/>
      <w:lvlText w:val="●"/>
      <w:lvlJc w:val="left"/>
      <w:pPr>
        <w:ind w:left="5040" w:hanging="360"/>
      </w:pPr>
    </w:lvl>
    <w:lvl w:ilvl="7" w:tplc="937ED446">
      <w:start w:val="1"/>
      <w:numFmt w:val="bullet"/>
      <w:lvlText w:val="●"/>
      <w:lvlJc w:val="left"/>
      <w:pPr>
        <w:ind w:left="5760" w:hanging="360"/>
      </w:pPr>
    </w:lvl>
    <w:lvl w:ilvl="8" w:tplc="28B861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A62EC4"/>
    <w:multiLevelType w:val="hybridMultilevel"/>
    <w:tmpl w:val="8124C674"/>
    <w:lvl w:ilvl="0" w:tplc="F8E4EECE">
      <w:start w:val="1"/>
      <w:numFmt w:val="bullet"/>
      <w:lvlText w:val="●"/>
      <w:lvlJc w:val="left"/>
      <w:pPr>
        <w:ind w:left="600" w:hanging="300"/>
      </w:pPr>
    </w:lvl>
    <w:lvl w:ilvl="1" w:tplc="193C7686">
      <w:numFmt w:val="decimal"/>
      <w:lvlText w:val=""/>
      <w:lvlJc w:val="left"/>
    </w:lvl>
    <w:lvl w:ilvl="2" w:tplc="66C60F26">
      <w:numFmt w:val="decimal"/>
      <w:lvlText w:val=""/>
      <w:lvlJc w:val="left"/>
    </w:lvl>
    <w:lvl w:ilvl="3" w:tplc="95963D42">
      <w:numFmt w:val="decimal"/>
      <w:lvlText w:val=""/>
      <w:lvlJc w:val="left"/>
    </w:lvl>
    <w:lvl w:ilvl="4" w:tplc="7242D93A">
      <w:numFmt w:val="decimal"/>
      <w:lvlText w:val=""/>
      <w:lvlJc w:val="left"/>
    </w:lvl>
    <w:lvl w:ilvl="5" w:tplc="320EA64C">
      <w:numFmt w:val="decimal"/>
      <w:lvlText w:val=""/>
      <w:lvlJc w:val="left"/>
    </w:lvl>
    <w:lvl w:ilvl="6" w:tplc="2F08D144">
      <w:numFmt w:val="decimal"/>
      <w:lvlText w:val=""/>
      <w:lvlJc w:val="left"/>
    </w:lvl>
    <w:lvl w:ilvl="7" w:tplc="D6E00254">
      <w:numFmt w:val="decimal"/>
      <w:lvlText w:val=""/>
      <w:lvlJc w:val="left"/>
    </w:lvl>
    <w:lvl w:ilvl="8" w:tplc="929257D8">
      <w:numFmt w:val="decimal"/>
      <w:lvlText w:val=""/>
      <w:lvlJc w:val="left"/>
    </w:lvl>
  </w:abstractNum>
  <w:abstractNum w:abstractNumId="2" w15:restartNumberingAfterBreak="0">
    <w:nsid w:val="2F297214"/>
    <w:multiLevelType w:val="hybridMultilevel"/>
    <w:tmpl w:val="7A429BF4"/>
    <w:lvl w:ilvl="0" w:tplc="65246CF8">
      <w:start w:val="1"/>
      <w:numFmt w:val="decimal"/>
      <w:lvlText w:val="%1."/>
      <w:lvlJc w:val="left"/>
      <w:pPr>
        <w:ind w:left="600" w:hanging="300"/>
      </w:pPr>
    </w:lvl>
    <w:lvl w:ilvl="1" w:tplc="D2A49128">
      <w:numFmt w:val="decimal"/>
      <w:lvlText w:val=""/>
      <w:lvlJc w:val="left"/>
    </w:lvl>
    <w:lvl w:ilvl="2" w:tplc="3DFC3B8C">
      <w:numFmt w:val="decimal"/>
      <w:lvlText w:val=""/>
      <w:lvlJc w:val="left"/>
    </w:lvl>
    <w:lvl w:ilvl="3" w:tplc="D4AA2192">
      <w:numFmt w:val="decimal"/>
      <w:lvlText w:val=""/>
      <w:lvlJc w:val="left"/>
    </w:lvl>
    <w:lvl w:ilvl="4" w:tplc="5D6EDFB4">
      <w:numFmt w:val="decimal"/>
      <w:lvlText w:val=""/>
      <w:lvlJc w:val="left"/>
    </w:lvl>
    <w:lvl w:ilvl="5" w:tplc="7870E4DC">
      <w:numFmt w:val="decimal"/>
      <w:lvlText w:val=""/>
      <w:lvlJc w:val="left"/>
    </w:lvl>
    <w:lvl w:ilvl="6" w:tplc="46B892B6">
      <w:numFmt w:val="decimal"/>
      <w:lvlText w:val=""/>
      <w:lvlJc w:val="left"/>
    </w:lvl>
    <w:lvl w:ilvl="7" w:tplc="F914F628">
      <w:numFmt w:val="decimal"/>
      <w:lvlText w:val=""/>
      <w:lvlJc w:val="left"/>
    </w:lvl>
    <w:lvl w:ilvl="8" w:tplc="01DA63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574"/>
    <w:rsid w:val="008906AA"/>
    <w:rsid w:val="00AD0574"/>
    <w:rsid w:val="00FD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284270-36EF-4063-8A61-0EFB787B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B5EA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8B691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3310</Words>
  <Characters>18870</Characters>
  <Application>Microsoft Office Word</Application>
  <DocSecurity>0</DocSecurity>
  <Lines>157</Lines>
  <Paragraphs>44</Paragraphs>
  <ScaleCrop>false</ScaleCrop>
  <Company/>
  <LinksUpToDate>false</LinksUpToDate>
  <CharactersWithSpaces>22136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Chussana Rungpatchim</cp:lastModifiedBy>
  <cp:revision>2</cp:revision>
  <dcterms:created xsi:type="dcterms:W3CDTF">2026-03-09T09:37:00Z</dcterms:created>
  <dcterms:modified xsi:type="dcterms:W3CDTF">2026-03-09T09:47:00Z</dcterms:modified>
</cp:coreProperties>
</file>