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17</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543CF8" w:rsidRDefault="00C73FCF" w:rsidP="00CD59BA">
            <w:pPr>
              <w:rPr>
                <w:rFonts w:ascii="Arial" w:hAnsi="Arial" w:cs="Arial"/>
              </w:rPr>
            </w:pPr>
            <w:r>
              <w:rPr>
                <w:rFonts w:ascii="Arial" w:hAnsi="Arial" w:cs="Arial"/>
              </w:rPr>
              <w:t>Clinical Decision Support</w:t>
            </w:r>
            <w:r w:rsidR="00D0145D">
              <w:rPr>
                <w:rFonts w:ascii="Arial" w:hAnsi="Arial" w:cs="Arial"/>
              </w:rPr>
              <w:t xml:space="preserve"> WG</w:t>
            </w:r>
          </w:p>
          <w:p w:rsidR="00B9443A" w:rsidRPr="008C5ED6" w:rsidRDefault="00B9443A" w:rsidP="00CD59BA">
            <w:pPr>
              <w:rPr>
                <w:rFonts w:ascii="Arial" w:hAnsi="Arial" w:cs="Arial"/>
              </w:rPr>
            </w:pPr>
            <w:r>
              <w:rPr>
                <w:rFonts w:ascii="Arial" w:hAnsi="Arial" w:cs="Arial"/>
              </w:rPr>
              <w:t>2013-12-17</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3660B0" w:rsidP="00EF748E">
            <w:pPr>
              <w:rPr>
                <w:rFonts w:ascii="Arial" w:hAnsi="Arial" w:cs="Arial"/>
              </w:rPr>
            </w:pPr>
            <w:r w:rsidRPr="003660B0">
              <w:rPr>
                <w:rFonts w:ascii="Arial" w:hAnsi="Arial" w:cs="Arial"/>
              </w:rPr>
              <w:t>HL7 Implementation Guide: Clinical Decision Support Knowledge Artifact Implementations,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3660B0" w:rsidP="00EF748E">
            <w:pPr>
              <w:rPr>
                <w:rFonts w:ascii="Arial" w:hAnsi="Arial" w:cs="Arial"/>
              </w:rPr>
            </w:pPr>
            <w:r w:rsidRPr="003660B0">
              <w:rPr>
                <w:rFonts w:ascii="Arial" w:hAnsi="Arial" w:cs="Arial"/>
              </w:rPr>
              <w:t>HL7 Implementation Guide: Clinical Decision Support Knowledge Artifact Implementations,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C43C90" w:rsidP="00CD59BA">
            <w:pPr>
              <w:rPr>
                <w:rFonts w:ascii="Arial" w:hAnsi="Arial" w:cs="Arial"/>
              </w:rPr>
            </w:pPr>
            <w:r w:rsidRPr="000373C1">
              <w:rPr>
                <w:rFonts w:ascii="Arial" w:hAnsi="Arial" w:cs="Arial"/>
                <w:highlight w:val="yellow"/>
              </w:rPr>
              <w:t>COCT_MTxxxxxx</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3B075F">
              <w:rPr>
                <w:rFonts w:ascii="Arial" w:hAnsi="Arial" w:cs="Arial"/>
                <w:highlight w:val="yellow"/>
              </w:rPr>
              <w:t>URL of Project Scope Statement or Project Insight Number:</w:t>
            </w:r>
            <w:r w:rsidRPr="008C5ED6">
              <w:rPr>
                <w:rFonts w:ascii="Arial" w:hAnsi="Arial" w:cs="Arial"/>
              </w:rPr>
              <w:t xml:space="preserve"> </w:t>
            </w:r>
          </w:p>
        </w:tc>
        <w:tc>
          <w:tcPr>
            <w:tcW w:w="3150" w:type="dxa"/>
          </w:tcPr>
          <w:p w:rsidR="00543CF8" w:rsidRPr="008C5ED6" w:rsidRDefault="00543CF8" w:rsidP="00CD59BA">
            <w:pPr>
              <w:rPr>
                <w:rFonts w:ascii="Arial" w:hAnsi="Arial" w:cs="Arial"/>
              </w:rPr>
            </w:pP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3660B0">
              <w:rPr>
                <w:rFonts w:ascii="Arial" w:hAnsi="Arial" w:cs="Arial"/>
              </w:rPr>
              <w:t>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3660B0">
            <w:pPr>
              <w:rPr>
                <w:rFonts w:ascii="Arial" w:hAnsi="Arial" w:cs="Arial"/>
              </w:rPr>
            </w:pPr>
            <w:r>
              <w:rPr>
                <w:rFonts w:ascii="Arial" w:hAnsi="Arial" w:cs="Arial"/>
              </w:rPr>
              <w:t>2013</w:t>
            </w:r>
            <w:r w:rsidR="00543CF8" w:rsidRPr="008C5ED6">
              <w:rPr>
                <w:rFonts w:ascii="Arial" w:hAnsi="Arial" w:cs="Arial"/>
              </w:rPr>
              <w:t>-</w:t>
            </w:r>
            <w:r w:rsidR="003660B0">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3</w:t>
            </w:r>
            <w:r w:rsidR="003660B0">
              <w:rPr>
                <w:rFonts w:ascii="Arial" w:hAnsi="Arial" w:cs="Arial"/>
                <w:sz w:val="20"/>
                <w:szCs w:val="20"/>
              </w:rPr>
              <w:t>5</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w:t>
            </w:r>
            <w:r w:rsidR="003660B0">
              <w:rPr>
                <w:rFonts w:ascii="Arial" w:hAnsi="Arial" w:cs="Arial"/>
                <w:sz w:val="20"/>
                <w:szCs w:val="20"/>
              </w:rPr>
              <w:t>0</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3660B0" w:rsidP="00D0145D">
            <w:pPr>
              <w:tabs>
                <w:tab w:val="center" w:pos="999"/>
              </w:tabs>
              <w:rPr>
                <w:rFonts w:ascii="Arial" w:hAnsi="Arial" w:cs="Arial"/>
                <w:sz w:val="20"/>
                <w:szCs w:val="20"/>
              </w:rPr>
            </w:pPr>
            <w:r>
              <w:rPr>
                <w:rFonts w:ascii="Arial" w:hAnsi="Arial" w:cs="Arial"/>
                <w:sz w:val="20"/>
                <w:szCs w:val="20"/>
              </w:rPr>
              <w:t>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3660B0">
            <w:pPr>
              <w:rPr>
                <w:rFonts w:ascii="Arial" w:hAnsi="Arial" w:cs="Arial"/>
                <w:sz w:val="20"/>
                <w:szCs w:val="20"/>
              </w:rPr>
            </w:pPr>
            <w:r>
              <w:rPr>
                <w:rFonts w:ascii="Arial" w:hAnsi="Arial" w:cs="Arial"/>
                <w:sz w:val="20"/>
                <w:szCs w:val="20"/>
              </w:rPr>
              <w:t>1</w:t>
            </w:r>
            <w:r w:rsidR="003660B0">
              <w:rPr>
                <w:rFonts w:ascii="Arial" w:hAnsi="Arial" w:cs="Arial"/>
                <w:sz w:val="20"/>
                <w:szCs w:val="20"/>
              </w:rPr>
              <w:t>37</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3660B0" w:rsidP="00D0145D">
            <w:pPr>
              <w:rPr>
                <w:rFonts w:ascii="Arial" w:hAnsi="Arial" w:cs="Arial"/>
                <w:sz w:val="20"/>
                <w:szCs w:val="20"/>
              </w:rPr>
            </w:pPr>
            <w:r>
              <w:rPr>
                <w:rFonts w:ascii="Arial" w:hAnsi="Arial" w:cs="Arial"/>
                <w:sz w:val="20"/>
                <w:szCs w:val="20"/>
              </w:rPr>
              <w:t>75</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B5EAC" w:rsidP="00A949EE">
            <w:pPr>
              <w:rPr>
                <w:rFonts w:ascii="Arial" w:hAnsi="Arial" w:cs="Arial"/>
                <w:sz w:val="20"/>
                <w:szCs w:val="20"/>
              </w:rPr>
            </w:pPr>
            <w:r>
              <w:rPr>
                <w:rFonts w:ascii="Arial" w:hAnsi="Arial" w:cs="Arial"/>
                <w:sz w:val="20"/>
                <w:szCs w:val="20"/>
              </w:rPr>
              <w:t>60%</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7F149A">
              <w:rPr>
                <w:rFonts w:ascii="Arial" w:hAnsi="Arial" w:cs="Arial"/>
                <w:szCs w:val="20"/>
                <w:highlight w:val="yellow"/>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ED0F41" w:rsidRPr="00E51128" w:rsidRDefault="00E70049" w:rsidP="00ED0F41">
            <w:pPr>
              <w:rPr>
                <w:rFonts w:ascii="Arial" w:hAnsi="Arial" w:cs="Arial"/>
              </w:rPr>
            </w:pPr>
            <w:hyperlink r:id="rId10" w:history="1">
              <w:r w:rsidR="00E51128" w:rsidRPr="00E51128">
                <w:rPr>
                  <w:rStyle w:val="Hyperlink"/>
                  <w:rFonts w:ascii="Arial" w:hAnsi="Arial" w:cs="Arial"/>
                </w:rPr>
                <w:t>https://app.sugarsync.com/iris/wf/D6692368_7970265_8747330</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8B5EAC" w:rsidP="00ED0F41">
            <w:pPr>
              <w:rPr>
                <w:rFonts w:ascii="Arial" w:hAnsi="Arial" w:cs="Arial"/>
                <w:szCs w:val="20"/>
              </w:rPr>
            </w:pPr>
            <w:r>
              <w:rPr>
                <w:rFonts w:ascii="Arial" w:hAnsi="Arial" w:cs="Arial"/>
                <w:szCs w:val="20"/>
              </w:rPr>
              <w:t>N/A</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DB07E8" w:rsidRPr="00DB07E8" w:rsidTr="00C94B61">
        <w:trPr>
          <w:trHeight w:val="45"/>
        </w:trPr>
        <w:tc>
          <w:tcPr>
            <w:tcW w:w="4428" w:type="dxa"/>
            <w:tcBorders>
              <w:bottom w:val="single" w:sz="4" w:space="0" w:color="auto"/>
            </w:tcBorders>
          </w:tcPr>
          <w:p w:rsidR="00DB07E8" w:rsidRPr="00DB07E8" w:rsidRDefault="00DB07E8" w:rsidP="00DB07E8">
            <w:r w:rsidRPr="00AD3FF1">
              <w:rPr>
                <w:rFonts w:ascii="Arial" w:hAnsi="Arial" w:cs="Arial"/>
                <w:highlight w:val="yellow"/>
              </w:rPr>
              <w:t>URL of ballot reconciliation document:</w:t>
            </w:r>
          </w:p>
        </w:tc>
        <w:tc>
          <w:tcPr>
            <w:tcW w:w="5760" w:type="dxa"/>
            <w:tcBorders>
              <w:bottom w:val="single" w:sz="4" w:space="0" w:color="auto"/>
            </w:tcBorders>
          </w:tcPr>
          <w:p w:rsidR="00DB07E8" w:rsidRPr="00DB07E8" w:rsidRDefault="00DB07E8" w:rsidP="00DB07E8"/>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D0145D"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1F1AA2">
              <w:rPr>
                <w:rFonts w:ascii="Arial" w:hAnsi="Arial" w:cs="Arial"/>
                <w:highlight w:val="yellow"/>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1"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8B5EAC">
        <w:rPr>
          <w:rFonts w:ascii="Arial" w:hAnsi="Arial" w:cs="Arial"/>
          <w:highlight w:val="yellow"/>
        </w:rPr>
        <w:t>Does the Work Group or TSC wish to register this document with ANSI as a Technical Report?</w:t>
      </w:r>
      <w:r w:rsidRPr="005713DF">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3660B0"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1CBE1B1A" wp14:editId="44226EBD">
                <wp:simplePos x="0" y="0"/>
                <wp:positionH relativeFrom="column">
                  <wp:posOffset>152400</wp:posOffset>
                </wp:positionH>
                <wp:positionV relativeFrom="paragraph">
                  <wp:posOffset>135255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6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lastRenderedPageBreak/>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1F1AA2">
        <w:rPr>
          <w:rFonts w:ascii="Arial" w:hAnsi="Arial" w:cs="Arial"/>
          <w:b/>
          <w:sz w:val="22"/>
          <w:szCs w:val="22"/>
          <w:highlight w:val="yellow"/>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AD3FF1" w:rsidP="00DF6C48">
            <w:pPr>
              <w:ind w:right="720"/>
              <w:rPr>
                <w:rFonts w:ascii="Arial" w:hAnsi="Arial" w:cs="Arial"/>
                <w:sz w:val="22"/>
                <w:szCs w:val="22"/>
              </w:rPr>
            </w:pPr>
            <w:proofErr w:type="spellStart"/>
            <w:r>
              <w:rPr>
                <w:rFonts w:ascii="Arial" w:hAnsi="Arial" w:cs="Arial"/>
                <w:sz w:val="22"/>
                <w:szCs w:val="22"/>
              </w:rPr>
              <w:t>vMR</w:t>
            </w:r>
            <w:proofErr w:type="spellEnd"/>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45D"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020E4D">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Health </w:t>
            </w:r>
            <w:proofErr w:type="spellStart"/>
            <w:r w:rsidR="001F1AA2">
              <w:rPr>
                <w:rFonts w:ascii="Arial" w:hAnsi="Arial" w:cs="Arial"/>
                <w:sz w:val="22"/>
                <w:szCs w:val="22"/>
              </w:rPr>
              <w:t>eDecisions</w:t>
            </w:r>
            <w:proofErr w:type="spellEnd"/>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CDS</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55880</wp:posOffset>
                </wp:positionV>
                <wp:extent cx="5257800" cy="1172210"/>
                <wp:effectExtent l="9525" t="8255" r="9525" b="1016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72210"/>
                        </a:xfrm>
                        <a:prstGeom prst="rect">
                          <a:avLst/>
                        </a:prstGeom>
                        <a:solidFill>
                          <a:srgbClr val="FFFFFF"/>
                        </a:solidFill>
                        <a:ln w="9525">
                          <a:solidFill>
                            <a:srgbClr val="000000"/>
                          </a:solidFill>
                          <a:miter lim="800000"/>
                          <a:headEnd/>
                          <a:tailEnd/>
                        </a:ln>
                      </wps:spPr>
                      <wps:txbx>
                        <w:txbxContent>
                          <w:p w:rsidR="00CF573A" w:rsidRPr="00AD3FF1" w:rsidRDefault="00D0145D" w:rsidP="00AD3FF1">
                            <w:pPr>
                              <w:rPr>
                                <w:sz w:val="20"/>
                                <w:szCs w:val="20"/>
                              </w:rPr>
                            </w:pPr>
                            <w:r>
                              <w:rPr>
                                <w:sz w:val="22"/>
                                <w:szCs w:val="22"/>
                              </w:rPr>
                              <w:t xml:space="preserve">The </w:t>
                            </w:r>
                            <w:proofErr w:type="spellStart"/>
                            <w:r>
                              <w:rPr>
                                <w:sz w:val="22"/>
                                <w:szCs w:val="22"/>
                              </w:rPr>
                              <w:t>vMR</w:t>
                            </w:r>
                            <w:proofErr w:type="spellEnd"/>
                            <w:r>
                              <w:rPr>
                                <w:sz w:val="22"/>
                                <w:szCs w:val="22"/>
                              </w:rPr>
                              <w:t xml:space="preserve"> XML Specification provides guidance on how to implement the semantics of the </w:t>
                            </w:r>
                            <w:proofErr w:type="spellStart"/>
                            <w:r>
                              <w:rPr>
                                <w:sz w:val="22"/>
                                <w:szCs w:val="22"/>
                              </w:rPr>
                              <w:t>vMR</w:t>
                            </w:r>
                            <w:proofErr w:type="spellEnd"/>
                            <w:r>
                              <w:rPr>
                                <w:sz w:val="22"/>
                                <w:szCs w:val="22"/>
                              </w:rPr>
                              <w:t xml:space="preserve"> Logical Model in an XML format. This specification is informed by the requirements and pilot activities of the Standards and Interoperability Framework’s Health </w:t>
                            </w:r>
                            <w:proofErr w:type="spellStart"/>
                            <w:r>
                              <w:rPr>
                                <w:sz w:val="22"/>
                                <w:szCs w:val="22"/>
                              </w:rPr>
                              <w:t>eDecisions</w:t>
                            </w:r>
                            <w:proofErr w:type="spellEnd"/>
                            <w:r>
                              <w:rPr>
                                <w:sz w:val="22"/>
                                <w:szCs w:val="22"/>
                              </w:rPr>
                              <w:t xml:space="preserve"> initiative, which is using the </w:t>
                            </w:r>
                            <w:proofErr w:type="spellStart"/>
                            <w:r>
                              <w:rPr>
                                <w:sz w:val="22"/>
                                <w:szCs w:val="22"/>
                              </w:rPr>
                              <w:t>vMR</w:t>
                            </w:r>
                            <w:proofErr w:type="spellEnd"/>
                            <w:r>
                              <w:rPr>
                                <w:sz w:val="22"/>
                                <w:szCs w:val="22"/>
                              </w:rPr>
                              <w:t xml:space="preserve"> as a core underlying information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4pt;width:414pt;height:9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dKwIAAFI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">
                <v:textbox>
                  <w:txbxContent>
                    <w:p w:rsidR="00CF573A" w:rsidRPr="00AD3FF1" w:rsidRDefault="00D0145D" w:rsidP="00AD3FF1">
                      <w:pPr>
                        <w:rPr>
                          <w:sz w:val="20"/>
                          <w:szCs w:val="20"/>
                        </w:rPr>
                      </w:pPr>
                      <w:r>
                        <w:rPr>
                          <w:sz w:val="22"/>
                          <w:szCs w:val="22"/>
                        </w:rPr>
                        <w:t xml:space="preserve">The </w:t>
                      </w:r>
                      <w:proofErr w:type="spellStart"/>
                      <w:r>
                        <w:rPr>
                          <w:sz w:val="22"/>
                          <w:szCs w:val="22"/>
                        </w:rPr>
                        <w:t>vMR</w:t>
                      </w:r>
                      <w:proofErr w:type="spellEnd"/>
                      <w:r>
                        <w:rPr>
                          <w:sz w:val="22"/>
                          <w:szCs w:val="22"/>
                        </w:rPr>
                        <w:t xml:space="preserve"> XML Specification provides guidance on how to implement the semantics of the </w:t>
                      </w:r>
                      <w:proofErr w:type="spellStart"/>
                      <w:r>
                        <w:rPr>
                          <w:sz w:val="22"/>
                          <w:szCs w:val="22"/>
                        </w:rPr>
                        <w:t>vMR</w:t>
                      </w:r>
                      <w:proofErr w:type="spellEnd"/>
                      <w:r>
                        <w:rPr>
                          <w:sz w:val="22"/>
                          <w:szCs w:val="22"/>
                        </w:rPr>
                        <w:t xml:space="preserve"> Logical Model in an XML format. This specification is informed by the requirements and pilot activities of the Standards and Interoperability Framework’s Health </w:t>
                      </w:r>
                      <w:proofErr w:type="spellStart"/>
                      <w:r>
                        <w:rPr>
                          <w:sz w:val="22"/>
                          <w:szCs w:val="22"/>
                        </w:rPr>
                        <w:t>eDecisions</w:t>
                      </w:r>
                      <w:proofErr w:type="spellEnd"/>
                      <w:r>
                        <w:rPr>
                          <w:sz w:val="22"/>
                          <w:szCs w:val="22"/>
                        </w:rPr>
                        <w:t xml:space="preserve"> initiative, which is using the </w:t>
                      </w:r>
                      <w:proofErr w:type="spellStart"/>
                      <w:r>
                        <w:rPr>
                          <w:sz w:val="22"/>
                          <w:szCs w:val="22"/>
                        </w:rPr>
                        <w:t>vMR</w:t>
                      </w:r>
                      <w:proofErr w:type="spellEnd"/>
                      <w:r>
                        <w:rPr>
                          <w:sz w:val="22"/>
                          <w:szCs w:val="22"/>
                        </w:rPr>
                        <w:t xml:space="preserve"> as a core underlying information model.</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w:t>
            </w:r>
            <w:proofErr w:type="spellStart"/>
            <w:r w:rsidR="00DF6C48" w:rsidRPr="00DF6C48">
              <w:rPr>
                <w:rFonts w:ascii="Arial" w:hAnsi="Arial" w:cs="Arial"/>
                <w:sz w:val="18"/>
                <w:szCs w:val="18"/>
              </w:rPr>
              <w:t>Payors</w:t>
            </w:r>
            <w:proofErr w:type="spellEnd"/>
            <w:r w:rsidR="00DF6C48" w:rsidRPr="00DF6C48">
              <w:rPr>
                <w:rFonts w:ascii="Arial" w:hAnsi="Arial" w:cs="Arial"/>
                <w:sz w:val="18"/>
                <w:szCs w:val="18"/>
              </w:rPr>
              <w:t xml:space="preserve">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70049">
              <w:rPr>
                <w:rFonts w:ascii="Arial" w:hAnsi="Arial" w:cs="Arial"/>
                <w:sz w:val="18"/>
                <w:szCs w:val="18"/>
              </w:rPr>
            </w:r>
            <w:r w:rsidR="00E7004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1F1AA2">
        <w:rPr>
          <w:rFonts w:ascii="Arial" w:hAnsi="Arial" w:cs="Arial"/>
          <w:b/>
          <w:sz w:val="22"/>
          <w:szCs w:val="22"/>
          <w:highlight w:val="yellow"/>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1F1AA2">
        <w:rPr>
          <w:rFonts w:ascii="Arial" w:hAnsi="Arial" w:cs="Arial"/>
          <w:b/>
          <w:sz w:val="22"/>
          <w:szCs w:val="22"/>
          <w:highlight w:val="yellow"/>
        </w:rPr>
        <w:t>Implementations/Case Studies</w:t>
      </w:r>
      <w:r w:rsidRPr="005B7096">
        <w:rPr>
          <w:rFonts w:ascii="Arial" w:hAnsi="Arial" w:cs="Arial"/>
          <w:sz w:val="22"/>
          <w:szCs w:val="22"/>
        </w:rPr>
        <w:t xml:space="preserve">: This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82550</wp:posOffset>
                </wp:positionV>
                <wp:extent cx="5257800" cy="571500"/>
                <wp:effectExtent l="9525" t="6350" r="9525" b="1270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5pt;width:414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K2Kg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">
                <v:textbo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1F1AA2">
        <w:rPr>
          <w:rFonts w:ascii="Arial" w:hAnsi="Arial" w:cs="Arial"/>
          <w:b/>
          <w:sz w:val="22"/>
          <w:szCs w:val="22"/>
          <w:highlight w:val="yellow"/>
        </w:rPr>
        <w:t>Development Background</w:t>
      </w:r>
      <w:r>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86211" w:rsidP="00A45B44">
            <w:pPr>
              <w:rPr>
                <w:rFonts w:ascii="Arial" w:hAnsi="Arial" w:cs="Arial"/>
                <w:sz w:val="22"/>
                <w:szCs w:val="22"/>
              </w:rPr>
            </w:pPr>
            <w:r>
              <w:rPr>
                <w:rFonts w:ascii="Arial" w:hAnsi="Arial" w:cs="Arial"/>
                <w:sz w:val="22"/>
                <w:szCs w:val="22"/>
              </w:rPr>
              <w:t>HL7 Clinical Decision Support Workgroup, 12/17/2013</w:t>
            </w:r>
          </w:p>
        </w:tc>
      </w:tr>
    </w:tbl>
    <w:p w:rsidR="00E21F0B" w:rsidRPr="00F5055B" w:rsidRDefault="00E21F0B">
      <w:r w:rsidRPr="00F05DE0">
        <w:rPr>
          <w:rFonts w:ascii="Arial" w:hAnsi="Arial" w:cs="Arial"/>
          <w:sz w:val="22"/>
          <w:szCs w:val="22"/>
        </w:rPr>
        <w:t xml:space="preserve">Email this Request to </w:t>
      </w:r>
      <w:hyperlink r:id="rId12" w:history="1">
        <w:r w:rsidRPr="00F05DE0">
          <w:rPr>
            <w:rStyle w:val="Hyperlink"/>
            <w:rFonts w:ascii="Arial" w:hAnsi="Arial" w:cs="Arial"/>
            <w:sz w:val="22"/>
            <w:szCs w:val="22"/>
          </w:rPr>
          <w:t>lynn@hl7.org</w:t>
        </w:r>
      </w:hyperlink>
      <w:r w:rsidRPr="00F05DE0">
        <w:rPr>
          <w:rFonts w:ascii="Arial" w:hAnsi="Arial" w:cs="Arial"/>
          <w:sz w:val="22"/>
          <w:szCs w:val="22"/>
        </w:rPr>
        <w:t xml:space="preserve">.  </w:t>
      </w:r>
      <w:bookmarkStart w:id="0" w:name="_GoBack"/>
      <w:bookmarkEnd w:id="0"/>
    </w:p>
    <w:sectPr w:rsidR="00E21F0B" w:rsidRPr="00F5055B" w:rsidSect="00C94B61">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049" w:rsidRDefault="00E70049">
      <w:r>
        <w:separator/>
      </w:r>
    </w:p>
  </w:endnote>
  <w:endnote w:type="continuationSeparator" w:id="0">
    <w:p w:rsidR="00E70049" w:rsidRDefault="00E7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9E4871">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049" w:rsidRDefault="00E70049">
      <w:r>
        <w:separator/>
      </w:r>
    </w:p>
  </w:footnote>
  <w:footnote w:type="continuationSeparator" w:id="0">
    <w:p w:rsidR="00E70049" w:rsidRDefault="00E700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660B0"/>
    <w:rsid w:val="003B075F"/>
    <w:rsid w:val="003C2F63"/>
    <w:rsid w:val="00403800"/>
    <w:rsid w:val="004325B4"/>
    <w:rsid w:val="00440453"/>
    <w:rsid w:val="0047653C"/>
    <w:rsid w:val="004A4E47"/>
    <w:rsid w:val="004C16D3"/>
    <w:rsid w:val="004C4A31"/>
    <w:rsid w:val="004D1A62"/>
    <w:rsid w:val="004F2378"/>
    <w:rsid w:val="00543CF8"/>
    <w:rsid w:val="005713DF"/>
    <w:rsid w:val="00643081"/>
    <w:rsid w:val="00651E55"/>
    <w:rsid w:val="00661872"/>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155E"/>
    <w:rsid w:val="009A1799"/>
    <w:rsid w:val="009C2F53"/>
    <w:rsid w:val="009E1182"/>
    <w:rsid w:val="009E4871"/>
    <w:rsid w:val="00A01B89"/>
    <w:rsid w:val="00A17547"/>
    <w:rsid w:val="00A402E7"/>
    <w:rsid w:val="00A46338"/>
    <w:rsid w:val="00AD3FF1"/>
    <w:rsid w:val="00AF568A"/>
    <w:rsid w:val="00B01962"/>
    <w:rsid w:val="00B15013"/>
    <w:rsid w:val="00B21217"/>
    <w:rsid w:val="00B31002"/>
    <w:rsid w:val="00B601EA"/>
    <w:rsid w:val="00B75D85"/>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70049"/>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lynn@hl7.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stucomments/index.cf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sugarsync.com/iris/wf/D6692368_7970265_874733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604FB-A809-45E0-A5F2-0425194E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7694</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Raghavachari, Divya</cp:lastModifiedBy>
  <cp:revision>3</cp:revision>
  <cp:lastPrinted>2007-07-05T17:38:00Z</cp:lastPrinted>
  <dcterms:created xsi:type="dcterms:W3CDTF">2013-12-17T21:51:00Z</dcterms:created>
  <dcterms:modified xsi:type="dcterms:W3CDTF">2013-12-17T21:55:00Z</dcterms:modified>
</cp:coreProperties>
</file>