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17</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543CF8" w:rsidRDefault="00C73FCF" w:rsidP="00CD59BA">
            <w:pPr>
              <w:rPr>
                <w:rFonts w:ascii="Arial" w:hAnsi="Arial" w:cs="Arial"/>
              </w:rPr>
            </w:pPr>
            <w:r>
              <w:rPr>
                <w:rFonts w:ascii="Arial" w:hAnsi="Arial" w:cs="Arial"/>
              </w:rPr>
              <w:t>Clinical Decision Support</w:t>
            </w:r>
            <w:r w:rsidR="00D0145D">
              <w:rPr>
                <w:rFonts w:ascii="Arial" w:hAnsi="Arial" w:cs="Arial"/>
              </w:rPr>
              <w:t xml:space="preserve"> WG</w:t>
            </w:r>
          </w:p>
          <w:p w:rsidR="00B9443A" w:rsidRPr="008C5ED6" w:rsidRDefault="00B9443A" w:rsidP="00CD59BA">
            <w:pPr>
              <w:rPr>
                <w:rFonts w:ascii="Arial" w:hAnsi="Arial" w:cs="Arial"/>
              </w:rPr>
            </w:pPr>
            <w:r>
              <w:rPr>
                <w:rFonts w:ascii="Arial" w:hAnsi="Arial" w:cs="Arial"/>
              </w:rPr>
              <w:t>2013-12-17</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AF1CDD" w:rsidP="00EF748E">
            <w:pPr>
              <w:rPr>
                <w:rFonts w:ascii="Arial" w:hAnsi="Arial" w:cs="Arial"/>
              </w:rPr>
            </w:pPr>
            <w:r w:rsidRPr="00AF1CDD">
              <w:rPr>
                <w:rFonts w:ascii="Arial" w:hAnsi="Arial" w:cs="Arial"/>
              </w:rPr>
              <w:t>HL7 Version 3 Standard: Decision Support Service (DSS), Release 2</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AF1CDD" w:rsidP="00EF748E">
            <w:pPr>
              <w:rPr>
                <w:rFonts w:ascii="Arial" w:hAnsi="Arial" w:cs="Arial"/>
              </w:rPr>
            </w:pPr>
            <w:r w:rsidRPr="00AF1CDD">
              <w:rPr>
                <w:rFonts w:ascii="Arial" w:hAnsi="Arial" w:cs="Arial"/>
              </w:rPr>
              <w:t>HL7 Version 3 Standard: Decision Support Service (DSS), Release 2</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C43C90" w:rsidP="00CD59BA">
            <w:pPr>
              <w:rPr>
                <w:rFonts w:ascii="Arial" w:hAnsi="Arial" w:cs="Arial"/>
              </w:rPr>
            </w:pPr>
            <w:r w:rsidRPr="000373C1">
              <w:rPr>
                <w:rFonts w:ascii="Arial" w:hAnsi="Arial" w:cs="Arial"/>
                <w:highlight w:val="yellow"/>
              </w:rPr>
              <w:t>COCT_MTxxxxxx</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3B075F">
              <w:rPr>
                <w:rFonts w:ascii="Arial" w:hAnsi="Arial" w:cs="Arial"/>
                <w:highlight w:val="yellow"/>
              </w:rPr>
              <w:t>URL of Project Scope Statement or Project Insight Number:</w:t>
            </w:r>
            <w:r w:rsidRPr="008C5ED6">
              <w:rPr>
                <w:rFonts w:ascii="Arial" w:hAnsi="Arial" w:cs="Arial"/>
              </w:rPr>
              <w:t xml:space="preserve"> </w:t>
            </w:r>
          </w:p>
        </w:tc>
        <w:tc>
          <w:tcPr>
            <w:tcW w:w="3150" w:type="dxa"/>
          </w:tcPr>
          <w:p w:rsidR="00543CF8" w:rsidRPr="008C5ED6" w:rsidRDefault="00543CF8" w:rsidP="00CD59BA">
            <w:pPr>
              <w:rPr>
                <w:rFonts w:ascii="Arial" w:hAnsi="Arial" w:cs="Arial"/>
              </w:rPr>
            </w:pP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AF1CDD">
              <w:rPr>
                <w:rFonts w:ascii="Arial" w:hAnsi="Arial" w:cs="Arial"/>
              </w:rPr>
              <w:t>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AF1CDD" w:rsidP="00A949EE">
            <w:pPr>
              <w:rPr>
                <w:rFonts w:ascii="Arial" w:hAnsi="Arial" w:cs="Arial"/>
                <w:sz w:val="20"/>
                <w:szCs w:val="20"/>
              </w:rPr>
            </w:pPr>
            <w:r>
              <w:rPr>
                <w:rFonts w:ascii="Arial" w:hAnsi="Arial" w:cs="Arial"/>
                <w:sz w:val="20"/>
                <w:szCs w:val="20"/>
              </w:rPr>
              <w:t>49</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F1CDD" w:rsidP="00A949EE">
            <w:pPr>
              <w:rPr>
                <w:rFonts w:ascii="Arial" w:hAnsi="Arial" w:cs="Arial"/>
                <w:sz w:val="20"/>
                <w:szCs w:val="20"/>
              </w:rPr>
            </w:pPr>
            <w:r>
              <w:rPr>
                <w:rFonts w:ascii="Arial" w:hAnsi="Arial" w:cs="Arial"/>
                <w:sz w:val="20"/>
                <w:szCs w:val="20"/>
              </w:rPr>
              <w:t>16</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AF1CDD" w:rsidP="00D0145D">
            <w:pPr>
              <w:tabs>
                <w:tab w:val="center" w:pos="999"/>
              </w:tabs>
              <w:rPr>
                <w:rFonts w:ascii="Arial" w:hAnsi="Arial" w:cs="Arial"/>
                <w:sz w:val="20"/>
                <w:szCs w:val="20"/>
              </w:rPr>
            </w:pPr>
            <w:r>
              <w:rPr>
                <w:rFonts w:ascii="Arial" w:hAnsi="Arial" w:cs="Arial"/>
                <w:sz w:val="20"/>
                <w:szCs w:val="20"/>
              </w:rPr>
              <w:t>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AF1CDD">
              <w:rPr>
                <w:rFonts w:ascii="Arial" w:hAnsi="Arial" w:cs="Arial"/>
                <w:sz w:val="20"/>
                <w:szCs w:val="20"/>
              </w:rPr>
              <w:t>39</w:t>
            </w:r>
            <w:bookmarkStart w:id="0" w:name="_GoBack"/>
            <w:bookmarkEnd w:id="0"/>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AF1CDD" w:rsidP="00D0145D">
            <w:pPr>
              <w:rPr>
                <w:rFonts w:ascii="Arial" w:hAnsi="Arial" w:cs="Arial"/>
                <w:sz w:val="20"/>
                <w:szCs w:val="20"/>
              </w:rPr>
            </w:pPr>
            <w:r>
              <w:rPr>
                <w:rFonts w:ascii="Arial" w:hAnsi="Arial" w:cs="Arial"/>
                <w:sz w:val="20"/>
                <w:szCs w:val="20"/>
              </w:rPr>
              <w:t>74</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B5EAC" w:rsidP="00A949EE">
            <w:pPr>
              <w:rPr>
                <w:rFonts w:ascii="Arial" w:hAnsi="Arial" w:cs="Arial"/>
                <w:sz w:val="20"/>
                <w:szCs w:val="20"/>
              </w:rPr>
            </w:pPr>
            <w:r>
              <w:rPr>
                <w:rFonts w:ascii="Arial" w:hAnsi="Arial" w:cs="Arial"/>
                <w:sz w:val="20"/>
                <w:szCs w:val="20"/>
              </w:rPr>
              <w:t>60%</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7F149A">
              <w:rPr>
                <w:rFonts w:ascii="Arial" w:hAnsi="Arial" w:cs="Arial"/>
                <w:szCs w:val="20"/>
                <w:highlight w:val="yellow"/>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ED0F41" w:rsidRPr="00E51128" w:rsidRDefault="00E37FAE" w:rsidP="00ED0F41">
            <w:pPr>
              <w:rPr>
                <w:rFonts w:ascii="Arial" w:hAnsi="Arial" w:cs="Arial"/>
              </w:rPr>
            </w:pPr>
            <w:hyperlink r:id="rId10" w:history="1">
              <w:r w:rsidR="00E51128" w:rsidRPr="00E51128">
                <w:rPr>
                  <w:rStyle w:val="Hyperlink"/>
                  <w:rFonts w:ascii="Arial" w:hAnsi="Arial" w:cs="Arial"/>
                </w:rPr>
                <w:t>https://app.sugarsync.com/iris/wf/D6692368_7970265_8747330</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8B5EAC" w:rsidP="00ED0F41">
            <w:pPr>
              <w:rPr>
                <w:rFonts w:ascii="Arial" w:hAnsi="Arial" w:cs="Arial"/>
                <w:szCs w:val="20"/>
              </w:rPr>
            </w:pPr>
            <w:r>
              <w:rPr>
                <w:rFonts w:ascii="Arial" w:hAnsi="Arial" w:cs="Arial"/>
                <w:szCs w:val="20"/>
              </w:rPr>
              <w:t>N/A</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DB07E8" w:rsidRPr="00DB07E8" w:rsidTr="00C94B61">
        <w:trPr>
          <w:trHeight w:val="45"/>
        </w:trPr>
        <w:tc>
          <w:tcPr>
            <w:tcW w:w="4428" w:type="dxa"/>
            <w:tcBorders>
              <w:bottom w:val="single" w:sz="4" w:space="0" w:color="auto"/>
            </w:tcBorders>
          </w:tcPr>
          <w:p w:rsidR="00DB07E8" w:rsidRPr="00DB07E8" w:rsidRDefault="00DB07E8" w:rsidP="00DB07E8">
            <w:r w:rsidRPr="00AD3FF1">
              <w:rPr>
                <w:rFonts w:ascii="Arial" w:hAnsi="Arial" w:cs="Arial"/>
                <w:highlight w:val="yellow"/>
              </w:rPr>
              <w:t>URL of ballot reconciliation document:</w:t>
            </w:r>
          </w:p>
        </w:tc>
        <w:tc>
          <w:tcPr>
            <w:tcW w:w="5760" w:type="dxa"/>
            <w:tcBorders>
              <w:bottom w:val="single" w:sz="4" w:space="0" w:color="auto"/>
            </w:tcBorders>
          </w:tcPr>
          <w:p w:rsidR="00DB07E8" w:rsidRPr="00DB07E8" w:rsidRDefault="00DB07E8" w:rsidP="00DB07E8"/>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AF1CDD" w:rsidP="00DB07E8">
            <w:pPr>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1F1AA2">
              <w:rPr>
                <w:rFonts w:ascii="Arial" w:hAnsi="Arial" w:cs="Arial"/>
                <w:highlight w:val="yellow"/>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1"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8B5EAC">
        <w:rPr>
          <w:rFonts w:ascii="Arial" w:hAnsi="Arial" w:cs="Arial"/>
          <w:highlight w:val="yellow"/>
        </w:rPr>
        <w:t>Does the Work Group or TSC wish to register this document with ANSI as a Technical Report?</w:t>
      </w:r>
      <w:r w:rsidRPr="005713DF">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AF1CDD"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7D3CFCD0" wp14:editId="27BBBFEF">
                <wp:simplePos x="0" y="0"/>
                <wp:positionH relativeFrom="column">
                  <wp:posOffset>152400</wp:posOffset>
                </wp:positionH>
                <wp:positionV relativeFrom="paragraph">
                  <wp:posOffset>136525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0.7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" filled="f" strokecolor="#243f60 [1604]" strokeweight="2pt"/>
            </w:pict>
          </mc:Fallback>
        </mc:AlternateContent>
      </w:r>
      <w:r w:rsidR="00DF6C48">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lastRenderedPageBreak/>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1F1AA2">
        <w:rPr>
          <w:rFonts w:ascii="Arial" w:hAnsi="Arial" w:cs="Arial"/>
          <w:b/>
          <w:sz w:val="22"/>
          <w:szCs w:val="22"/>
          <w:highlight w:val="yellow"/>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AF1CDD" w:rsidP="00DF6C48">
            <w:pPr>
              <w:ind w:right="720"/>
              <w:rPr>
                <w:rFonts w:ascii="Arial" w:hAnsi="Arial" w:cs="Arial"/>
                <w:sz w:val="22"/>
                <w:szCs w:val="22"/>
              </w:rPr>
            </w:pPr>
            <w:r>
              <w:rPr>
                <w:rFonts w:ascii="Arial" w:hAnsi="Arial" w:cs="Arial"/>
                <w:sz w:val="22"/>
                <w:szCs w:val="22"/>
              </w:rPr>
              <w:t>N/A</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AF1CDD" w:rsidP="00A45B44">
            <w:pPr>
              <w:rPr>
                <w:rFonts w:ascii="Arial" w:hAnsi="Arial" w:cs="Arial"/>
                <w:sz w:val="22"/>
                <w:szCs w:val="22"/>
              </w:rPr>
            </w:pPr>
            <w:r>
              <w:rPr>
                <w:rFonts w:ascii="Arial" w:hAnsi="Arial" w:cs="Arial"/>
                <w:sz w:val="22"/>
                <w:szCs w:val="22"/>
              </w:rPr>
              <w:t>Update to DSS, Release 1</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020E4D">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Health </w:t>
            </w:r>
            <w:proofErr w:type="spellStart"/>
            <w:r w:rsidR="001F1AA2">
              <w:rPr>
                <w:rFonts w:ascii="Arial" w:hAnsi="Arial" w:cs="Arial"/>
                <w:sz w:val="22"/>
                <w:szCs w:val="22"/>
              </w:rPr>
              <w:t>eDecisions</w:t>
            </w:r>
            <w:proofErr w:type="spellEnd"/>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CDS</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55880</wp:posOffset>
                </wp:positionV>
                <wp:extent cx="5257800" cy="1172210"/>
                <wp:effectExtent l="9525" t="8255" r="9525" b="1016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72210"/>
                        </a:xfrm>
                        <a:prstGeom prst="rect">
                          <a:avLst/>
                        </a:prstGeom>
                        <a:solidFill>
                          <a:srgbClr val="FFFFFF"/>
                        </a:solidFill>
                        <a:ln w="9525">
                          <a:solidFill>
                            <a:srgbClr val="000000"/>
                          </a:solidFill>
                          <a:miter lim="800000"/>
                          <a:headEnd/>
                          <a:tailEnd/>
                        </a:ln>
                      </wps:spPr>
                      <wps:txbx>
                        <w:txbxContent>
                          <w:p w:rsidR="00AF1CDD" w:rsidRPr="00AF1CDD" w:rsidRDefault="00AF1CDD" w:rsidP="00AF1CDD">
                            <w:pPr>
                              <w:autoSpaceDE w:val="0"/>
                              <w:autoSpaceDN w:val="0"/>
                              <w:adjustRightInd w:val="0"/>
                              <w:rPr>
                                <w:sz w:val="20"/>
                                <w:szCs w:val="20"/>
                              </w:rPr>
                            </w:pPr>
                            <w:r w:rsidRPr="00AF1CDD">
                              <w:rPr>
                                <w:sz w:val="20"/>
                                <w:szCs w:val="20"/>
                              </w:rPr>
                              <w:t>This present specification is a normative HL7 specification that is based on the n</w:t>
                            </w:r>
                            <w:r w:rsidRPr="00AF1CDD">
                              <w:rPr>
                                <w:sz w:val="20"/>
                                <w:szCs w:val="20"/>
                              </w:rPr>
                              <w:t xml:space="preserve">ormative OMG DSS standard, with </w:t>
                            </w:r>
                            <w:r w:rsidRPr="00AF1CDD">
                              <w:rPr>
                                <w:sz w:val="20"/>
                                <w:szCs w:val="20"/>
                              </w:rPr>
                              <w:t>minor revisions that are clearly noted in Section 2. These minor revisions are expected to be introduced back into</w:t>
                            </w:r>
                            <w:r w:rsidRPr="00AF1CDD">
                              <w:rPr>
                                <w:sz w:val="20"/>
                                <w:szCs w:val="20"/>
                              </w:rPr>
                              <w:t xml:space="preserve"> </w:t>
                            </w:r>
                            <w:r w:rsidRPr="00AF1CDD">
                              <w:rPr>
                                <w:sz w:val="20"/>
                                <w:szCs w:val="20"/>
                              </w:rPr>
                              <w:t>the OMG standard, as the intent is for the HL7 and OMG DSS standards to be semantically interoperable. Like the</w:t>
                            </w:r>
                          </w:p>
                          <w:p w:rsidR="00CF573A" w:rsidRPr="00AF1CDD" w:rsidRDefault="00AF1CDD" w:rsidP="00AF1CDD">
                            <w:pPr>
                              <w:autoSpaceDE w:val="0"/>
                              <w:autoSpaceDN w:val="0"/>
                              <w:adjustRightInd w:val="0"/>
                              <w:rPr>
                                <w:sz w:val="20"/>
                                <w:szCs w:val="20"/>
                              </w:rPr>
                            </w:pPr>
                            <w:r w:rsidRPr="00AF1CDD">
                              <w:rPr>
                                <w:sz w:val="20"/>
                                <w:szCs w:val="20"/>
                              </w:rPr>
                              <w:t>OMG standard, the present DSS specification includes a platform-independent mod</w:t>
                            </w:r>
                            <w:r w:rsidRPr="00AF1CDD">
                              <w:rPr>
                                <w:sz w:val="20"/>
                                <w:szCs w:val="20"/>
                              </w:rPr>
                              <w:t xml:space="preserve">el (PIM) for the DSS as well as </w:t>
                            </w:r>
                            <w:r w:rsidRPr="00AF1CDD">
                              <w:rPr>
                                <w:sz w:val="20"/>
                                <w:szCs w:val="20"/>
                              </w:rPr>
                              <w:t>a platform-specific model (PSM) for SOAP XML Web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4pt;width:414pt;height:9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TdKwIAAFI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">
                <v:textbox>
                  <w:txbxContent>
                    <w:p w:rsidR="00AF1CDD" w:rsidRPr="00AF1CDD" w:rsidRDefault="00AF1CDD" w:rsidP="00AF1CDD">
                      <w:pPr>
                        <w:autoSpaceDE w:val="0"/>
                        <w:autoSpaceDN w:val="0"/>
                        <w:adjustRightInd w:val="0"/>
                        <w:rPr>
                          <w:sz w:val="20"/>
                          <w:szCs w:val="20"/>
                        </w:rPr>
                      </w:pPr>
                      <w:r w:rsidRPr="00AF1CDD">
                        <w:rPr>
                          <w:sz w:val="20"/>
                          <w:szCs w:val="20"/>
                        </w:rPr>
                        <w:t>This present specification is a normative HL7 specification that is based on the n</w:t>
                      </w:r>
                      <w:r w:rsidRPr="00AF1CDD">
                        <w:rPr>
                          <w:sz w:val="20"/>
                          <w:szCs w:val="20"/>
                        </w:rPr>
                        <w:t xml:space="preserve">ormative OMG DSS standard, with </w:t>
                      </w:r>
                      <w:r w:rsidRPr="00AF1CDD">
                        <w:rPr>
                          <w:sz w:val="20"/>
                          <w:szCs w:val="20"/>
                        </w:rPr>
                        <w:t>minor revisions that are clearly noted in Section 2. These minor revisions are expected to be introduced back into</w:t>
                      </w:r>
                      <w:r w:rsidRPr="00AF1CDD">
                        <w:rPr>
                          <w:sz w:val="20"/>
                          <w:szCs w:val="20"/>
                        </w:rPr>
                        <w:t xml:space="preserve"> </w:t>
                      </w:r>
                      <w:r w:rsidRPr="00AF1CDD">
                        <w:rPr>
                          <w:sz w:val="20"/>
                          <w:szCs w:val="20"/>
                        </w:rPr>
                        <w:t>the OMG standard, as the intent is for the HL7 and OMG DSS standards to be semantically interoperable. Like the</w:t>
                      </w:r>
                    </w:p>
                    <w:p w:rsidR="00CF573A" w:rsidRPr="00AF1CDD" w:rsidRDefault="00AF1CDD" w:rsidP="00AF1CDD">
                      <w:pPr>
                        <w:autoSpaceDE w:val="0"/>
                        <w:autoSpaceDN w:val="0"/>
                        <w:adjustRightInd w:val="0"/>
                        <w:rPr>
                          <w:sz w:val="20"/>
                          <w:szCs w:val="20"/>
                        </w:rPr>
                      </w:pPr>
                      <w:r w:rsidRPr="00AF1CDD">
                        <w:rPr>
                          <w:sz w:val="20"/>
                          <w:szCs w:val="20"/>
                        </w:rPr>
                        <w:t>OMG standard, the present DSS specification includes a platform-independent mod</w:t>
                      </w:r>
                      <w:r w:rsidRPr="00AF1CDD">
                        <w:rPr>
                          <w:sz w:val="20"/>
                          <w:szCs w:val="20"/>
                        </w:rPr>
                        <w:t xml:space="preserve">el (PIM) for the DSS as well as </w:t>
                      </w:r>
                      <w:r w:rsidRPr="00AF1CDD">
                        <w:rPr>
                          <w:sz w:val="20"/>
                          <w:szCs w:val="20"/>
                        </w:rPr>
                        <w:t>a platform-specific model (PSM) for SOAP XML Web services.</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w:t>
            </w:r>
            <w:proofErr w:type="spellStart"/>
            <w:r w:rsidR="00DF6C48" w:rsidRPr="00DF6C48">
              <w:rPr>
                <w:rFonts w:ascii="Arial" w:hAnsi="Arial" w:cs="Arial"/>
                <w:sz w:val="18"/>
                <w:szCs w:val="18"/>
              </w:rPr>
              <w:t>Payors</w:t>
            </w:r>
            <w:proofErr w:type="spellEnd"/>
            <w:r w:rsidR="00DF6C48" w:rsidRPr="00DF6C48">
              <w:rPr>
                <w:rFonts w:ascii="Arial" w:hAnsi="Arial" w:cs="Arial"/>
                <w:sz w:val="18"/>
                <w:szCs w:val="18"/>
              </w:rPr>
              <w:t xml:space="preserve">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37FAE">
              <w:rPr>
                <w:rFonts w:ascii="Arial" w:hAnsi="Arial" w:cs="Arial"/>
                <w:sz w:val="18"/>
                <w:szCs w:val="18"/>
              </w:rPr>
            </w:r>
            <w:r w:rsidR="00E37FA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1F1AA2">
        <w:rPr>
          <w:rFonts w:ascii="Arial" w:hAnsi="Arial" w:cs="Arial"/>
          <w:b/>
          <w:sz w:val="22"/>
          <w:szCs w:val="22"/>
          <w:highlight w:val="yellow"/>
        </w:rPr>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4A4E47" w:rsidRDefault="004A4E47" w:rsidP="004A4E47">
                            <w:pPr>
                              <w:numPr>
                                <w:ilvl w:val="0"/>
                                <w:numId w:val="7"/>
                              </w:numPr>
                              <w:rPr>
                                <w:rFonts w:ascii="Arial" w:hAnsi="Arial" w:cs="Arial"/>
                                <w:sz w:val="20"/>
                                <w:szCs w:val="20"/>
                              </w:rPr>
                            </w:pPr>
                            <w:r>
                              <w:rPr>
                                <w:rFonts w:ascii="Arial" w:hAnsi="Arial" w:cs="Arial"/>
                                <w:sz w:val="20"/>
                                <w:szCs w:val="20"/>
                              </w:rPr>
                              <w:t>Creates…</w:t>
                            </w:r>
                          </w:p>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p>
                          <w:p w:rsidR="004A4E47" w:rsidRPr="004A4E47" w:rsidRDefault="004A4E47" w:rsidP="004A4E47">
                            <w:pPr>
                              <w:numPr>
                                <w:ilvl w:val="0"/>
                                <w:numId w:val="7"/>
                              </w:numPr>
                              <w:rPr>
                                <w:rFonts w:ascii="Arial" w:hAnsi="Arial" w:cs="Arial"/>
                                <w:sz w:val="20"/>
                                <w:szCs w:val="20"/>
                              </w:rPr>
                            </w:pPr>
                            <w:r w:rsidRPr="004A4E47">
                              <w:rPr>
                                <w:rFonts w:ascii="Arial" w:hAnsi="Arial" w:cs="Arial"/>
                                <w:sz w:val="20"/>
                                <w:szCs w:val="20"/>
                              </w:rPr>
                              <w:t>Supports…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4A4E47" w:rsidRDefault="004A4E47" w:rsidP="004A4E47">
                      <w:pPr>
                        <w:numPr>
                          <w:ilvl w:val="0"/>
                          <w:numId w:val="7"/>
                        </w:numPr>
                        <w:rPr>
                          <w:rFonts w:ascii="Arial" w:hAnsi="Arial" w:cs="Arial"/>
                          <w:sz w:val="20"/>
                          <w:szCs w:val="20"/>
                        </w:rPr>
                      </w:pPr>
                      <w:r>
                        <w:rPr>
                          <w:rFonts w:ascii="Arial" w:hAnsi="Arial" w:cs="Arial"/>
                          <w:sz w:val="20"/>
                          <w:szCs w:val="20"/>
                        </w:rPr>
                        <w:t>Creates…</w:t>
                      </w:r>
                    </w:p>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p>
                    <w:p w:rsidR="004A4E47" w:rsidRPr="004A4E47" w:rsidRDefault="004A4E47" w:rsidP="004A4E47">
                      <w:pPr>
                        <w:numPr>
                          <w:ilvl w:val="0"/>
                          <w:numId w:val="7"/>
                        </w:numPr>
                        <w:rPr>
                          <w:rFonts w:ascii="Arial" w:hAnsi="Arial" w:cs="Arial"/>
                          <w:sz w:val="20"/>
                          <w:szCs w:val="20"/>
                        </w:rPr>
                      </w:pPr>
                      <w:r w:rsidRPr="004A4E47">
                        <w:rPr>
                          <w:rFonts w:ascii="Arial" w:hAnsi="Arial" w:cs="Arial"/>
                          <w:sz w:val="20"/>
                          <w:szCs w:val="20"/>
                        </w:rPr>
                        <w:t>Supports…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1F1AA2">
        <w:rPr>
          <w:rFonts w:ascii="Arial" w:hAnsi="Arial" w:cs="Arial"/>
          <w:b/>
          <w:sz w:val="22"/>
          <w:szCs w:val="22"/>
          <w:highlight w:val="yellow"/>
        </w:rPr>
        <w:t>Implementations/Case Studies</w:t>
      </w:r>
      <w:r w:rsidRPr="005B7096">
        <w:rPr>
          <w:rFonts w:ascii="Arial" w:hAnsi="Arial" w:cs="Arial"/>
          <w:sz w:val="22"/>
          <w:szCs w:val="22"/>
        </w:rPr>
        <w:t xml:space="preserve">: This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82550</wp:posOffset>
                </wp:positionV>
                <wp:extent cx="5257800" cy="571500"/>
                <wp:effectExtent l="9525" t="6350" r="9525" b="1270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5pt;width:414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">
                <v:textbox>
                  <w:txbxContent>
                    <w:p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1F1AA2">
        <w:rPr>
          <w:rFonts w:ascii="Arial" w:hAnsi="Arial" w:cs="Arial"/>
          <w:b/>
          <w:sz w:val="22"/>
          <w:szCs w:val="22"/>
          <w:highlight w:val="yellow"/>
        </w:rPr>
        <w:t>Development Background</w:t>
      </w:r>
      <w:r>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86211" w:rsidP="00A45B44">
            <w:pPr>
              <w:rPr>
                <w:rFonts w:ascii="Arial" w:hAnsi="Arial" w:cs="Arial"/>
                <w:sz w:val="22"/>
                <w:szCs w:val="22"/>
              </w:rPr>
            </w:pPr>
            <w:r>
              <w:rPr>
                <w:rFonts w:ascii="Arial" w:hAnsi="Arial" w:cs="Arial"/>
                <w:sz w:val="22"/>
                <w:szCs w:val="22"/>
              </w:rPr>
              <w:t>HL7 Clinical Decision Support Workgroup, 12/17/2013</w:t>
            </w:r>
          </w:p>
        </w:tc>
      </w:tr>
    </w:tbl>
    <w:p w:rsidR="00E21F0B" w:rsidRPr="00F5055B" w:rsidRDefault="00E21F0B">
      <w:r w:rsidRPr="00F05DE0">
        <w:rPr>
          <w:rFonts w:ascii="Arial" w:hAnsi="Arial" w:cs="Arial"/>
          <w:sz w:val="22"/>
          <w:szCs w:val="22"/>
        </w:rPr>
        <w:t xml:space="preserve">Email this Request to </w:t>
      </w:r>
      <w:hyperlink r:id="rId12"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FAE" w:rsidRDefault="00E37FAE">
      <w:r>
        <w:separator/>
      </w:r>
    </w:p>
  </w:endnote>
  <w:endnote w:type="continuationSeparator" w:id="0">
    <w:p w:rsidR="00E37FAE" w:rsidRDefault="00E3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044374">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FAE" w:rsidRDefault="00E37FAE">
      <w:r>
        <w:separator/>
      </w:r>
    </w:p>
  </w:footnote>
  <w:footnote w:type="continuationSeparator" w:id="0">
    <w:p w:rsidR="00E37FAE" w:rsidRDefault="00E37F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44374"/>
    <w:rsid w:val="00052A22"/>
    <w:rsid w:val="00063494"/>
    <w:rsid w:val="000B1AD5"/>
    <w:rsid w:val="000B3FCB"/>
    <w:rsid w:val="000E16E0"/>
    <w:rsid w:val="0012777D"/>
    <w:rsid w:val="00164E08"/>
    <w:rsid w:val="001768A5"/>
    <w:rsid w:val="00185372"/>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B075F"/>
    <w:rsid w:val="003C2F63"/>
    <w:rsid w:val="00403800"/>
    <w:rsid w:val="004325B4"/>
    <w:rsid w:val="00440453"/>
    <w:rsid w:val="0047653C"/>
    <w:rsid w:val="004A4E47"/>
    <w:rsid w:val="004C16D3"/>
    <w:rsid w:val="004C4A31"/>
    <w:rsid w:val="004D1A62"/>
    <w:rsid w:val="004F2378"/>
    <w:rsid w:val="00543CF8"/>
    <w:rsid w:val="005713DF"/>
    <w:rsid w:val="00643081"/>
    <w:rsid w:val="00651E55"/>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0D44"/>
    <w:rsid w:val="007F149A"/>
    <w:rsid w:val="00822251"/>
    <w:rsid w:val="0083573C"/>
    <w:rsid w:val="008A5924"/>
    <w:rsid w:val="008B0833"/>
    <w:rsid w:val="008B5EAC"/>
    <w:rsid w:val="008C3473"/>
    <w:rsid w:val="008C4E5D"/>
    <w:rsid w:val="008C5ED6"/>
    <w:rsid w:val="008F70A7"/>
    <w:rsid w:val="009575FD"/>
    <w:rsid w:val="009A155E"/>
    <w:rsid w:val="009A1799"/>
    <w:rsid w:val="009C2F53"/>
    <w:rsid w:val="009E1182"/>
    <w:rsid w:val="009E4871"/>
    <w:rsid w:val="00A01B89"/>
    <w:rsid w:val="00A17547"/>
    <w:rsid w:val="00A402E7"/>
    <w:rsid w:val="00A46338"/>
    <w:rsid w:val="00AD3FF1"/>
    <w:rsid w:val="00AF1CDD"/>
    <w:rsid w:val="00AF568A"/>
    <w:rsid w:val="00B01962"/>
    <w:rsid w:val="00B15013"/>
    <w:rsid w:val="00B21217"/>
    <w:rsid w:val="00B31002"/>
    <w:rsid w:val="00B601EA"/>
    <w:rsid w:val="00B75D85"/>
    <w:rsid w:val="00B86A90"/>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37FAE"/>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lynn@hl7.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stucomments/index.cf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sugarsync.com/iris/wf/D6692368_7970265_874733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1E830-81A7-4B41-AB27-BF1BBBD2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7653</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Raghavachari, Divya</cp:lastModifiedBy>
  <cp:revision>3</cp:revision>
  <cp:lastPrinted>2007-07-05T17:38:00Z</cp:lastPrinted>
  <dcterms:created xsi:type="dcterms:W3CDTF">2013-12-17T21:58:00Z</dcterms:created>
  <dcterms:modified xsi:type="dcterms:W3CDTF">2013-12-17T22:12:00Z</dcterms:modified>
</cp:coreProperties>
</file>