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(vMR-CDS) Templates, Release 1 - US Realm</w:t>
      </w:r>
      <w:r w:rsidR="0080477F">
        <w:rPr>
          <w:b/>
          <w:bCs/>
          <w:sz w:val="36"/>
          <w:szCs w:val="36"/>
        </w:rPr>
        <w:t xml:space="preserve">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3"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lastRenderedPageBreak/>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4"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5145636"/>
      <w:r w:rsidR="000F6CA3" w:rsidRPr="00C466F3">
        <w:rPr>
          <w:rFonts w:ascii="Times New Roman" w:hAnsi="Times New Roman"/>
        </w:rPr>
        <w:lastRenderedPageBreak/>
        <w:t>Table of Contents</w:t>
      </w:r>
      <w:bookmarkEnd w:id="1"/>
      <w:bookmarkEnd w:id="2"/>
    </w:p>
    <w:p w:rsidR="00534D05" w:rsidRPr="00C466F3" w:rsidRDefault="00534D05" w:rsidP="00534D05"/>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00493C7B" w:rsidRPr="00C466F3">
        <w:rPr>
          <w:rFonts w:ascii="Times New Roman" w:hAnsi="Times New Roman"/>
        </w:rPr>
        <w:instrText xml:space="preserve"> TOC \o "1-3" \h \z \u </w:instrText>
      </w:r>
      <w:r w:rsidRPr="00C466F3">
        <w:rPr>
          <w:rFonts w:ascii="Times New Roman" w:hAnsi="Times New Roman"/>
        </w:rPr>
        <w:fldChar w:fldCharType="separate"/>
      </w:r>
      <w:hyperlink w:anchor="_Toc375145636" w:history="1">
        <w:r w:rsidR="009250C5" w:rsidRPr="008631C2">
          <w:rPr>
            <w:rStyle w:val="Hyperlink"/>
            <w:rFonts w:ascii="Times New Roman" w:hAnsi="Times New Roman"/>
          </w:rPr>
          <w:t>Table of Contents</w:t>
        </w:r>
        <w:r w:rsidR="009250C5">
          <w:rPr>
            <w:webHidden/>
          </w:rPr>
          <w:tab/>
        </w:r>
        <w:r>
          <w:rPr>
            <w:webHidden/>
          </w:rPr>
          <w:fldChar w:fldCharType="begin"/>
        </w:r>
        <w:r w:rsidR="009250C5">
          <w:rPr>
            <w:webHidden/>
          </w:rPr>
          <w:instrText xml:space="preserve"> PAGEREF _Toc375145636 \h </w:instrText>
        </w:r>
        <w:r>
          <w:rPr>
            <w:webHidden/>
          </w:rPr>
        </w:r>
        <w:r>
          <w:rPr>
            <w:webHidden/>
          </w:rPr>
          <w:fldChar w:fldCharType="separate"/>
        </w:r>
        <w:r w:rsidR="009250C5">
          <w:rPr>
            <w:webHidden/>
          </w:rPr>
          <w:t>5</w:t>
        </w:r>
        <w:r>
          <w:rPr>
            <w:webHidden/>
          </w:rPr>
          <w:fldChar w:fldCharType="end"/>
        </w:r>
      </w:hyperlink>
    </w:p>
    <w:p w:rsidR="009250C5" w:rsidRDefault="005478F2">
      <w:pPr>
        <w:pStyle w:val="TOC1"/>
        <w:rPr>
          <w:rFonts w:asciiTheme="minorHAnsi" w:eastAsiaTheme="minorEastAsia" w:hAnsiTheme="minorHAnsi" w:cstheme="minorBidi"/>
          <w:b w:val="0"/>
          <w:bCs w:val="0"/>
          <w:smallCaps w:val="0"/>
          <w:color w:val="auto"/>
          <w:kern w:val="0"/>
          <w:sz w:val="22"/>
          <w:szCs w:val="22"/>
          <w:lang w:eastAsia="en-US"/>
        </w:rPr>
      </w:pPr>
      <w:hyperlink w:anchor="_Toc375145637" w:history="1">
        <w:r w:rsidR="009250C5" w:rsidRPr="008631C2">
          <w:rPr>
            <w:rStyle w:val="Hyperlink"/>
            <w:rFonts w:ascii="Times New Roman" w:hAnsi="Times New Roman"/>
          </w:rPr>
          <w:t>1.0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Introduction</w:t>
        </w:r>
        <w:r w:rsidR="009250C5">
          <w:rPr>
            <w:webHidden/>
          </w:rPr>
          <w:tab/>
        </w:r>
        <w:r w:rsidR="00B12310">
          <w:rPr>
            <w:webHidden/>
          </w:rPr>
          <w:fldChar w:fldCharType="begin"/>
        </w:r>
        <w:r w:rsidR="009250C5">
          <w:rPr>
            <w:webHidden/>
          </w:rPr>
          <w:instrText xml:space="preserve"> PAGEREF _Toc375145637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38" w:history="1">
        <w:r w:rsidR="009250C5" w:rsidRPr="008631C2">
          <w:rPr>
            <w:rStyle w:val="Hyperlink"/>
            <w:rFonts w:ascii="Times New Roman" w:hAnsi="Times New Roman"/>
          </w:rPr>
          <w:t>1.1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Purpose</w:t>
        </w:r>
        <w:r w:rsidR="009250C5">
          <w:rPr>
            <w:webHidden/>
          </w:rPr>
          <w:tab/>
        </w:r>
        <w:r w:rsidR="00B12310">
          <w:rPr>
            <w:webHidden/>
          </w:rPr>
          <w:fldChar w:fldCharType="begin"/>
        </w:r>
        <w:r w:rsidR="009250C5">
          <w:rPr>
            <w:webHidden/>
          </w:rPr>
          <w:instrText xml:space="preserve"> PAGEREF _Toc375145638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39" w:history="1">
        <w:r w:rsidR="009250C5" w:rsidRPr="008631C2">
          <w:rPr>
            <w:rStyle w:val="Hyperlink"/>
            <w:rFonts w:ascii="Times New Roman" w:hAnsi="Times New Roman"/>
          </w:rPr>
          <w:t>1.2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Methodology</w:t>
        </w:r>
        <w:r w:rsidR="009250C5">
          <w:rPr>
            <w:webHidden/>
          </w:rPr>
          <w:tab/>
        </w:r>
        <w:r w:rsidR="00B12310">
          <w:rPr>
            <w:webHidden/>
          </w:rPr>
          <w:fldChar w:fldCharType="begin"/>
        </w:r>
        <w:r w:rsidR="009250C5">
          <w:rPr>
            <w:webHidden/>
          </w:rPr>
          <w:instrText xml:space="preserve"> PAGEREF _Toc375145639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40" w:history="1">
        <w:r w:rsidR="009250C5" w:rsidRPr="008631C2">
          <w:rPr>
            <w:rStyle w:val="Hyperlink"/>
            <w:rFonts w:ascii="Times New Roman" w:hAnsi="Times New Roman"/>
          </w:rPr>
          <w:t>1.3</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Intended Audience</w:t>
        </w:r>
        <w:r w:rsidR="009250C5">
          <w:rPr>
            <w:webHidden/>
          </w:rPr>
          <w:tab/>
        </w:r>
        <w:r w:rsidR="00B12310">
          <w:rPr>
            <w:webHidden/>
          </w:rPr>
          <w:fldChar w:fldCharType="begin"/>
        </w:r>
        <w:r w:rsidR="009250C5">
          <w:rPr>
            <w:webHidden/>
          </w:rPr>
          <w:instrText xml:space="preserve"> PAGEREF _Toc375145640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3"/>
        <w:rPr>
          <w:rFonts w:asciiTheme="minorHAnsi" w:eastAsiaTheme="minorEastAsia" w:hAnsiTheme="minorHAnsi" w:cstheme="minorBidi"/>
          <w:bCs w:val="0"/>
          <w:iCs w:val="0"/>
          <w:smallCaps w:val="0"/>
          <w:color w:val="auto"/>
          <w:kern w:val="0"/>
          <w:sz w:val="22"/>
          <w:szCs w:val="22"/>
          <w:lang w:eastAsia="en-US"/>
        </w:rPr>
      </w:pPr>
      <w:hyperlink w:anchor="_Toc375145641" w:history="1">
        <w:r w:rsidR="009250C5" w:rsidRPr="008631C2">
          <w:rPr>
            <w:rStyle w:val="Hyperlink"/>
            <w:rFonts w:ascii="Times New Roman" w:hAnsi="Times New Roman"/>
          </w:rPr>
          <w:t>1.3.1</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Requisite Knowledge</w:t>
        </w:r>
        <w:r w:rsidR="009250C5">
          <w:rPr>
            <w:webHidden/>
          </w:rPr>
          <w:tab/>
        </w:r>
        <w:r w:rsidR="00B12310">
          <w:rPr>
            <w:webHidden/>
          </w:rPr>
          <w:fldChar w:fldCharType="begin"/>
        </w:r>
        <w:r w:rsidR="009250C5">
          <w:rPr>
            <w:webHidden/>
          </w:rPr>
          <w:instrText xml:space="preserve"> PAGEREF _Toc375145641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3"/>
        <w:rPr>
          <w:rFonts w:asciiTheme="minorHAnsi" w:eastAsiaTheme="minorEastAsia" w:hAnsiTheme="minorHAnsi" w:cstheme="minorBidi"/>
          <w:bCs w:val="0"/>
          <w:iCs w:val="0"/>
          <w:smallCaps w:val="0"/>
          <w:color w:val="auto"/>
          <w:kern w:val="0"/>
          <w:sz w:val="22"/>
          <w:szCs w:val="22"/>
          <w:lang w:eastAsia="en-US"/>
        </w:rPr>
      </w:pPr>
      <w:hyperlink w:anchor="_Toc375145642" w:history="1">
        <w:r w:rsidR="009250C5" w:rsidRPr="008631C2">
          <w:rPr>
            <w:rStyle w:val="Hyperlink"/>
            <w:rFonts w:ascii="Times New Roman" w:hAnsi="Times New Roman"/>
          </w:rPr>
          <w:t>1.3.2</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Referenced Standards</w:t>
        </w:r>
        <w:r w:rsidR="009250C5">
          <w:rPr>
            <w:webHidden/>
          </w:rPr>
          <w:tab/>
        </w:r>
        <w:r w:rsidR="00B12310">
          <w:rPr>
            <w:webHidden/>
          </w:rPr>
          <w:fldChar w:fldCharType="begin"/>
        </w:r>
        <w:r w:rsidR="009250C5">
          <w:rPr>
            <w:webHidden/>
          </w:rPr>
          <w:instrText xml:space="preserve"> PAGEREF _Toc375145642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43" w:history="1">
        <w:r w:rsidR="009250C5" w:rsidRPr="008631C2">
          <w:rPr>
            <w:rStyle w:val="Hyperlink"/>
            <w:rFonts w:ascii="Times New Roman" w:hAnsi="Times New Roman"/>
          </w:rPr>
          <w:t>1.4</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Organization of this Specification</w:t>
        </w:r>
        <w:r w:rsidR="009250C5">
          <w:rPr>
            <w:webHidden/>
          </w:rPr>
          <w:tab/>
        </w:r>
        <w:r w:rsidR="00B12310">
          <w:rPr>
            <w:webHidden/>
          </w:rPr>
          <w:fldChar w:fldCharType="begin"/>
        </w:r>
        <w:r w:rsidR="009250C5">
          <w:rPr>
            <w:webHidden/>
          </w:rPr>
          <w:instrText xml:space="preserve"> PAGEREF _Toc375145643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44" w:history="1">
        <w:r w:rsidR="009250C5" w:rsidRPr="008631C2">
          <w:rPr>
            <w:rStyle w:val="Hyperlink"/>
            <w:rFonts w:ascii="Times New Roman" w:hAnsi="Times New Roman"/>
          </w:rPr>
          <w:t>1.5</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Definitions and Acronyms</w:t>
        </w:r>
        <w:r w:rsidR="009250C5">
          <w:rPr>
            <w:webHidden/>
          </w:rPr>
          <w:tab/>
        </w:r>
        <w:r w:rsidR="00B12310">
          <w:rPr>
            <w:webHidden/>
          </w:rPr>
          <w:fldChar w:fldCharType="begin"/>
        </w:r>
        <w:r w:rsidR="009250C5">
          <w:rPr>
            <w:webHidden/>
          </w:rPr>
          <w:instrText xml:space="preserve"> PAGEREF _Toc375145644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478F2">
      <w:pPr>
        <w:pStyle w:val="TOC1"/>
        <w:rPr>
          <w:rFonts w:asciiTheme="minorHAnsi" w:eastAsiaTheme="minorEastAsia" w:hAnsiTheme="minorHAnsi" w:cstheme="minorBidi"/>
          <w:b w:val="0"/>
          <w:bCs w:val="0"/>
          <w:smallCaps w:val="0"/>
          <w:color w:val="auto"/>
          <w:kern w:val="0"/>
          <w:sz w:val="22"/>
          <w:szCs w:val="22"/>
          <w:lang w:eastAsia="en-US"/>
        </w:rPr>
      </w:pPr>
      <w:hyperlink w:anchor="_Toc375145645" w:history="1">
        <w:r w:rsidR="009250C5" w:rsidRPr="008631C2">
          <w:rPr>
            <w:rStyle w:val="Hyperlink"/>
            <w:rFonts w:ascii="Times New Roman" w:hAnsi="Times New Roman"/>
          </w:rPr>
          <w:t>2.0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vMR TEMPLATES</w:t>
        </w:r>
        <w:r w:rsidR="009250C5">
          <w:rPr>
            <w:webHidden/>
          </w:rPr>
          <w:tab/>
        </w:r>
        <w:r w:rsidR="00B12310">
          <w:rPr>
            <w:webHidden/>
          </w:rPr>
          <w:fldChar w:fldCharType="begin"/>
        </w:r>
        <w:r w:rsidR="009250C5">
          <w:rPr>
            <w:webHidden/>
          </w:rPr>
          <w:instrText xml:space="preserve"> PAGEREF _Toc375145645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46" w:history="1">
        <w:r w:rsidR="009250C5" w:rsidRPr="008631C2">
          <w:rPr>
            <w:rStyle w:val="Hyperlink"/>
            <w:caps/>
          </w:rPr>
          <w:t>2.1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Overview of Templates</w:t>
        </w:r>
        <w:r w:rsidR="009250C5">
          <w:rPr>
            <w:webHidden/>
          </w:rPr>
          <w:tab/>
        </w:r>
        <w:r w:rsidR="00B12310">
          <w:rPr>
            <w:webHidden/>
          </w:rPr>
          <w:fldChar w:fldCharType="begin"/>
        </w:r>
        <w:r w:rsidR="009250C5">
          <w:rPr>
            <w:webHidden/>
          </w:rPr>
          <w:instrText xml:space="preserve"> PAGEREF _Toc375145646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478F2">
      <w:pPr>
        <w:pStyle w:val="TOC2"/>
        <w:rPr>
          <w:rFonts w:asciiTheme="minorHAnsi" w:eastAsiaTheme="minorEastAsia" w:hAnsiTheme="minorHAnsi" w:cstheme="minorBidi"/>
          <w:bCs w:val="0"/>
          <w:smallCaps w:val="0"/>
          <w:color w:val="auto"/>
          <w:kern w:val="0"/>
          <w:sz w:val="22"/>
          <w:szCs w:val="22"/>
          <w:lang w:eastAsia="en-US"/>
        </w:rPr>
      </w:pPr>
      <w:hyperlink w:anchor="_Toc375145647" w:history="1">
        <w:r w:rsidR="009250C5" w:rsidRPr="008631C2">
          <w:rPr>
            <w:rStyle w:val="Hyperlink"/>
            <w:caps/>
          </w:rPr>
          <w:t>2.2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Additional Templates Under Review and/or Development</w:t>
        </w:r>
        <w:r w:rsidR="009250C5">
          <w:rPr>
            <w:webHidden/>
          </w:rPr>
          <w:tab/>
        </w:r>
        <w:r w:rsidR="00B12310">
          <w:rPr>
            <w:webHidden/>
          </w:rPr>
          <w:fldChar w:fldCharType="begin"/>
        </w:r>
        <w:r w:rsidR="009250C5">
          <w:rPr>
            <w:webHidden/>
          </w:rPr>
          <w:instrText xml:space="preserve"> PAGEREF _Toc375145647 \h </w:instrText>
        </w:r>
        <w:r w:rsidR="00B12310">
          <w:rPr>
            <w:webHidden/>
          </w:rPr>
        </w:r>
        <w:r w:rsidR="00B12310">
          <w:rPr>
            <w:webHidden/>
          </w:rPr>
          <w:fldChar w:fldCharType="separate"/>
        </w:r>
        <w:r w:rsidR="009250C5">
          <w:rPr>
            <w:webHidden/>
          </w:rPr>
          <w:t>8</w:t>
        </w:r>
        <w:r w:rsidR="00B12310">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5145637"/>
      <w:r w:rsidRPr="00C466F3">
        <w:rPr>
          <w:rFonts w:ascii="Times New Roman" w:hAnsi="Times New Roman"/>
        </w:rPr>
        <w:lastRenderedPageBreak/>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w:t>
      </w:r>
      <w:r w:rsidR="00850307">
        <w:t xml:space="preserve"> Architecture (QRDA) standards as specified in the “</w:t>
      </w:r>
      <w:r w:rsidR="00850307" w:rsidRPr="00850307">
        <w:t>HL7 Implementation Guide for CDA® Release 2: IHE Health Story Consolidation, Release 1.1 - US Realm</w:t>
      </w:r>
      <w:r w:rsidR="00850307">
        <w:t>” and the “</w:t>
      </w:r>
      <w:r w:rsidR="00850307" w:rsidRPr="00850307">
        <w:t>HL7 Implementation Guide for CDA® R2: Quality Reporting Document Architecture - Category I (QRDA) DSTU Release 2 (US Realm)</w:t>
      </w:r>
      <w:r w:rsidR="00B06974">
        <w:t>”</w:t>
      </w:r>
      <w:r w:rsidR="00850307">
        <w:t xml:space="preserve"> standards.</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5145638"/>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5145639"/>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5145640"/>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5145641"/>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5145642"/>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843B3">
        <w:t>s</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4843B3" w:rsidRDefault="004843B3" w:rsidP="008E73E3">
      <w:pPr>
        <w:pStyle w:val="ListParagraph"/>
        <w:numPr>
          <w:ilvl w:val="0"/>
          <w:numId w:val="32"/>
        </w:numPr>
      </w:pPr>
      <w:r w:rsidRPr="00850307">
        <w:t>HL7 Implementation Guide for CDA® Release 2: IHE Health Story Consolidation, Release 1.1 - US Realm</w:t>
      </w:r>
    </w:p>
    <w:p w:rsidR="004843B3" w:rsidRDefault="004843B3" w:rsidP="008E73E3">
      <w:pPr>
        <w:pStyle w:val="ListParagraph"/>
        <w:numPr>
          <w:ilvl w:val="0"/>
          <w:numId w:val="32"/>
        </w:numPr>
      </w:pPr>
      <w:r w:rsidRPr="00850307">
        <w:t>HL7 Implementation Guide for CDA® R2: Quality Reporting Document Architecture - Category I (QRDA) DSTU Release 2 (US Realm)</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5145643"/>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5145644"/>
      <w:r w:rsidRPr="00C466F3">
        <w:rPr>
          <w:rFonts w:ascii="Times New Roman" w:hAnsi="Times New Roman"/>
        </w:rPr>
        <w:lastRenderedPageBreak/>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5145645"/>
      <w:bookmarkEnd w:id="27"/>
      <w:bookmarkEnd w:id="28"/>
      <w:bookmarkEnd w:id="29"/>
      <w:r w:rsidRPr="00C466F3">
        <w:rPr>
          <w:rFonts w:ascii="Times New Roman" w:hAnsi="Times New Roman"/>
          <w:caps w:val="0"/>
        </w:rPr>
        <w:lastRenderedPageBreak/>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9250C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5145646"/>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75228B">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xml:space="preserve">.  Note that many of these constraints are defined in Chapter 2 of </w:t>
      </w:r>
      <w:r w:rsidR="0075228B">
        <w:rPr>
          <w:lang w:eastAsia="de-DE"/>
        </w:rPr>
        <w:t>the “</w:t>
      </w:r>
      <w:r w:rsidR="0075228B" w:rsidRPr="0075228B">
        <w:rPr>
          <w:lang w:eastAsia="de-DE"/>
        </w:rPr>
        <w:t>HL7 Version 3 Standard: Refinement, Constraint, and Localization (RCL) to V3 Messages, R2</w:t>
      </w:r>
      <w:r w:rsidR="0075228B">
        <w:rPr>
          <w:lang w:eastAsia="de-DE"/>
        </w:rPr>
        <w:t>” specification (</w:t>
      </w:r>
      <w:hyperlink r:id="rId15" w:history="1">
        <w:r w:rsidR="002F286C" w:rsidRPr="009F64B9">
          <w:rPr>
            <w:rStyle w:val="Hyperlink"/>
            <w:rFonts w:ascii="Times New Roman" w:hAnsi="Times New Roman"/>
            <w:lang w:eastAsia="de-DE"/>
          </w:rPr>
          <w:t>http://www.hl7.org/implement/standards/product_brief.cfm?product_id=76</w:t>
        </w:r>
      </w:hyperlink>
      <w:r w:rsidR="0075228B">
        <w:rPr>
          <w:lang w:eastAsia="de-DE"/>
        </w:rPr>
        <w:t>)</w:t>
      </w:r>
      <w:r w:rsidR="0028584E">
        <w:rPr>
          <w:lang w:eastAsia="de-DE"/>
        </w:rPr>
        <w:t>.</w:t>
      </w:r>
      <w:r w:rsidR="002F286C">
        <w:rPr>
          <w:lang w:eastAsia="de-DE"/>
        </w:rPr>
        <w:t xml:space="preserve"> Those constraints defined in that chapter</w:t>
      </w:r>
      <w:r w:rsidR="0075228B">
        <w:rPr>
          <w:lang w:eastAsia="de-DE"/>
        </w:rPr>
        <w:t xml:space="preserve"> </w:t>
      </w:r>
      <w:r w:rsidR="002F286C">
        <w:rPr>
          <w:lang w:eastAsia="de-DE"/>
        </w:rPr>
        <w:t>are specified with an asterisk below:</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r w:rsidR="002F286C">
        <w:rPr>
          <w:lang w:eastAsia="de-DE"/>
        </w:rPr>
        <w:t>*</w:t>
      </w:r>
    </w:p>
    <w:p w:rsidR="00F96768" w:rsidRDefault="00F96768" w:rsidP="00F35566">
      <w:pPr>
        <w:numPr>
          <w:ilvl w:val="1"/>
          <w:numId w:val="35"/>
        </w:numPr>
        <w:rPr>
          <w:lang w:eastAsia="de-DE"/>
        </w:rPr>
      </w:pPr>
      <w:r>
        <w:rPr>
          <w:lang w:eastAsia="de-DE"/>
        </w:rPr>
        <w:t>Whether the data element is mandatory (i.e., must be present in instances and be non-null)</w:t>
      </w:r>
      <w:r w:rsidR="002F286C">
        <w:rPr>
          <w:lang w:eastAsia="de-DE"/>
        </w:rPr>
        <w:t>*</w:t>
      </w:r>
    </w:p>
    <w:p w:rsidR="00F96768" w:rsidRDefault="00F96768" w:rsidP="00A2773F">
      <w:pPr>
        <w:numPr>
          <w:ilvl w:val="2"/>
          <w:numId w:val="35"/>
        </w:numPr>
        <w:rPr>
          <w:lang w:eastAsia="de-DE"/>
        </w:rPr>
      </w:pPr>
      <w:r>
        <w:rPr>
          <w:lang w:eastAsia="de-DE"/>
        </w:rPr>
        <w:t xml:space="preserve">Because there are no nullFlavors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non-mdantory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r w:rsidR="002F286C">
        <w:rPr>
          <w:lang w:eastAsia="de-DE"/>
        </w:rPr>
        <w:t>*</w:t>
      </w:r>
    </w:p>
    <w:p w:rsidR="003906D4" w:rsidRDefault="003906D4" w:rsidP="003906D4">
      <w:pPr>
        <w:numPr>
          <w:ilvl w:val="2"/>
          <w:numId w:val="35"/>
        </w:numPr>
        <w:rPr>
          <w:lang w:eastAsia="de-DE"/>
        </w:rPr>
      </w:pPr>
      <w:r>
        <w:rPr>
          <w:lang w:eastAsia="de-DE"/>
        </w:rPr>
        <w:t>R means required</w:t>
      </w:r>
      <w:r w:rsidR="002F286C">
        <w:rPr>
          <w:lang w:eastAsia="de-DE"/>
        </w:rPr>
        <w:t>*</w:t>
      </w:r>
      <w:r>
        <w:rPr>
          <w:lang w:eastAsia="de-DE"/>
        </w:rPr>
        <w:t>.  This conformance requirement is placed on a data element when at least one of the following conditions applies:</w:t>
      </w:r>
    </w:p>
    <w:p w:rsidR="006B5CDB" w:rsidRDefault="006B5CDB" w:rsidP="00A2773F">
      <w:pPr>
        <w:numPr>
          <w:ilvl w:val="3"/>
          <w:numId w:val="35"/>
        </w:numPr>
        <w:rPr>
          <w:lang w:eastAsia="de-DE"/>
        </w:rPr>
      </w:pPr>
      <w:r>
        <w:rPr>
          <w:lang w:eastAsia="de-DE"/>
        </w:rPr>
        <w:lastRenderedPageBreak/>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C62B42">
      <w:pPr>
        <w:numPr>
          <w:ilvl w:val="1"/>
          <w:numId w:val="35"/>
        </w:numPr>
        <w:rPr>
          <w:lang w:eastAsia="de-DE"/>
        </w:rPr>
      </w:pPr>
      <w:r>
        <w:rPr>
          <w:lang w:eastAsia="de-DE"/>
        </w:rPr>
        <w:t>Whether the data element has a fixed value in all instances</w:t>
      </w:r>
      <w:r w:rsidR="002F286C">
        <w:rPr>
          <w:lang w:eastAsia="de-DE"/>
        </w:rPr>
        <w:t>*</w:t>
      </w:r>
      <w:r w:rsidR="00C62B42">
        <w:rPr>
          <w:lang w:eastAsia="de-DE"/>
        </w:rPr>
        <w:t xml:space="preserve">. </w:t>
      </w:r>
      <w:r w:rsidR="00C62B42" w:rsidRPr="00C62B42">
        <w:rPr>
          <w:lang w:eastAsia="de-DE"/>
        </w:rPr>
        <w:t xml:space="preserve">An example of a fixed value is where the template ID of an instance using a particular template must always be the same.  </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r w:rsidR="00000B0F">
        <w:rPr>
          <w:lang w:eastAsia="de-DE"/>
        </w:rPr>
        <w:t>. Note that such conditional constraints are currently specified using narrative free text.</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r w:rsidR="00340744">
        <w:rPr>
          <w:lang w:eastAsia="de-DE"/>
        </w:rPr>
        <w:t>*</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1D08F8" w:rsidRDefault="001D08F8" w:rsidP="001D08F8">
      <w:pPr>
        <w:rPr>
          <w:lang w:eastAsia="de-DE"/>
        </w:rPr>
      </w:pPr>
    </w:p>
    <w:p w:rsidR="001D08F8" w:rsidRDefault="001D08F8" w:rsidP="001D08F8">
      <w:pPr>
        <w:rPr>
          <w:lang w:eastAsia="de-DE"/>
        </w:rPr>
      </w:pPr>
      <w:r>
        <w:rPr>
          <w:lang w:eastAsia="de-DE"/>
        </w:rPr>
        <w:t xml:space="preserve">Also of note: </w:t>
      </w:r>
    </w:p>
    <w:p w:rsidR="001D08F8" w:rsidRDefault="001D08F8" w:rsidP="001D08F8">
      <w:pPr>
        <w:pStyle w:val="ListParagraph"/>
        <w:numPr>
          <w:ilvl w:val="0"/>
          <w:numId w:val="40"/>
        </w:numPr>
        <w:rPr>
          <w:lang w:eastAsia="de-DE"/>
        </w:rPr>
      </w:pPr>
      <w:r>
        <w:rPr>
          <w:lang w:eastAsia="de-DE"/>
        </w:rPr>
        <w:t>The subject of a clinical statement is identified in the EvaluatedPerson object which contains the clinical statement. Therefore, individual clinical statements do not specify a patient identifier. If one desired this attribute to be ava</w:t>
      </w:r>
      <w:r w:rsidR="001835BE">
        <w:rPr>
          <w:lang w:eastAsia="de-DE"/>
        </w:rPr>
        <w:t>ila</w:t>
      </w:r>
      <w:bookmarkStart w:id="32" w:name="_GoBack"/>
      <w:bookmarkEnd w:id="32"/>
      <w:r>
        <w:rPr>
          <w:lang w:eastAsia="de-DE"/>
        </w:rPr>
        <w:t xml:space="preserve">ble with each clinical statement, this could be done using the clinical statement.evaluatedPersonId attribute. </w:t>
      </w:r>
    </w:p>
    <w:p w:rsidR="001D08F8" w:rsidRDefault="001D08F8" w:rsidP="001D08F8">
      <w:pPr>
        <w:pStyle w:val="ListParagraph"/>
        <w:numPr>
          <w:ilvl w:val="0"/>
          <w:numId w:val="40"/>
        </w:numPr>
        <w:rPr>
          <w:lang w:eastAsia="de-DE"/>
        </w:rPr>
      </w:pPr>
      <w:r>
        <w:rPr>
          <w:lang w:eastAsia="de-DE"/>
        </w:rPr>
        <w:t>The provider associated with a clinical statement can be identified using a related entity relationship. However, because such information is typically not required for clinical decision support, it is not included in this specification.</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5145647"/>
      <w:r>
        <w:t>Additional Templates Under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emplates to support handling of unvalidated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lastRenderedPageBreak/>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A2773F" w:rsidRDefault="0091508D" w:rsidP="00980956">
      <w:pPr>
        <w:pStyle w:val="ListParagraph"/>
        <w:numPr>
          <w:ilvl w:val="1"/>
          <w:numId w:val="35"/>
        </w:numPr>
      </w:pPr>
      <w:r>
        <w:t>The patient has completed a vaccination series, is immune against disease X, and no further doses are needed</w:t>
      </w:r>
    </w:p>
    <w:p w:rsidR="00980956" w:rsidRPr="00A2773F" w:rsidRDefault="00980956" w:rsidP="00980956">
      <w:pPr>
        <w:pStyle w:val="ListParagraph"/>
        <w:numPr>
          <w:ilvl w:val="0"/>
          <w:numId w:val="35"/>
        </w:numPr>
      </w:pPr>
      <w:r>
        <w:t>Enhancements to observation templates to allow the expression of result report times (as opposed to physiologic times) and associated report statuses such as ‘preliminary’, ‘final’.</w:t>
      </w:r>
    </w:p>
    <w:sectPr w:rsidR="00980956"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8F2" w:rsidRDefault="005478F2">
      <w:r>
        <w:separator/>
      </w:r>
    </w:p>
  </w:endnote>
  <w:endnote w:type="continuationSeparator" w:id="0">
    <w:p w:rsidR="005478F2" w:rsidRDefault="0054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1835BE">
      <w:rPr>
        <w:rFonts w:ascii="Times New Roman" w:hAnsi="Times New Roman" w:cs="Times New Roman"/>
        <w:noProof/>
        <w:sz w:val="20"/>
        <w:szCs w:val="20"/>
      </w:rPr>
      <w:t>8</w:t>
    </w:r>
    <w:r w:rsidR="00B12310"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1835BE">
      <w:rPr>
        <w:rFonts w:ascii="Times New Roman" w:hAnsi="Times New Roman" w:cs="Times New Roman"/>
        <w:noProof/>
        <w:sz w:val="20"/>
        <w:szCs w:val="20"/>
      </w:rPr>
      <w:t>7</w:t>
    </w:r>
    <w:r w:rsidR="00B12310"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8F2" w:rsidRDefault="005478F2">
      <w:r>
        <w:separator/>
      </w:r>
    </w:p>
  </w:footnote>
  <w:footnote w:type="continuationSeparator" w:id="0">
    <w:p w:rsidR="005478F2" w:rsidRDefault="005478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1B624B3"/>
    <w:multiLevelType w:val="hybridMultilevel"/>
    <w:tmpl w:val="3EC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0">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9"/>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6"/>
  </w:num>
  <w:num w:numId="11">
    <w:abstractNumId w:val="28"/>
  </w:num>
  <w:num w:numId="12">
    <w:abstractNumId w:val="12"/>
  </w:num>
  <w:num w:numId="13">
    <w:abstractNumId w:val="25"/>
  </w:num>
  <w:num w:numId="14">
    <w:abstractNumId w:val="22"/>
  </w:num>
  <w:num w:numId="15">
    <w:abstractNumId w:val="3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1"/>
  </w:num>
  <w:num w:numId="25">
    <w:abstractNumId w:val="35"/>
  </w:num>
  <w:num w:numId="26">
    <w:abstractNumId w:val="8"/>
  </w:num>
  <w:num w:numId="27">
    <w:abstractNumId w:val="13"/>
  </w:num>
  <w:num w:numId="28">
    <w:abstractNumId w:val="33"/>
  </w:num>
  <w:num w:numId="29">
    <w:abstractNumId w:val="18"/>
  </w:num>
  <w:num w:numId="30">
    <w:abstractNumId w:val="17"/>
  </w:num>
  <w:num w:numId="31">
    <w:abstractNumId w:val="27"/>
  </w:num>
  <w:num w:numId="32">
    <w:abstractNumId w:val="24"/>
  </w:num>
  <w:num w:numId="33">
    <w:abstractNumId w:val="32"/>
  </w:num>
  <w:num w:numId="34">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FF"/>
    <w:rsid w:val="00000B0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66B76"/>
    <w:rsid w:val="001835BE"/>
    <w:rsid w:val="00197009"/>
    <w:rsid w:val="001A6F33"/>
    <w:rsid w:val="001B2DB7"/>
    <w:rsid w:val="001B684B"/>
    <w:rsid w:val="001C3E38"/>
    <w:rsid w:val="001D08F8"/>
    <w:rsid w:val="001E7B13"/>
    <w:rsid w:val="001F0F97"/>
    <w:rsid w:val="001F583D"/>
    <w:rsid w:val="00207C67"/>
    <w:rsid w:val="00222292"/>
    <w:rsid w:val="002477F6"/>
    <w:rsid w:val="0025456A"/>
    <w:rsid w:val="00257756"/>
    <w:rsid w:val="00262045"/>
    <w:rsid w:val="002705DD"/>
    <w:rsid w:val="00282538"/>
    <w:rsid w:val="0028584E"/>
    <w:rsid w:val="00291480"/>
    <w:rsid w:val="00297FBF"/>
    <w:rsid w:val="002A3F7D"/>
    <w:rsid w:val="002C1757"/>
    <w:rsid w:val="002E2AD3"/>
    <w:rsid w:val="002F286C"/>
    <w:rsid w:val="003073B8"/>
    <w:rsid w:val="0031225C"/>
    <w:rsid w:val="003366B3"/>
    <w:rsid w:val="00340744"/>
    <w:rsid w:val="00344DC7"/>
    <w:rsid w:val="00346ADF"/>
    <w:rsid w:val="00387867"/>
    <w:rsid w:val="00390300"/>
    <w:rsid w:val="003906D4"/>
    <w:rsid w:val="00391DAF"/>
    <w:rsid w:val="003A74C5"/>
    <w:rsid w:val="003E625D"/>
    <w:rsid w:val="00432159"/>
    <w:rsid w:val="004447FE"/>
    <w:rsid w:val="00445E4E"/>
    <w:rsid w:val="00481AAC"/>
    <w:rsid w:val="004830B2"/>
    <w:rsid w:val="004843B3"/>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478F2"/>
    <w:rsid w:val="005576C4"/>
    <w:rsid w:val="00571C70"/>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5228B"/>
    <w:rsid w:val="00767195"/>
    <w:rsid w:val="007803DE"/>
    <w:rsid w:val="00792BFD"/>
    <w:rsid w:val="007A6683"/>
    <w:rsid w:val="007D44AD"/>
    <w:rsid w:val="007D5B59"/>
    <w:rsid w:val="007D74D5"/>
    <w:rsid w:val="0080477F"/>
    <w:rsid w:val="0081235B"/>
    <w:rsid w:val="00825F13"/>
    <w:rsid w:val="008375A6"/>
    <w:rsid w:val="00840E9A"/>
    <w:rsid w:val="00850307"/>
    <w:rsid w:val="0086031B"/>
    <w:rsid w:val="008833B9"/>
    <w:rsid w:val="00896F79"/>
    <w:rsid w:val="008A4BA2"/>
    <w:rsid w:val="008A56A8"/>
    <w:rsid w:val="008B4574"/>
    <w:rsid w:val="008B55EC"/>
    <w:rsid w:val="008C3168"/>
    <w:rsid w:val="008E11C1"/>
    <w:rsid w:val="008E4351"/>
    <w:rsid w:val="008E73E3"/>
    <w:rsid w:val="00912BFD"/>
    <w:rsid w:val="0091508D"/>
    <w:rsid w:val="009250C5"/>
    <w:rsid w:val="00937EBC"/>
    <w:rsid w:val="009443E6"/>
    <w:rsid w:val="009636C1"/>
    <w:rsid w:val="00965DE0"/>
    <w:rsid w:val="00980956"/>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06974"/>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62B42"/>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516203-94E7-4841-A5B8-EFB01362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l7.org/implement/standards/product_brief.cfm?product_id=7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inc.org/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4C9ED1E9-9B17-4A50-B6BD-674C621C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13501</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Claude Nanjo</cp:lastModifiedBy>
  <cp:revision>11</cp:revision>
  <dcterms:created xsi:type="dcterms:W3CDTF">2013-12-19T14:10:00Z</dcterms:created>
  <dcterms:modified xsi:type="dcterms:W3CDTF">2014-02-25T19:38:00Z</dcterms:modified>
</cp:coreProperties>
</file>