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A6671" w14:textId="165DB326" w:rsidR="00472AA8" w:rsidRPr="00F571E8" w:rsidRDefault="00472AA8" w:rsidP="00F571E8">
      <w:pPr>
        <w:tabs>
          <w:tab w:val="right" w:pos="9360"/>
        </w:tabs>
        <w:jc w:val="right"/>
        <w:rPr>
          <w:rFonts w:ascii="Arial Narrow" w:eastAsia="Times New Roman" w:hAnsi="Arial Narrow" w:cs="Times New Roman"/>
          <w:b w:val="0"/>
          <w:color w:val="auto"/>
          <w:spacing w:val="0"/>
          <w:sz w:val="32"/>
          <w:szCs w:val="32"/>
          <w:lang w:val="en-US"/>
        </w:rPr>
      </w:pPr>
      <w:r w:rsidRPr="00F571E8">
        <w:rPr>
          <w:rFonts w:ascii="Arial Narrow" w:eastAsia="Times New Roman" w:hAnsi="Arial Narrow" w:cs="Times New Roman"/>
          <w:b w:val="0"/>
          <w:color w:val="auto"/>
          <w:spacing w:val="0"/>
          <w:sz w:val="32"/>
          <w:szCs w:val="32"/>
          <w:lang w:val="en-US"/>
        </w:rPr>
        <w:t>HL7_CDS_VMR_XML4VMR_R1_I1_2013SEP</w:t>
      </w:r>
    </w:p>
    <w:p w14:paraId="46CB3C76" w14:textId="77777777" w:rsidR="00472AA8" w:rsidRDefault="00472AA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54199526" w14:textId="77777777" w:rsidR="00F571E8" w:rsidRPr="00501F92" w:rsidRDefault="00F571E8" w:rsidP="00F571E8">
      <w:pPr>
        <w:tabs>
          <w:tab w:val="right" w:pos="8640"/>
        </w:tabs>
        <w:rPr>
          <w:rFonts w:ascii="Arial Narrow" w:eastAsia="Times New Roman" w:hAnsi="Arial Narrow" w:cs="Arial"/>
          <w:b w:val="0"/>
          <w:color w:val="auto"/>
          <w:spacing w:val="0"/>
          <w:sz w:val="32"/>
          <w:szCs w:val="32"/>
          <w:lang w:val="en-US"/>
        </w:rPr>
      </w:pPr>
      <w:r>
        <w:rPr>
          <w:rFonts w:ascii="Arial Narrow" w:eastAsia="Times New Roman" w:hAnsi="Arial Narrow" w:cs="Arial"/>
          <w:b w:val="0"/>
          <w:noProof/>
          <w:color w:val="auto"/>
          <w:spacing w:val="0"/>
          <w:sz w:val="32"/>
          <w:szCs w:val="32"/>
          <w:lang w:val="en-US"/>
        </w:rPr>
        <w:drawing>
          <wp:inline distT="0" distB="0" distL="0" distR="0" wp14:anchorId="69F4F663" wp14:editId="759D2FE5">
            <wp:extent cx="1371600" cy="1409700"/>
            <wp:effectExtent l="19050" t="0" r="0" b="0"/>
            <wp:docPr id="6" name="Picture 6" descr="HL7-International-Logo_2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L7-International-Logo_2_x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BB1F6" w14:textId="77777777" w:rsidR="00F571E8" w:rsidRPr="00501F92" w:rsidRDefault="00F571E8" w:rsidP="00F571E8">
      <w:pPr>
        <w:tabs>
          <w:tab w:val="right" w:pos="8640"/>
        </w:tabs>
        <w:rPr>
          <w:rFonts w:ascii="Arial Narrow" w:eastAsia="Times New Roman" w:hAnsi="Arial Narrow" w:cs="Arial"/>
          <w:b w:val="0"/>
          <w:color w:val="auto"/>
          <w:spacing w:val="0"/>
          <w:sz w:val="32"/>
          <w:szCs w:val="32"/>
          <w:lang w:val="en-US"/>
        </w:rPr>
      </w:pPr>
    </w:p>
    <w:p w14:paraId="48671E6E" w14:textId="77777777" w:rsidR="00F571E8" w:rsidRPr="00501F92" w:rsidRDefault="00F571E8" w:rsidP="00F571E8">
      <w:pPr>
        <w:jc w:val="right"/>
        <w:rPr>
          <w:rFonts w:ascii="Arial Narrow" w:eastAsia="Times New Roman" w:hAnsi="Arial Narrow" w:cs="Arial"/>
          <w:b w:val="0"/>
          <w:color w:val="auto"/>
          <w:spacing w:val="0"/>
          <w:sz w:val="32"/>
          <w:szCs w:val="32"/>
          <w:lang w:val="de-DE"/>
        </w:rPr>
      </w:pPr>
    </w:p>
    <w:p w14:paraId="370749BD" w14:textId="77777777" w:rsidR="00F571E8" w:rsidRPr="00501F92" w:rsidRDefault="00F571E8" w:rsidP="00F571E8">
      <w:pPr>
        <w:jc w:val="center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2DA4A117" w14:textId="77777777" w:rsidR="00F571E8" w:rsidRPr="00501F92" w:rsidRDefault="00F571E8" w:rsidP="00F571E8">
      <w:pPr>
        <w:jc w:val="right"/>
        <w:rPr>
          <w:rFonts w:ascii="Arial" w:eastAsia="Times New Roman" w:hAnsi="Arial" w:cs="Times New Roman"/>
          <w:color w:val="auto"/>
          <w:spacing w:val="0"/>
          <w:sz w:val="36"/>
          <w:szCs w:val="36"/>
          <w:u w:val="single"/>
          <w:lang w:val="en-US"/>
        </w:rPr>
      </w:pPr>
      <w:r w:rsidRPr="00501F92">
        <w:rPr>
          <w:rFonts w:ascii="Arial" w:eastAsia="Times New Roman" w:hAnsi="Arial" w:cs="Times New Roman"/>
          <w:color w:val="auto"/>
          <w:spacing w:val="0"/>
          <w:sz w:val="36"/>
          <w:szCs w:val="36"/>
          <w:u w:val="single"/>
          <w:lang w:val="en-US"/>
        </w:rPr>
        <w:t>HL7 Virtual Medical Record for Clinical Decision Support (vMR-CDS) XML Specification, Release 1</w:t>
      </w:r>
    </w:p>
    <w:p w14:paraId="1FC4C97F" w14:textId="3BE00732" w:rsidR="00F571E8" w:rsidRPr="00501F92" w:rsidRDefault="00F571E8" w:rsidP="00F571E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 w:val="0"/>
          <w:color w:val="auto"/>
          <w:spacing w:val="0"/>
          <w:sz w:val="36"/>
          <w:szCs w:val="36"/>
          <w:lang w:val="en-US"/>
        </w:rPr>
        <w:t>December 2013</w:t>
      </w:r>
    </w:p>
    <w:p w14:paraId="5B72D451" w14:textId="77777777" w:rsidR="00F571E8" w:rsidRPr="00501F92" w:rsidRDefault="00F571E8" w:rsidP="00F571E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36"/>
          <w:szCs w:val="36"/>
          <w:lang w:val="en-US"/>
        </w:rPr>
      </w:pPr>
    </w:p>
    <w:p w14:paraId="5F4816B1" w14:textId="36FED2C5" w:rsidR="00F571E8" w:rsidRPr="00501F92" w:rsidRDefault="00F571E8" w:rsidP="00F571E8">
      <w:pPr>
        <w:jc w:val="right"/>
        <w:rPr>
          <w:rFonts w:ascii="Times New Roman" w:eastAsia="Times New Roman" w:hAnsi="Times New Roman" w:cs="Times New Roman"/>
          <w:color w:val="auto"/>
          <w:spacing w:val="0"/>
          <w:sz w:val="36"/>
          <w:szCs w:val="36"/>
          <w:lang w:val="en-US"/>
        </w:rPr>
      </w:pPr>
      <w:r w:rsidRPr="00501F92">
        <w:rPr>
          <w:rFonts w:ascii="Times New Roman" w:eastAsia="Times New Roman" w:hAnsi="Times New Roman" w:cs="Times New Roman"/>
          <w:color w:val="auto"/>
          <w:spacing w:val="0"/>
          <w:sz w:val="36"/>
          <w:szCs w:val="36"/>
          <w:lang w:val="en-US"/>
        </w:rPr>
        <w:t xml:space="preserve">HL7 </w:t>
      </w:r>
      <w:r>
        <w:rPr>
          <w:rFonts w:ascii="Times New Roman" w:eastAsia="Times New Roman" w:hAnsi="Times New Roman" w:cs="Times New Roman"/>
          <w:color w:val="auto"/>
          <w:spacing w:val="0"/>
          <w:sz w:val="36"/>
          <w:szCs w:val="36"/>
          <w:lang w:val="en-US"/>
        </w:rPr>
        <w:t>Informative Specification</w:t>
      </w:r>
    </w:p>
    <w:p w14:paraId="6B9B7A63" w14:textId="77777777" w:rsidR="00F571E8" w:rsidRPr="00501F92" w:rsidRDefault="00F571E8" w:rsidP="00F571E8">
      <w:pPr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46B30BFE" w14:textId="77777777" w:rsidR="00F571E8" w:rsidRPr="00501F92" w:rsidRDefault="00F571E8" w:rsidP="00F571E8">
      <w:pPr>
        <w:jc w:val="right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</w:pPr>
      <w:r w:rsidRPr="00501F9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  <w:t>Sponsored by</w:t>
      </w:r>
      <w:proofErr w:type="gramStart"/>
      <w:r w:rsidRPr="00501F9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  <w:t>:</w:t>
      </w:r>
      <w:proofErr w:type="gramEnd"/>
      <w:r w:rsidRPr="00501F9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  <w:br/>
        <w:t xml:space="preserve">Implementable Technology Specifications Work Group </w:t>
      </w:r>
    </w:p>
    <w:p w14:paraId="5DDFFBFE" w14:textId="77777777" w:rsidR="00F571E8" w:rsidRPr="00501F92" w:rsidRDefault="00F571E8" w:rsidP="00F571E8">
      <w:pPr>
        <w:jc w:val="right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</w:pPr>
      <w:r w:rsidRPr="00501F92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  <w:lang w:val="en-US"/>
        </w:rPr>
        <w:t xml:space="preserve">Clinical Decision Support Work Group </w:t>
      </w:r>
    </w:p>
    <w:p w14:paraId="74D32E9D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64B03A17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57B16456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4B632B3B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367E572B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27E2D335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43CD4FC7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367A4F9F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0D4D67CC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6D93B933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5734CD4A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1FB48227" w14:textId="77777777" w:rsidR="00F571E8" w:rsidRPr="00501F92" w:rsidRDefault="00F571E8" w:rsidP="00F571E8">
      <w:pPr>
        <w:spacing w:after="120"/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0"/>
          <w:lang w:val="en-US"/>
        </w:rPr>
      </w:pPr>
    </w:p>
    <w:p w14:paraId="6AF1C5B7" w14:textId="77777777" w:rsidR="00F571E8" w:rsidRPr="00501F92" w:rsidRDefault="00F571E8" w:rsidP="00F571E8">
      <w:pPr>
        <w:spacing w:after="100"/>
        <w:rPr>
          <w:rFonts w:ascii="Times New Roman" w:eastAsia="Times New Roman" w:hAnsi="Times New Roman" w:cs="Times New Roman"/>
          <w:color w:val="auto"/>
          <w:spacing w:val="0"/>
          <w:sz w:val="18"/>
          <w:szCs w:val="18"/>
          <w:lang w:val="en-US"/>
        </w:rPr>
      </w:pPr>
      <w:r w:rsidRPr="00501F92"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  <w:t xml:space="preserve">Copyright © 2013 Health Level Seven International ® ALL RIGHTS RESERVED. </w:t>
      </w:r>
      <w:r w:rsidRPr="00501F92">
        <w:rPr>
          <w:rFonts w:ascii="Times New Roman" w:eastAsia="Times New Roman" w:hAnsi="Times New Roman" w:cs="Times New Roman"/>
          <w:b w:val="0"/>
          <w:color w:val="auto"/>
          <w:spacing w:val="0"/>
          <w:sz w:val="18"/>
          <w:szCs w:val="18"/>
          <w:lang w:val="en-US"/>
        </w:rPr>
        <w:t xml:space="preserve">The reproduction of this material in any form is strictly forbidden without the written permission of the publisher.  </w:t>
      </w:r>
      <w:r w:rsidRPr="00501F92"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  <w:t xml:space="preserve">HL7 and Health Level Seven are registered trademarks of Health Level Seven International. </w:t>
      </w:r>
      <w:proofErr w:type="gramStart"/>
      <w:r w:rsidRPr="00501F92"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  <w:t>Reg. U.S. Pat &amp; TM Off</w:t>
      </w:r>
      <w:r w:rsidRPr="00501F92">
        <w:rPr>
          <w:rFonts w:ascii="Times New Roman" w:eastAsia="Times New Roman" w:hAnsi="Times New Roman" w:cs="Times New Roman"/>
          <w:color w:val="auto"/>
          <w:spacing w:val="0"/>
          <w:sz w:val="18"/>
          <w:szCs w:val="18"/>
          <w:lang w:val="en-US"/>
        </w:rPr>
        <w:t>.</w:t>
      </w:r>
      <w:proofErr w:type="gramEnd"/>
    </w:p>
    <w:p w14:paraId="583AFC7C" w14:textId="77777777" w:rsidR="00F571E8" w:rsidRPr="00501F92" w:rsidRDefault="00F571E8" w:rsidP="00F571E8">
      <w:pPr>
        <w:spacing w:after="100"/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</w:pPr>
      <w:r w:rsidRPr="00501F92"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  <w:t xml:space="preserve">Use of this material is governed by HL7's </w:t>
      </w:r>
      <w:hyperlink r:id="rId9" w:history="1">
        <w:r w:rsidRPr="00501F92">
          <w:rPr>
            <w:rFonts w:ascii="Times New Roman" w:eastAsia="Times New Roman" w:hAnsi="Times New Roman" w:cs="Times New Roman"/>
            <w:color w:val="333399"/>
            <w:spacing w:val="0"/>
            <w:sz w:val="18"/>
            <w:u w:val="single"/>
            <w:lang w:val="en-US"/>
          </w:rPr>
          <w:t>IP Compliance Policy</w:t>
        </w:r>
      </w:hyperlink>
      <w:r w:rsidRPr="00501F92">
        <w:rPr>
          <w:rFonts w:ascii="Times New Roman" w:eastAsia="Times New Roman" w:hAnsi="Times New Roman" w:cs="Times New Roman"/>
          <w:b w:val="0"/>
          <w:spacing w:val="0"/>
          <w:sz w:val="18"/>
          <w:szCs w:val="18"/>
          <w:lang w:val="en-US"/>
        </w:rPr>
        <w:t>.</w:t>
      </w:r>
    </w:p>
    <w:p w14:paraId="0DCEDDA4" w14:textId="77777777" w:rsidR="00F571E8" w:rsidRDefault="00F571E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06069D3F" w14:textId="77777777" w:rsidR="00472AA8" w:rsidRPr="00472AA8" w:rsidRDefault="00472AA8" w:rsidP="00472AA8">
      <w:pPr>
        <w:jc w:val="right"/>
        <w:rPr>
          <w:rFonts w:ascii="Times New Roman" w:eastAsia="Times New Roman" w:hAnsi="Times New Roman" w:cs="Times New Roman"/>
          <w:b w:val="0"/>
          <w:color w:val="auto"/>
          <w:spacing w:val="0"/>
          <w:sz w:val="24"/>
          <w:szCs w:val="24"/>
          <w:lang w:val="en-US"/>
        </w:rPr>
      </w:pPr>
    </w:p>
    <w:p w14:paraId="517AFFDF" w14:textId="77777777" w:rsidR="00545D5C" w:rsidRDefault="00545D5C" w:rsidP="00545D5C">
      <w:pPr>
        <w:pStyle w:val="Subtitle"/>
        <w:rPr>
          <w:bCs/>
          <w:color w:val="000000"/>
        </w:rPr>
      </w:pPr>
      <w:bookmarkStart w:id="0" w:name="_GoBack"/>
      <w:bookmarkEnd w:id="0"/>
      <w:r>
        <w:rPr>
          <w:bCs/>
          <w:color w:val="000000"/>
          <w:u w:val="single"/>
        </w:rPr>
        <w:t>Project Coordinator and Document Editor</w:t>
      </w:r>
    </w:p>
    <w:p w14:paraId="76B6DD0F" w14:textId="77777777" w:rsidR="00545D5C" w:rsidRPr="00472AA8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472AA8">
        <w:rPr>
          <w:b w:val="0"/>
          <w:bCs/>
          <w:color w:val="000000"/>
          <w:sz w:val="22"/>
        </w:rPr>
        <w:t>Kensaku Kawamoto, MD, PhD, University of Utah</w:t>
      </w:r>
    </w:p>
    <w:p w14:paraId="604B7A7D" w14:textId="77777777" w:rsidR="00C85D5D" w:rsidRPr="00472AA8" w:rsidRDefault="00C85D5D" w:rsidP="00545D5C">
      <w:pPr>
        <w:pStyle w:val="Subtitle"/>
        <w:rPr>
          <w:b w:val="0"/>
          <w:bCs/>
          <w:color w:val="000000"/>
          <w:sz w:val="22"/>
        </w:rPr>
      </w:pPr>
      <w:r w:rsidRPr="00472AA8">
        <w:rPr>
          <w:b w:val="0"/>
          <w:sz w:val="22"/>
          <w:szCs w:val="24"/>
        </w:rPr>
        <w:t xml:space="preserve">Claude Nanjo, MPH, MAAS, </w:t>
      </w:r>
      <w:r w:rsidR="00EE743F" w:rsidRPr="00472AA8">
        <w:rPr>
          <w:b w:val="0"/>
          <w:sz w:val="22"/>
          <w:szCs w:val="24"/>
        </w:rPr>
        <w:t>Cognitive Medical Systems</w:t>
      </w:r>
    </w:p>
    <w:p w14:paraId="4AA6F8EF" w14:textId="77777777" w:rsidR="00545D5C" w:rsidRDefault="00545D5C" w:rsidP="00545D5C">
      <w:pPr>
        <w:pStyle w:val="Subtitle"/>
        <w:rPr>
          <w:b w:val="0"/>
          <w:bCs/>
          <w:color w:val="000000"/>
        </w:rPr>
      </w:pPr>
    </w:p>
    <w:p w14:paraId="02A8B568" w14:textId="77777777" w:rsidR="00545D5C" w:rsidRDefault="00545D5C" w:rsidP="00545D5C">
      <w:pPr>
        <w:pStyle w:val="Subtitle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Collaborators</w:t>
      </w:r>
    </w:p>
    <w:p w14:paraId="1D43FC53" w14:textId="77777777" w:rsidR="00706EC0" w:rsidRDefault="00706EC0" w:rsidP="00545D5C">
      <w:pPr>
        <w:pStyle w:val="Subtitle"/>
        <w:rPr>
          <w:b w:val="0"/>
          <w:bCs/>
          <w:color w:val="000000"/>
        </w:rPr>
      </w:pPr>
      <w:r w:rsidRPr="00A07CCE">
        <w:rPr>
          <w:b w:val="0"/>
          <w:bCs/>
          <w:color w:val="000000"/>
          <w:sz w:val="22"/>
        </w:rPr>
        <w:t>David Shields, University of Uta</w:t>
      </w:r>
      <w:r>
        <w:rPr>
          <w:b w:val="0"/>
          <w:bCs/>
          <w:color w:val="000000"/>
          <w:sz w:val="22"/>
        </w:rPr>
        <w:t>h</w:t>
      </w:r>
    </w:p>
    <w:p w14:paraId="5433AFB4" w14:textId="77777777" w:rsidR="00444E2A" w:rsidRPr="00706EC0" w:rsidRDefault="00451911" w:rsidP="00706EC0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Victor Lee, MD, Zynx Health Incorporated</w:t>
      </w:r>
    </w:p>
    <w:p w14:paraId="5DE87C08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Aziz Boxwala, MD, PhD, FACMI, Meliorix </w:t>
      </w:r>
      <w:proofErr w:type="spellStart"/>
      <w:r w:rsidRPr="00706EC0">
        <w:rPr>
          <w:b w:val="0"/>
          <w:bCs/>
          <w:color w:val="000000"/>
          <w:sz w:val="22"/>
        </w:rPr>
        <w:t>Inc</w:t>
      </w:r>
      <w:proofErr w:type="spellEnd"/>
    </w:p>
    <w:p w14:paraId="3AEB3179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Mark Roche, MD, MSMI, Roche Consulting</w:t>
      </w:r>
    </w:p>
    <w:p w14:paraId="6BD5BE61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Bryn Rhodes, Veracity Solutions</w:t>
      </w:r>
    </w:p>
    <w:p w14:paraId="01F57DC3" w14:textId="77777777" w:rsidR="00706EC0" w:rsidRDefault="00451911" w:rsidP="00545D5C">
      <w:pPr>
        <w:pStyle w:val="Subtitle"/>
        <w:rPr>
          <w:b w:val="0"/>
          <w:color w:val="000000"/>
          <w:sz w:val="22"/>
        </w:rPr>
      </w:pPr>
      <w:proofErr w:type="spellStart"/>
      <w:r w:rsidRPr="00706EC0">
        <w:rPr>
          <w:b w:val="0"/>
          <w:color w:val="000000"/>
          <w:sz w:val="22"/>
        </w:rPr>
        <w:t>Davide</w:t>
      </w:r>
      <w:proofErr w:type="spellEnd"/>
      <w:r w:rsidRPr="00706EC0">
        <w:rPr>
          <w:b w:val="0"/>
          <w:color w:val="000000"/>
          <w:sz w:val="22"/>
        </w:rPr>
        <w:t xml:space="preserve"> </w:t>
      </w:r>
      <w:proofErr w:type="spellStart"/>
      <w:r w:rsidRPr="00706EC0">
        <w:rPr>
          <w:b w:val="0"/>
          <w:color w:val="000000"/>
          <w:sz w:val="22"/>
        </w:rPr>
        <w:t>Sottara</w:t>
      </w:r>
      <w:proofErr w:type="spellEnd"/>
      <w:r w:rsidRPr="00706EC0">
        <w:rPr>
          <w:b w:val="0"/>
          <w:color w:val="000000"/>
          <w:sz w:val="22"/>
        </w:rPr>
        <w:t>, PhD, Arizona State University</w:t>
      </w:r>
    </w:p>
    <w:p w14:paraId="41E6525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Andrew K. McIntyre, FRACP, MBBS, Medical-Objects</w:t>
      </w:r>
    </w:p>
    <w:p w14:paraId="3BF0DB46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proofErr w:type="spellStart"/>
      <w:r w:rsidRPr="00706EC0">
        <w:rPr>
          <w:b w:val="0"/>
          <w:bCs/>
          <w:color w:val="000000"/>
          <w:sz w:val="22"/>
        </w:rPr>
        <w:t>Yongjian</w:t>
      </w:r>
      <w:proofErr w:type="spellEnd"/>
      <w:r w:rsidRPr="00706EC0">
        <w:rPr>
          <w:b w:val="0"/>
          <w:bCs/>
          <w:color w:val="000000"/>
          <w:sz w:val="22"/>
        </w:rPr>
        <w:t xml:space="preserve"> </w:t>
      </w:r>
      <w:proofErr w:type="spellStart"/>
      <w:r w:rsidRPr="00706EC0">
        <w:rPr>
          <w:b w:val="0"/>
          <w:bCs/>
          <w:color w:val="000000"/>
          <w:sz w:val="22"/>
        </w:rPr>
        <w:t>Bao</w:t>
      </w:r>
      <w:proofErr w:type="spellEnd"/>
      <w:r w:rsidRPr="00706EC0">
        <w:rPr>
          <w:b w:val="0"/>
          <w:bCs/>
          <w:color w:val="000000"/>
          <w:sz w:val="22"/>
        </w:rPr>
        <w:t>, PhD, GE Healthcare</w:t>
      </w:r>
    </w:p>
    <w:p w14:paraId="2218E1D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Howard R. Strasberg, MD, MS, </w:t>
      </w:r>
      <w:proofErr w:type="spellStart"/>
      <w:r w:rsidRPr="00706EC0">
        <w:rPr>
          <w:b w:val="0"/>
          <w:bCs/>
          <w:color w:val="000000"/>
          <w:sz w:val="22"/>
        </w:rPr>
        <w:t>Wolters</w:t>
      </w:r>
      <w:proofErr w:type="spellEnd"/>
      <w:r w:rsidRPr="00706EC0">
        <w:rPr>
          <w:b w:val="0"/>
          <w:bCs/>
          <w:color w:val="000000"/>
          <w:sz w:val="22"/>
        </w:rPr>
        <w:t xml:space="preserve"> Kluwer Health</w:t>
      </w:r>
    </w:p>
    <w:p w14:paraId="2F9D1E5F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de-DE"/>
        </w:rPr>
      </w:pPr>
      <w:r w:rsidRPr="00EE743F">
        <w:rPr>
          <w:b w:val="0"/>
          <w:bCs/>
          <w:color w:val="000000"/>
          <w:sz w:val="22"/>
          <w:lang w:val="de-DE"/>
        </w:rPr>
        <w:t>Peter R. Tattam, Tattam Software Enterprises Pty Ltd</w:t>
      </w:r>
    </w:p>
    <w:p w14:paraId="39A2E28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Scott Bolte, MS, GE Healthcare</w:t>
      </w:r>
    </w:p>
    <w:p w14:paraId="38D826FC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Scott, MBBS, Medical-Objects</w:t>
      </w:r>
    </w:p>
    <w:p w14:paraId="575C6D4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Keith Boone, GE Healthcare</w:t>
      </w:r>
    </w:p>
    <w:p w14:paraId="0FD86368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Zhijing Liu, PhD, Siemens Healthcare</w:t>
      </w:r>
    </w:p>
    <w:p w14:paraId="7B6A4BD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Chris </w:t>
      </w:r>
      <w:proofErr w:type="spellStart"/>
      <w:r w:rsidRPr="00706EC0">
        <w:rPr>
          <w:b w:val="0"/>
          <w:bCs/>
          <w:color w:val="000000"/>
          <w:sz w:val="22"/>
        </w:rPr>
        <w:t>Melo</w:t>
      </w:r>
      <w:proofErr w:type="spellEnd"/>
      <w:r w:rsidRPr="00706EC0">
        <w:rPr>
          <w:b w:val="0"/>
          <w:bCs/>
          <w:color w:val="000000"/>
          <w:sz w:val="22"/>
        </w:rPr>
        <w:t>, Philips Healthcare</w:t>
      </w:r>
    </w:p>
    <w:p w14:paraId="37ED819B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Nathan Hulse, PhD, Intermountain Healthcare</w:t>
      </w:r>
    </w:p>
    <w:p w14:paraId="2D91D7D3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Jim </w:t>
      </w:r>
      <w:proofErr w:type="spellStart"/>
      <w:r w:rsidRPr="00706EC0">
        <w:rPr>
          <w:b w:val="0"/>
          <w:bCs/>
          <w:color w:val="000000"/>
          <w:sz w:val="22"/>
        </w:rPr>
        <w:t>Basilakis</w:t>
      </w:r>
      <w:proofErr w:type="spellEnd"/>
      <w:r w:rsidRPr="00706EC0">
        <w:rPr>
          <w:b w:val="0"/>
          <w:bCs/>
          <w:color w:val="000000"/>
          <w:sz w:val="22"/>
        </w:rPr>
        <w:t>, MBBS, MS, University of Western Sydney</w:t>
      </w:r>
    </w:p>
    <w:p w14:paraId="4F117C3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Robert Worden, Open Mapping Software, Limited</w:t>
      </w:r>
    </w:p>
    <w:p w14:paraId="6CD622A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Daryl Chertcoff, HLN Consulting</w:t>
      </w:r>
    </w:p>
    <w:p w14:paraId="6DFCBCC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Clayton Curtis, MD, PhD, U.S. Veterans Health Administration</w:t>
      </w:r>
    </w:p>
    <w:p w14:paraId="13E41E27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Guilherme Del Fiol, MD, PhD, University of Utah</w:t>
      </w:r>
    </w:p>
    <w:p w14:paraId="316586A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Emory Fry, MD, Uniformed Service University Health Sciences</w:t>
      </w:r>
    </w:p>
    <w:p w14:paraId="1EEA7468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Jean-Charles Dufour, MD, PhD, Université Aix-Marseille</w:t>
      </w:r>
    </w:p>
    <w:p w14:paraId="238069D0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Laurent CHARLOIS, Université de la Méditerranée</w:t>
      </w:r>
    </w:p>
    <w:p w14:paraId="1068149A" w14:textId="77777777" w:rsidR="00BF4339" w:rsidRPr="00EE743F" w:rsidRDefault="00BF4339" w:rsidP="00545D5C">
      <w:pPr>
        <w:pStyle w:val="Subtitle"/>
        <w:rPr>
          <w:b w:val="0"/>
          <w:bCs/>
          <w:color w:val="000000"/>
          <w:sz w:val="22"/>
          <w:lang w:val="fr-FR"/>
        </w:rPr>
      </w:pPr>
    </w:p>
    <w:p w14:paraId="03EB08B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  <w:r w:rsidR="000940BD">
        <w:rPr>
          <w:bCs/>
          <w:color w:val="000000"/>
        </w:rPr>
        <w:t xml:space="preserve">: </w:t>
      </w:r>
      <w:r>
        <w:rPr>
          <w:bCs/>
          <w:color w:val="000000"/>
        </w:rPr>
        <w:t>HL7 Clinical Decision Support</w:t>
      </w:r>
      <w:r w:rsidR="000940BD">
        <w:rPr>
          <w:bCs/>
          <w:color w:val="000000"/>
        </w:rPr>
        <w:t xml:space="preserve"> Work Group</w:t>
      </w:r>
    </w:p>
    <w:p w14:paraId="6ABA848F" w14:textId="77777777" w:rsidR="000940BD" w:rsidRDefault="000940BD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Co-Sponsor: HL7 Implementable Technology Specifications Work Group</w:t>
      </w:r>
    </w:p>
    <w:p w14:paraId="107C5C9C" w14:textId="77777777" w:rsidR="00545D5C" w:rsidRDefault="00545D5C" w:rsidP="00545D5C">
      <w:pPr>
        <w:pStyle w:val="Subtitle"/>
        <w:rPr>
          <w:bCs/>
          <w:color w:val="000000"/>
        </w:rPr>
      </w:pPr>
    </w:p>
    <w:p w14:paraId="0DF98D6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</w:t>
      </w:r>
      <w:r w:rsidR="005B00D2">
        <w:rPr>
          <w:bCs/>
          <w:color w:val="000000"/>
        </w:rPr>
        <w:t>1016</w:t>
      </w:r>
    </w:p>
    <w:p w14:paraId="39B2CC96" w14:textId="77777777" w:rsidR="005E1963" w:rsidRDefault="00545D5C" w:rsidP="00615199">
      <w:pPr>
        <w:pStyle w:val="Subtitle"/>
        <w:rPr>
          <w:bCs/>
        </w:rPr>
      </w:pPr>
      <w:r>
        <w:rPr>
          <w:bCs/>
          <w:color w:val="000000"/>
        </w:rPr>
        <w:t xml:space="preserve"> </w:t>
      </w:r>
      <w:r w:rsidR="0001793D">
        <w:rPr>
          <w:bCs/>
          <w:color w:val="000000"/>
        </w:rPr>
        <w:t>U.S. Realm Informative Specification</w:t>
      </w:r>
      <w:r w:rsidR="005E1963">
        <w:rPr>
          <w:bCs/>
        </w:rPr>
        <w:br w:type="page"/>
      </w:r>
    </w:p>
    <w:p w14:paraId="1B5F6F5C" w14:textId="77777777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u w:val="single"/>
          <w:lang w:val="en-US"/>
        </w:rPr>
        <w:t>Identifying Information for Specification:</w:t>
      </w:r>
    </w:p>
    <w:p w14:paraId="373FE03C" w14:textId="7E60099E" w:rsidR="00615199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Name and Release Number: 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HL7 Virtual Medical Record for Clinical Decision Support (vMR-CDS) XML </w:t>
      </w:r>
      <w:r w:rsidR="00805E88">
        <w:rPr>
          <w:rFonts w:eastAsia="Times New Roman"/>
          <w:b w:val="0"/>
          <w:szCs w:val="24"/>
          <w:lang w:val="en-US"/>
        </w:rPr>
        <w:t>Specification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, Release </w:t>
      </w:r>
      <w:r w:rsidR="00124915">
        <w:rPr>
          <w:rFonts w:eastAsia="Times New Roman"/>
          <w:b w:val="0"/>
          <w:szCs w:val="24"/>
          <w:lang w:val="en-US"/>
        </w:rPr>
        <w:t>1</w:t>
      </w:r>
    </w:p>
    <w:p w14:paraId="288A2009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Realm: </w:t>
      </w:r>
      <w:r w:rsidR="003A232C">
        <w:rPr>
          <w:rFonts w:eastAsia="Times New Roman"/>
          <w:b w:val="0"/>
          <w:szCs w:val="24"/>
          <w:lang w:val="en-US"/>
        </w:rPr>
        <w:t>U.S.</w:t>
      </w:r>
    </w:p>
    <w:p w14:paraId="55FBC2A0" w14:textId="455DE45D" w:rsid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Ballot Level:  </w:t>
      </w:r>
      <w:r w:rsidR="00DA4930">
        <w:rPr>
          <w:rFonts w:eastAsia="Times New Roman"/>
          <w:b w:val="0"/>
          <w:szCs w:val="24"/>
          <w:lang w:val="en-US"/>
        </w:rPr>
        <w:t>Informative Specification</w:t>
      </w:r>
    </w:p>
    <w:p w14:paraId="3666474C" w14:textId="535A026F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Ballot Cycle: </w:t>
      </w:r>
      <w:r w:rsidR="00DA4930">
        <w:rPr>
          <w:rFonts w:eastAsia="Times New Roman"/>
          <w:b w:val="0"/>
          <w:szCs w:val="24"/>
          <w:lang w:val="en-US"/>
        </w:rPr>
        <w:t>September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="005B00D2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0CC9F9EA" w14:textId="36CFCC85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Date: </w:t>
      </w:r>
      <w:r w:rsidR="00DA4930">
        <w:rPr>
          <w:rFonts w:eastAsia="Times New Roman"/>
          <w:b w:val="0"/>
          <w:szCs w:val="24"/>
          <w:lang w:val="en-US"/>
        </w:rPr>
        <w:t>December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Pr="005E1963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3B854E8A" w14:textId="77777777" w:rsidR="005E1963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Version Number within Release </w:t>
      </w:r>
      <w:r w:rsidR="00124915">
        <w:rPr>
          <w:rFonts w:eastAsia="Times New Roman"/>
          <w:szCs w:val="24"/>
          <w:lang w:val="en-US"/>
        </w:rPr>
        <w:t>1</w:t>
      </w:r>
      <w:r w:rsidRPr="005E1963">
        <w:rPr>
          <w:rFonts w:eastAsia="Times New Roman"/>
          <w:szCs w:val="24"/>
          <w:lang w:val="en-US"/>
        </w:rPr>
        <w:t xml:space="preserve">: </w:t>
      </w:r>
      <w:r w:rsidR="00124915">
        <w:rPr>
          <w:rFonts w:eastAsia="Times New Roman"/>
          <w:b w:val="0"/>
          <w:szCs w:val="24"/>
          <w:lang w:val="en-US"/>
        </w:rPr>
        <w:t>2</w:t>
      </w:r>
      <w:r w:rsidRPr="005E1963">
        <w:rPr>
          <w:rFonts w:eastAsia="Times New Roman"/>
          <w:b w:val="0"/>
          <w:szCs w:val="24"/>
          <w:lang w:val="en-US"/>
        </w:rPr>
        <w:t>.0</w:t>
      </w:r>
    </w:p>
    <w:p w14:paraId="6C9CD0A4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</w:p>
    <w:p w14:paraId="56FD0476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  <w:r w:rsidRPr="001D0300">
        <w:rPr>
          <w:rFonts w:eastAsia="Times New Roman"/>
          <w:szCs w:val="24"/>
          <w:u w:val="single"/>
          <w:lang w:val="en-US"/>
        </w:rPr>
        <w:t>Ballot History:</w:t>
      </w:r>
      <w:r>
        <w:rPr>
          <w:rFonts w:eastAsia="Times New Roman"/>
          <w:b w:val="0"/>
          <w:szCs w:val="24"/>
          <w:lang w:val="en-US"/>
        </w:rPr>
        <w:t xml:space="preserve"> </w:t>
      </w:r>
    </w:p>
    <w:p w14:paraId="0422D762" w14:textId="33AFCBCA" w:rsidR="0001793D" w:rsidRDefault="00F4540A" w:rsidP="005E1963">
      <w:pPr>
        <w:rPr>
          <w:rFonts w:eastAsia="Times New Roman"/>
          <w:b w:val="0"/>
          <w:szCs w:val="24"/>
          <w:lang w:val="en-US"/>
        </w:rPr>
      </w:pPr>
      <w:r w:rsidRPr="00F4540A">
        <w:rPr>
          <w:rFonts w:eastAsia="Times New Roman"/>
          <w:b w:val="0"/>
          <w:szCs w:val="24"/>
          <w:lang w:val="en-US"/>
        </w:rPr>
        <w:t>Version 1.0 of the Release 1 specification was successfully balloted as a DSTU in May 2013.  This specification represents Version 2.0 of the Release 1 specification.</w:t>
      </w:r>
    </w:p>
    <w:p w14:paraId="47AD7682" w14:textId="77777777" w:rsidR="0095289E" w:rsidRDefault="0095289E" w:rsidP="0001793D">
      <w:pPr>
        <w:rPr>
          <w:rFonts w:eastAsia="Times New Roman"/>
          <w:szCs w:val="24"/>
          <w:u w:val="single"/>
          <w:lang w:val="en-US"/>
        </w:rPr>
      </w:pPr>
    </w:p>
    <w:p w14:paraId="64A843FF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u w:val="single"/>
          <w:lang w:val="en-US"/>
        </w:rPr>
        <w:t xml:space="preserve">Note Regarding </w:t>
      </w:r>
      <w:r>
        <w:rPr>
          <w:rFonts w:eastAsia="Times New Roman"/>
          <w:szCs w:val="24"/>
          <w:u w:val="single"/>
          <w:lang w:val="en-US"/>
        </w:rPr>
        <w:t xml:space="preserve">Realm and </w:t>
      </w:r>
      <w:r w:rsidRPr="0001793D">
        <w:rPr>
          <w:rFonts w:eastAsia="Times New Roman"/>
          <w:szCs w:val="24"/>
          <w:u w:val="single"/>
          <w:lang w:val="en-US"/>
        </w:rPr>
        <w:t>Ballot Level:</w:t>
      </w:r>
    </w:p>
    <w:p w14:paraId="2645879F" w14:textId="049EBC46" w:rsidR="0001793D" w:rsidRPr="005E1963" w:rsidRDefault="0001793D" w:rsidP="005E1963">
      <w:pPr>
        <w:rPr>
          <w:rFonts w:eastAsia="Times New Roman"/>
          <w:szCs w:val="24"/>
          <w:u w:val="single"/>
          <w:lang w:val="en-US"/>
        </w:rPr>
      </w:pPr>
      <w:r w:rsidRPr="0001793D">
        <w:rPr>
          <w:rFonts w:eastAsia="Times New Roman"/>
          <w:b w:val="0"/>
          <w:szCs w:val="24"/>
          <w:lang w:val="en-US"/>
        </w:rPr>
        <w:t xml:space="preserve">Per guidance from the HL7 Technical Steering Committee, this release of the specification </w:t>
      </w:r>
      <w:r>
        <w:rPr>
          <w:rFonts w:eastAsia="Times New Roman"/>
          <w:b w:val="0"/>
          <w:szCs w:val="24"/>
          <w:lang w:val="en-US"/>
        </w:rPr>
        <w:t xml:space="preserve">is </w:t>
      </w:r>
      <w:r w:rsidR="007D2977">
        <w:rPr>
          <w:rFonts w:eastAsia="Times New Roman"/>
          <w:b w:val="0"/>
          <w:szCs w:val="24"/>
          <w:lang w:val="en-US"/>
        </w:rPr>
        <w:t xml:space="preserve">being </w:t>
      </w:r>
      <w:r w:rsidR="007E0FB7">
        <w:rPr>
          <w:rFonts w:eastAsia="Times New Roman"/>
          <w:b w:val="0"/>
          <w:szCs w:val="24"/>
          <w:lang w:val="en-US"/>
        </w:rPr>
        <w:t>published</w:t>
      </w:r>
      <w:r w:rsidR="007E0FB7" w:rsidRPr="0001793D">
        <w:rPr>
          <w:rFonts w:eastAsia="Times New Roman"/>
          <w:b w:val="0"/>
          <w:szCs w:val="24"/>
          <w:lang w:val="en-US"/>
        </w:rPr>
        <w:t xml:space="preserve"> </w:t>
      </w:r>
      <w:r w:rsidRPr="0001793D">
        <w:rPr>
          <w:rFonts w:eastAsia="Times New Roman"/>
          <w:b w:val="0"/>
          <w:szCs w:val="24"/>
          <w:lang w:val="en-US"/>
        </w:rPr>
        <w:t>as an informative U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>S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 xml:space="preserve"> Realm specification.  It is anticipated that future releases of the specification may be balloted in the normative track and/or in the Universal Realm.</w:t>
      </w:r>
    </w:p>
    <w:p w14:paraId="5470AD8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01BD50C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56CFF7F8" w14:textId="77777777" w:rsidR="0095289E" w:rsidRPr="0001793D" w:rsidRDefault="0095289E" w:rsidP="0095289E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u w:val="single"/>
          <w:lang w:val="en-US"/>
        </w:rPr>
        <w:t>Acknowledgments</w:t>
      </w:r>
      <w:r w:rsidRPr="0001793D">
        <w:rPr>
          <w:rFonts w:eastAsia="Times New Roman"/>
          <w:szCs w:val="24"/>
          <w:u w:val="single"/>
          <w:lang w:val="en-US"/>
        </w:rPr>
        <w:t>:</w:t>
      </w:r>
    </w:p>
    <w:p w14:paraId="0368C89B" w14:textId="77777777" w:rsidR="0095289E" w:rsidRPr="0095289E" w:rsidRDefault="0095289E" w:rsidP="0095289E">
      <w:pPr>
        <w:rPr>
          <w:b w:val="0"/>
        </w:rPr>
      </w:pPr>
      <w:bookmarkStart w:id="1" w:name="OLE_LINK1"/>
      <w:r w:rsidRPr="0095289E">
        <w:rPr>
          <w:b w:val="0"/>
        </w:rPr>
        <w:t xml:space="preserve">The authors also wish to acknowledge members of the </w:t>
      </w:r>
      <w:r w:rsidRPr="00F91DFD">
        <w:t>HL7 Technical Steering Committee</w:t>
      </w:r>
      <w:r w:rsidRPr="0095289E">
        <w:rPr>
          <w:b w:val="0"/>
        </w:rPr>
        <w:t xml:space="preserve"> and its Task Force on CDS specifications related to the U.S. Standards and Interoperability Framework’s Health eDecisions initiative (</w:t>
      </w:r>
      <w:hyperlink r:id="rId10" w:history="1">
        <w:r w:rsidRPr="0095289E">
          <w:rPr>
            <w:rStyle w:val="Hyperlink"/>
            <w:b w:val="0"/>
          </w:rPr>
          <w:t>www.healthedecisions.org</w:t>
        </w:r>
      </w:hyperlink>
      <w:r w:rsidRPr="0095289E">
        <w:rPr>
          <w:b w:val="0"/>
        </w:rPr>
        <w:t>).  These individuals have provided significant guidance on the direction and content of this specification.</w:t>
      </w:r>
    </w:p>
    <w:bookmarkEnd w:id="1"/>
    <w:p w14:paraId="65E48ED0" w14:textId="77777777" w:rsidR="0095289E" w:rsidRDefault="0095289E" w:rsidP="0095289E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95289E" w:rsidRPr="00E14F75" w14:paraId="169B0DAC" w14:textId="77777777" w:rsidTr="009E1360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BDB9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614DC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Organization</w:t>
            </w:r>
          </w:p>
        </w:tc>
      </w:tr>
      <w:tr w:rsidR="0095289E" w:rsidRPr="00C018E3" w14:paraId="1FBC2A8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397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EDC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Science Applications International Corporation (SAIC)</w:t>
            </w:r>
          </w:p>
        </w:tc>
      </w:tr>
      <w:tr w:rsidR="0095289E" w:rsidRPr="00C018E3" w14:paraId="2834879C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AC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14A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46F0E370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2FC9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9C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1952B4D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B5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2EF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Lantana Consulting Group</w:t>
            </w:r>
          </w:p>
        </w:tc>
      </w:tr>
      <w:tr w:rsidR="0095289E" w:rsidRPr="00C018E3" w14:paraId="5DF0EEB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38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Jean-Henri Duteau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B0BB" w14:textId="77777777" w:rsidR="0095289E" w:rsidRPr="0095289E" w:rsidRDefault="0095289E" w:rsidP="0095289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Dute</w:t>
            </w:r>
            <w:r>
              <w:rPr>
                <w:b w:val="0"/>
              </w:rPr>
              <w:t>a</w:t>
            </w:r>
            <w:r w:rsidRPr="0095289E">
              <w:rPr>
                <w:b w:val="0"/>
              </w:rPr>
              <w:t>u Design Inc.</w:t>
            </w:r>
          </w:p>
        </w:tc>
      </w:tr>
      <w:tr w:rsidR="0095289E" w:rsidRPr="00C018E3" w14:paraId="28835E5D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B3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B22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:rsidRPr="00C018E3" w14:paraId="5218D2C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CC7B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Kai Heitmann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7B7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Heitmann Consulting and Services</w:t>
            </w:r>
          </w:p>
        </w:tc>
      </w:tr>
      <w:tr w:rsidR="0095289E" w:rsidRPr="00C018E3" w14:paraId="2FD5B90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AA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C04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GE Healthcare</w:t>
            </w:r>
          </w:p>
        </w:tc>
      </w:tr>
      <w:tr w:rsidR="0095289E" w:rsidRPr="00C018E3" w14:paraId="3C6678D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66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McCaslin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89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Quest Diagnostics, Incorporated</w:t>
            </w:r>
          </w:p>
        </w:tc>
      </w:tr>
      <w:tr w:rsidR="0095289E" w:rsidRPr="00C018E3" w14:paraId="09841BA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BAD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639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HP Enterprise Services</w:t>
            </w:r>
          </w:p>
        </w:tc>
      </w:tr>
      <w:tr w:rsidR="0095289E" w:rsidRPr="00C018E3" w14:paraId="305B4531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FE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10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Gordon Point Informatics Ltd.</w:t>
            </w:r>
          </w:p>
        </w:tc>
      </w:tr>
      <w:tr w:rsidR="0095289E" w:rsidRPr="00C018E3" w14:paraId="76F5543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439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D9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Constable Consulting Inc</w:t>
            </w:r>
            <w:r>
              <w:rPr>
                <w:b w:val="0"/>
              </w:rPr>
              <w:t>.</w:t>
            </w:r>
          </w:p>
        </w:tc>
      </w:tr>
      <w:tr w:rsidR="0095289E" w14:paraId="0C285C7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BB7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Lynn Laasko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27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14:paraId="6585904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F62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591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Moda Health</w:t>
            </w:r>
          </w:p>
        </w:tc>
      </w:tr>
      <w:tr w:rsidR="0095289E" w:rsidRPr="00C018E3" w14:paraId="48466F1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3D7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915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Knapp Consulting Inc.</w:t>
            </w:r>
          </w:p>
        </w:tc>
      </w:tr>
      <w:tr w:rsidR="0095289E" w14:paraId="0AB5B399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10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0F0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Canada Health Infoway</w:t>
            </w:r>
          </w:p>
        </w:tc>
      </w:tr>
      <w:tr w:rsidR="0095289E" w14:paraId="6E8228AF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A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9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Beeler Consulting LLC</w:t>
            </w:r>
          </w:p>
        </w:tc>
      </w:tr>
    </w:tbl>
    <w:p w14:paraId="125FADEC" w14:textId="77777777" w:rsidR="00545D5C" w:rsidRPr="00152D44" w:rsidRDefault="00545D5C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</w:p>
    <w:p w14:paraId="58A97E7B" w14:textId="7A216390" w:rsidR="007E0FB7" w:rsidRPr="00152D44" w:rsidRDefault="007E0FB7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  <w:r w:rsidRPr="00152D44"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  <w:t>We would also like to acknowledge the invaluable contributions from other HL7 Work Groups including Patient Care, Pharmacy, and Nutrition.</w:t>
      </w:r>
    </w:p>
    <w:p w14:paraId="7D7C8139" w14:textId="77777777" w:rsidR="00804DCF" w:rsidRDefault="00804DCF" w:rsidP="00804DCF">
      <w:pPr>
        <w:ind w:left="1002"/>
        <w:rPr>
          <w:lang w:val="en-US"/>
        </w:rPr>
      </w:pPr>
    </w:p>
    <w:sectPr w:rsidR="00804DCF" w:rsidSect="00F571E8">
      <w:footerReference w:type="even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DC22C" w14:textId="77777777" w:rsidR="00DD421D" w:rsidRDefault="00DD421D">
      <w:r>
        <w:separator/>
      </w:r>
    </w:p>
  </w:endnote>
  <w:endnote w:type="continuationSeparator" w:id="0">
    <w:p w14:paraId="614F0848" w14:textId="77777777" w:rsidR="00DD421D" w:rsidRDefault="00DD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5900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423FB" w14:textId="77777777" w:rsidR="009E1360" w:rsidRDefault="009E13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03D1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1E8">
      <w:rPr>
        <w:rStyle w:val="PageNumber"/>
        <w:noProof/>
      </w:rPr>
      <w:t>3</w:t>
    </w:r>
    <w:r>
      <w:rPr>
        <w:rStyle w:val="PageNumber"/>
      </w:rPr>
      <w:fldChar w:fldCharType="end"/>
    </w:r>
  </w:p>
  <w:p w14:paraId="5B254E7C" w14:textId="77777777" w:rsidR="009E1360" w:rsidRDefault="009E1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F55E5" w14:textId="77777777" w:rsidR="00DD421D" w:rsidRDefault="00DD421D">
      <w:r>
        <w:separator/>
      </w:r>
    </w:p>
  </w:footnote>
  <w:footnote w:type="continuationSeparator" w:id="0">
    <w:p w14:paraId="548D415F" w14:textId="77777777" w:rsidR="00DD421D" w:rsidRDefault="00DD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FC4"/>
    <w:multiLevelType w:val="hybridMultilevel"/>
    <w:tmpl w:val="64B4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0231A"/>
    <w:multiLevelType w:val="hybridMultilevel"/>
    <w:tmpl w:val="C5000F6C"/>
    <w:lvl w:ilvl="0" w:tplc="0409000F">
      <w:start w:val="1"/>
      <w:numFmt w:val="decimal"/>
      <w:lvlText w:val="%1."/>
      <w:lvlJc w:val="lef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5">
    <w:nsid w:val="67044FC5"/>
    <w:multiLevelType w:val="hybridMultilevel"/>
    <w:tmpl w:val="2F2C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807FD"/>
    <w:multiLevelType w:val="hybridMultilevel"/>
    <w:tmpl w:val="85CEA3F6"/>
    <w:lvl w:ilvl="0" w:tplc="8662F37C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002A28"/>
    <w:rsid w:val="00014176"/>
    <w:rsid w:val="0001688A"/>
    <w:rsid w:val="0001793D"/>
    <w:rsid w:val="000353F1"/>
    <w:rsid w:val="00084A86"/>
    <w:rsid w:val="00091AC6"/>
    <w:rsid w:val="000940BD"/>
    <w:rsid w:val="000A666E"/>
    <w:rsid w:val="000E0C83"/>
    <w:rsid w:val="00106185"/>
    <w:rsid w:val="00115AA9"/>
    <w:rsid w:val="00124915"/>
    <w:rsid w:val="001344F9"/>
    <w:rsid w:val="00140DBA"/>
    <w:rsid w:val="00151EBC"/>
    <w:rsid w:val="00152D44"/>
    <w:rsid w:val="00157186"/>
    <w:rsid w:val="00160995"/>
    <w:rsid w:val="0016370E"/>
    <w:rsid w:val="00175A40"/>
    <w:rsid w:val="001B016C"/>
    <w:rsid w:val="001C78C3"/>
    <w:rsid w:val="001D0300"/>
    <w:rsid w:val="001F5673"/>
    <w:rsid w:val="002013A5"/>
    <w:rsid w:val="00206AA6"/>
    <w:rsid w:val="002174CE"/>
    <w:rsid w:val="00222BC5"/>
    <w:rsid w:val="00231073"/>
    <w:rsid w:val="002349E5"/>
    <w:rsid w:val="002464D7"/>
    <w:rsid w:val="002611C9"/>
    <w:rsid w:val="00277E86"/>
    <w:rsid w:val="0028419E"/>
    <w:rsid w:val="00290385"/>
    <w:rsid w:val="00291F3C"/>
    <w:rsid w:val="002A6E1D"/>
    <w:rsid w:val="002A7BFC"/>
    <w:rsid w:val="002C32F6"/>
    <w:rsid w:val="002E2686"/>
    <w:rsid w:val="002F7DC1"/>
    <w:rsid w:val="00304FA6"/>
    <w:rsid w:val="00321E96"/>
    <w:rsid w:val="00347A8F"/>
    <w:rsid w:val="00371A39"/>
    <w:rsid w:val="0038248F"/>
    <w:rsid w:val="003A232C"/>
    <w:rsid w:val="003C7914"/>
    <w:rsid w:val="003E559D"/>
    <w:rsid w:val="00401AB5"/>
    <w:rsid w:val="0040387A"/>
    <w:rsid w:val="004047AC"/>
    <w:rsid w:val="00407F69"/>
    <w:rsid w:val="0043614F"/>
    <w:rsid w:val="00441BCF"/>
    <w:rsid w:val="00444E2A"/>
    <w:rsid w:val="004451CE"/>
    <w:rsid w:val="00451911"/>
    <w:rsid w:val="00472AA8"/>
    <w:rsid w:val="00494567"/>
    <w:rsid w:val="004B5082"/>
    <w:rsid w:val="004C117F"/>
    <w:rsid w:val="004D7061"/>
    <w:rsid w:val="00515E47"/>
    <w:rsid w:val="00533ACE"/>
    <w:rsid w:val="00545D5C"/>
    <w:rsid w:val="005503CE"/>
    <w:rsid w:val="00560776"/>
    <w:rsid w:val="00561BBD"/>
    <w:rsid w:val="005B00D2"/>
    <w:rsid w:val="005B4CE5"/>
    <w:rsid w:val="005B595A"/>
    <w:rsid w:val="005C50B5"/>
    <w:rsid w:val="005D7972"/>
    <w:rsid w:val="005E172B"/>
    <w:rsid w:val="005E1963"/>
    <w:rsid w:val="00603EB0"/>
    <w:rsid w:val="0060736D"/>
    <w:rsid w:val="00615199"/>
    <w:rsid w:val="00640153"/>
    <w:rsid w:val="00640E63"/>
    <w:rsid w:val="00643315"/>
    <w:rsid w:val="00683831"/>
    <w:rsid w:val="00692386"/>
    <w:rsid w:val="00695279"/>
    <w:rsid w:val="006B0848"/>
    <w:rsid w:val="006B24F7"/>
    <w:rsid w:val="006B6A6D"/>
    <w:rsid w:val="006C5FCA"/>
    <w:rsid w:val="006D31D3"/>
    <w:rsid w:val="006D38E6"/>
    <w:rsid w:val="006D5208"/>
    <w:rsid w:val="006E68A3"/>
    <w:rsid w:val="00700223"/>
    <w:rsid w:val="00706EC0"/>
    <w:rsid w:val="007103DF"/>
    <w:rsid w:val="00736711"/>
    <w:rsid w:val="0073675C"/>
    <w:rsid w:val="00753DA8"/>
    <w:rsid w:val="00764B75"/>
    <w:rsid w:val="00786A39"/>
    <w:rsid w:val="007933E5"/>
    <w:rsid w:val="007C23C1"/>
    <w:rsid w:val="007D2977"/>
    <w:rsid w:val="007E0995"/>
    <w:rsid w:val="007E0FB7"/>
    <w:rsid w:val="007F6DA5"/>
    <w:rsid w:val="0080038F"/>
    <w:rsid w:val="00804DCF"/>
    <w:rsid w:val="00805E88"/>
    <w:rsid w:val="00842F97"/>
    <w:rsid w:val="00852525"/>
    <w:rsid w:val="008539C6"/>
    <w:rsid w:val="00894C2E"/>
    <w:rsid w:val="008D5226"/>
    <w:rsid w:val="008D5801"/>
    <w:rsid w:val="008F497E"/>
    <w:rsid w:val="009121F1"/>
    <w:rsid w:val="0092194A"/>
    <w:rsid w:val="00926CBE"/>
    <w:rsid w:val="009341C6"/>
    <w:rsid w:val="009473F7"/>
    <w:rsid w:val="0095289E"/>
    <w:rsid w:val="0096399F"/>
    <w:rsid w:val="00970172"/>
    <w:rsid w:val="009734AB"/>
    <w:rsid w:val="00997E3E"/>
    <w:rsid w:val="009A2F65"/>
    <w:rsid w:val="009E1360"/>
    <w:rsid w:val="009F363C"/>
    <w:rsid w:val="009F3723"/>
    <w:rsid w:val="009F3E7F"/>
    <w:rsid w:val="00A04F3F"/>
    <w:rsid w:val="00A078AB"/>
    <w:rsid w:val="00A17225"/>
    <w:rsid w:val="00A22333"/>
    <w:rsid w:val="00A30A57"/>
    <w:rsid w:val="00A4654D"/>
    <w:rsid w:val="00A82356"/>
    <w:rsid w:val="00A946C3"/>
    <w:rsid w:val="00A956C3"/>
    <w:rsid w:val="00AC79A3"/>
    <w:rsid w:val="00AD7663"/>
    <w:rsid w:val="00AD799B"/>
    <w:rsid w:val="00AF0E45"/>
    <w:rsid w:val="00AF6D3A"/>
    <w:rsid w:val="00B1399C"/>
    <w:rsid w:val="00B34DE8"/>
    <w:rsid w:val="00B42AB7"/>
    <w:rsid w:val="00B46166"/>
    <w:rsid w:val="00B50CF1"/>
    <w:rsid w:val="00B577DA"/>
    <w:rsid w:val="00B7194C"/>
    <w:rsid w:val="00B92D5E"/>
    <w:rsid w:val="00BC6794"/>
    <w:rsid w:val="00BE21A2"/>
    <w:rsid w:val="00BE6757"/>
    <w:rsid w:val="00BE7EFC"/>
    <w:rsid w:val="00BF4339"/>
    <w:rsid w:val="00C16230"/>
    <w:rsid w:val="00C32EA0"/>
    <w:rsid w:val="00C34ED1"/>
    <w:rsid w:val="00C54FC5"/>
    <w:rsid w:val="00C85D5D"/>
    <w:rsid w:val="00CF119E"/>
    <w:rsid w:val="00CF2C7C"/>
    <w:rsid w:val="00CF794B"/>
    <w:rsid w:val="00D164B6"/>
    <w:rsid w:val="00D16692"/>
    <w:rsid w:val="00D678D6"/>
    <w:rsid w:val="00D70142"/>
    <w:rsid w:val="00D77F42"/>
    <w:rsid w:val="00D9171A"/>
    <w:rsid w:val="00DA4930"/>
    <w:rsid w:val="00DA5E07"/>
    <w:rsid w:val="00DB5928"/>
    <w:rsid w:val="00DC0497"/>
    <w:rsid w:val="00DD421D"/>
    <w:rsid w:val="00DF3D92"/>
    <w:rsid w:val="00E03D86"/>
    <w:rsid w:val="00E264B2"/>
    <w:rsid w:val="00E67908"/>
    <w:rsid w:val="00E70CB2"/>
    <w:rsid w:val="00E80F9E"/>
    <w:rsid w:val="00E920B3"/>
    <w:rsid w:val="00E9388D"/>
    <w:rsid w:val="00EB6A06"/>
    <w:rsid w:val="00EC1795"/>
    <w:rsid w:val="00EE0362"/>
    <w:rsid w:val="00EE743F"/>
    <w:rsid w:val="00F04F80"/>
    <w:rsid w:val="00F15F5E"/>
    <w:rsid w:val="00F236D0"/>
    <w:rsid w:val="00F432BF"/>
    <w:rsid w:val="00F4540A"/>
    <w:rsid w:val="00F500A5"/>
    <w:rsid w:val="00F571E8"/>
    <w:rsid w:val="00F71AFD"/>
    <w:rsid w:val="00F843F3"/>
    <w:rsid w:val="00F84BDE"/>
    <w:rsid w:val="00F8516E"/>
    <w:rsid w:val="00F85EC2"/>
    <w:rsid w:val="00F9007B"/>
    <w:rsid w:val="00F91DFD"/>
    <w:rsid w:val="00F931D6"/>
    <w:rsid w:val="00FC4F88"/>
    <w:rsid w:val="00FE2964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D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1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ealthedecision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7.org/legal/ippolicy.cfm?ref=na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4174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Kensaku Kawamoto</cp:lastModifiedBy>
  <cp:revision>11</cp:revision>
  <cp:lastPrinted>2013-08-04T21:20:00Z</cp:lastPrinted>
  <dcterms:created xsi:type="dcterms:W3CDTF">2013-12-15T23:34:00Z</dcterms:created>
  <dcterms:modified xsi:type="dcterms:W3CDTF">2013-12-19T18:32:00Z</dcterms:modified>
</cp:coreProperties>
</file>