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ipq8phu3mtw" w:id="0"/>
      <w:bookmarkEnd w:id="0"/>
      <w:r w:rsidDel="00000000" w:rsidR="00000000" w:rsidRPr="00000000">
        <w:rPr>
          <w:rtl w:val="0"/>
        </w:rPr>
        <w:t xml:space="preserve">Average Industry Ad Metrics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spacing w:after="40" w:lineRule="auto"/>
        <w:rPr/>
      </w:pPr>
      <w:bookmarkStart w:colFirst="0" w:colLast="0" w:name="_qqwv9yfvz8fn" w:id="1"/>
      <w:bookmarkEnd w:id="1"/>
      <w:r w:rsidDel="00000000" w:rsidR="00000000" w:rsidRPr="00000000">
        <w:rPr>
          <w:rtl w:val="0"/>
        </w:rPr>
        <w:t xml:space="preserve">How We're Calculating the Scratch Rate</w:t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Yes — it's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 engagement metric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Scratch Rate = (Completed Scratches ÷ Impressions) × 100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"Completed Scratches" = your existing "Clicks" metric (user scratched past the reveal threshold — not accidental taps).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is directly comparable to CTR for other formats (clicks/impressions).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We're using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20% as a conservative midpoint projection</w:t>
      </w:r>
      <w:r w:rsidDel="00000000" w:rsidR="00000000" w:rsidRPr="00000000">
        <w:rPr>
          <w:sz w:val="20"/>
          <w:szCs w:val="20"/>
          <w:rtl w:val="0"/>
        </w:rPr>
        <w:t xml:space="preserve"> for early real-world tests (15–25% range in the table).</w:t>
      </w:r>
    </w:p>
    <w:p w:rsidR="00000000" w:rsidDel="00000000" w:rsidP="00000000" w:rsidRDefault="00000000" w:rsidRPr="00000000" w14:paraId="0000000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40" w:lineRule="auto"/>
        <w:rPr/>
      </w:pPr>
      <w:bookmarkStart w:colFirst="0" w:colLast="0" w:name="_wf4ejz7p2eff" w:id="2"/>
      <w:bookmarkEnd w:id="2"/>
      <w:r w:rsidDel="00000000" w:rsidR="00000000" w:rsidRPr="00000000">
        <w:rPr>
          <w:rtl w:val="0"/>
        </w:rPr>
        <w:t xml:space="preserve">Benchmarks: Average "CTR/Engagement Rate" by Format (2025–2026 Data)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95.0" w:type="dxa"/>
        <w:jc w:val="left"/>
        <w:tblLayout w:type="fixed"/>
        <w:tblLook w:val="0600"/>
      </w:tblPr>
      <w:tblGrid>
        <w:gridCol w:w="2130"/>
        <w:gridCol w:w="1725"/>
        <w:gridCol w:w="5040"/>
        <w:tblGridChange w:id="0">
          <w:tblGrid>
            <w:gridCol w:w="2130"/>
            <w:gridCol w:w="1725"/>
            <w:gridCol w:w="504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Average CTR/Engagement Rate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Source Notes &amp; Context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Standard Static Banners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0.3–0.6% (often 0.1–0.4% in practice)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Industry standard (AppLovin, ironSource, Google AdMob reports). Banner blindness is real.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Rich Media Banners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(expandable, carousel, simple animation)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1–3% (2–5x lift over static)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Celtra, IAB, Google Rich Media Gallery case studies.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Interactive/Gamified Banners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(playable elements, polls, basic games)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3–10% (some up to 15%)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Higher dwell time; examples from Revive Adserver plugins and rich media units.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Scratch/Reveal Formats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(specific analogs)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5–15%+ interaction rate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Limited direct data, but reveal mechanics in promotions show strong voluntary engagement (e.g., McDonald's campaigns, digital scratch-off tools report high completion).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Rewarded Video/Opt-In Formats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(closest voluntary analog)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10–30% opt-in/completion (effective "engagement rate")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Unity Ads, AppLovin — users choose to watch for reward, similar to scratching for prize.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after="40" w:lineRule="auto"/>
        <w:rPr/>
      </w:pPr>
      <w:bookmarkStart w:colFirst="0" w:colLast="0" w:name="_cnsu7c47jhg7" w:id="3"/>
      <w:bookmarkEnd w:id="3"/>
      <w:r w:rsidDel="00000000" w:rsidR="00000000" w:rsidRPr="00000000">
        <w:rPr>
          <w:rtl w:val="0"/>
        </w:rPr>
        <w:t xml:space="preserve">Why 15–25% Scratch Rate Is Conservative for SkratchAds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Voluntary + prize incentive</w:t>
      </w:r>
      <w:r w:rsidDel="00000000" w:rsidR="00000000" w:rsidRPr="00000000">
        <w:rPr>
          <w:sz w:val="20"/>
          <w:szCs w:val="20"/>
          <w:rtl w:val="0"/>
        </w:rPr>
        <w:t xml:space="preserve">: Users scratch because there's a real chance at something free — similar motivation to rewarded video opt-in rates.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Near-miss priming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Even losses keep attention on the ad → secondary uplift.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Polite placement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No interruption → higher tolerance for interaction than full-screen.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Early analogs</w:t>
      </w:r>
      <w:r w:rsidDel="00000000" w:rsidR="00000000" w:rsidRPr="00000000">
        <w:rPr>
          <w:sz w:val="20"/>
          <w:szCs w:val="20"/>
          <w:rtl w:val="0"/>
        </w:rPr>
        <w:t xml:space="preserve">: Digital scratch-off promotions (non-banner) often see 20–50% interaction when offered; your banner version should land in the lower-but-still-massive end due to always-on availability.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real tests hit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15%</w:t>
      </w:r>
      <w:r w:rsidDel="00000000" w:rsidR="00000000" w:rsidRPr="00000000">
        <w:rPr>
          <w:sz w:val="20"/>
          <w:szCs w:val="20"/>
          <w:rtl w:val="0"/>
        </w:rPr>
        <w:t xml:space="preserve">, that's already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25–50x</w:t>
      </w:r>
      <w:r w:rsidDel="00000000" w:rsidR="00000000" w:rsidRPr="00000000">
        <w:rPr>
          <w:sz w:val="20"/>
          <w:szCs w:val="20"/>
          <w:rtl w:val="0"/>
        </w:rPr>
        <w:t xml:space="preserve"> standard banner CTR. 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20–25%</w:t>
      </w:r>
      <w:r w:rsidDel="00000000" w:rsidR="00000000" w:rsidRPr="00000000">
        <w:rPr>
          <w:sz w:val="20"/>
          <w:szCs w:val="20"/>
          <w:rtl w:val="0"/>
        </w:rPr>
        <w:t xml:space="preserve">, you're in rewarded territory while keeping the banner footprint.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80.0" w:type="dxa"/>
        <w:jc w:val="left"/>
        <w:tblLayout w:type="fixed"/>
        <w:tblLook w:val="0600"/>
      </w:tblPr>
      <w:tblGrid>
        <w:gridCol w:w="2130"/>
        <w:gridCol w:w="3015"/>
        <w:gridCol w:w="3735"/>
        <w:tblGridChange w:id="0">
          <w:tblGrid>
            <w:gridCol w:w="2130"/>
            <w:gridCol w:w="3015"/>
            <w:gridCol w:w="373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Format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Typical CTR / Engagement Rate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Multiple vs. Standard Banner (0.4% avg)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Standard Static Banner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0.3–0.6%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1x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 Media Banner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1–3%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2–7x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SkratchAds at 1%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2.5x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SkratchAds at 2%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SkratchAds at 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12.5x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SkratchAds at 10%+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10%+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20.0" w:type="dxa"/>
              <w:left w:w="80.0" w:type="dxa"/>
              <w:bottom w:w="2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25x+</w:t>
            </w:r>
          </w:p>
        </w:tc>
      </w:tr>
    </w:tbl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And remember: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 1–2% is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only the initial scratch</w:t>
      </w:r>
      <w:r w:rsidDel="00000000" w:rsidR="00000000" w:rsidRPr="00000000">
        <w:rPr>
          <w:sz w:val="20"/>
          <w:szCs w:val="20"/>
          <w:rtl w:val="0"/>
        </w:rPr>
        <w:t xml:space="preserve"> — you still get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primed lose CTR</w:t>
      </w:r>
      <w:r w:rsidDel="00000000" w:rsidR="00000000" w:rsidRPr="00000000">
        <w:rPr>
          <w:sz w:val="20"/>
          <w:szCs w:val="20"/>
          <w:rtl w:val="0"/>
        </w:rPr>
        <w:t xml:space="preserve"> on the revealed ad (likely another 2–5%+ for losses).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effective engagement could easily be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3–7%+</w:t>
      </w:r>
      <w:r w:rsidDel="00000000" w:rsidR="00000000" w:rsidRPr="00000000">
        <w:rPr>
          <w:sz w:val="20"/>
          <w:szCs w:val="20"/>
          <w:rtl w:val="0"/>
        </w:rPr>
        <w:t xml:space="preserve"> even at conservative scratch rates.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That’s why the revenue projections hold up so well on the conservative side: even modest interaction rates generate premium eCPM because advertisers pay for real attention, not blind impressions.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1–2% isn’t the goal… but if that’s the floor, it’s already winning big. Anything higher (and the prize mechanic strongly suggests it will be) is pure upside.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