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realistic projected revenue model</w:t>
      </w:r>
      <w:r w:rsidDel="00000000" w:rsidR="00000000" w:rsidRPr="00000000">
        <w:rPr>
          <w:sz w:val="20"/>
          <w:szCs w:val="20"/>
          <w:rtl w:val="0"/>
        </w:rPr>
        <w:t xml:space="preserve"> for SkratchAds, based on 2025 industry benchmarks and your roadmap/phased growth. These are directional estimates—highly variable depending on execution, early metrics, and market fit—but grounded in current data.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40" w:lineRule="auto"/>
        <w:rPr/>
      </w:pPr>
      <w:bookmarkStart w:colFirst="0" w:colLast="0" w:name="_w0rbtla4si2e" w:id="0"/>
      <w:bookmarkEnd w:id="0"/>
      <w:r w:rsidDel="00000000" w:rsidR="00000000" w:rsidRPr="00000000">
        <w:rPr>
          <w:rtl w:val="0"/>
        </w:rPr>
        <w:t xml:space="preserve">Key Assumptions (Conservative Base Case)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Market context</w:t>
      </w:r>
      <w:r w:rsidDel="00000000" w:rsidR="00000000" w:rsidRPr="00000000">
        <w:rPr>
          <w:sz w:val="20"/>
          <w:szCs w:val="20"/>
          <w:rtl w:val="0"/>
        </w:rPr>
        <w:t xml:space="preserve">: Global in-app ad spend ~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$390–400 billion</w:t>
      </w:r>
      <w:r w:rsidDel="00000000" w:rsidR="00000000" w:rsidRPr="00000000">
        <w:rPr>
          <w:sz w:val="20"/>
          <w:szCs w:val="20"/>
          <w:rtl w:val="0"/>
        </w:rPr>
        <w:t xml:space="preserve"> in 2025 (Statista, SensorTower, Udonis).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 banner eCPM</w:t>
      </w:r>
      <w:r w:rsidDel="00000000" w:rsidR="00000000" w:rsidRPr="00000000">
        <w:rPr>
          <w:sz w:val="20"/>
          <w:szCs w:val="20"/>
          <w:rtl w:val="0"/>
        </w:rPr>
        <w:t xml:space="preserve">: $0.50–$2.00 globally (often $1–$1.50 Tier 1; lower elsewhere).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Rewarded/interactive eCPM</w:t>
      </w:r>
      <w:r w:rsidDel="00000000" w:rsidR="00000000" w:rsidRPr="00000000">
        <w:rPr>
          <w:sz w:val="20"/>
          <w:szCs w:val="20"/>
          <w:rtl w:val="0"/>
        </w:rPr>
        <w:t xml:space="preserve">: $10–$30 (your scratch mechanic is closest to rewarded—voluntary, prize-driven engagement).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Your edge</w:t>
      </w:r>
      <w:r w:rsidDel="00000000" w:rsidR="00000000" w:rsidRPr="00000000">
        <w:rPr>
          <w:sz w:val="20"/>
          <w:szCs w:val="20"/>
          <w:rtl w:val="0"/>
        </w:rPr>
        <w:t xml:space="preserve">: Projected effective eCPM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$8–$20</w:t>
      </w:r>
      <w:r w:rsidDel="00000000" w:rsidR="00000000" w:rsidRPr="00000000">
        <w:rPr>
          <w:sz w:val="20"/>
          <w:szCs w:val="20"/>
          <w:rtl w:val="0"/>
        </w:rPr>
        <w:t xml:space="preserve"> (30–70% take rate on $15–$30 CPS equivalent, accounting for dual-path value).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Revenue share</w:t>
      </w:r>
      <w:r w:rsidDel="00000000" w:rsidR="00000000" w:rsidRPr="00000000">
        <w:rPr>
          <w:sz w:val="20"/>
          <w:szCs w:val="20"/>
          <w:rtl w:val="0"/>
        </w:rPr>
        <w:t xml:space="preserve">: You take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 (standard for networks; publishers get 70%).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Impressions per DAU</w:t>
      </w:r>
      <w:r w:rsidDel="00000000" w:rsidR="00000000" w:rsidRPr="00000000">
        <w:rPr>
          <w:sz w:val="20"/>
          <w:szCs w:val="20"/>
          <w:rtl w:val="0"/>
        </w:rPr>
        <w:t xml:space="preserve">: Conservative 10–20 daily (polite banner placement).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Growth</w:t>
      </w:r>
      <w:r w:rsidDel="00000000" w:rsidR="00000000" w:rsidRPr="00000000">
        <w:rPr>
          <w:sz w:val="20"/>
          <w:szCs w:val="20"/>
          <w:rtl w:val="0"/>
        </w:rPr>
        <w:t xml:space="preserve">: Slow early (indie testers), accelerating with SDK/targeting.</w:t>
      </w:r>
      <w:r w:rsidDel="00000000" w:rsidR="00000000" w:rsidRPr="00000000">
        <w:rPr>
          <w:sz w:val="14"/>
          <w:szCs w:val="14"/>
          <w:rtl w:val="0"/>
        </w:rPr>
        <w:t xml:space="preserve">•</w:t>
        <w:tab/>
        <w:tab/>
        <w:t xml:space="preserve">•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</w:t>
      </w:r>
      <w:r w:rsidDel="00000000" w:rsidR="00000000" w:rsidRPr="00000000">
        <w:rPr>
          <w:sz w:val="20"/>
          <w:szCs w:val="20"/>
          <w:rtl w:val="0"/>
        </w:rPr>
        <w:t xml:space="preserve">: CPS primary ($1–$5 per scratch started); impressions free until engagement.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40" w:lineRule="auto"/>
        <w:rPr/>
      </w:pPr>
      <w:bookmarkStart w:colFirst="0" w:colLast="0" w:name="_ey0e8coqs0xi" w:id="1"/>
      <w:bookmarkEnd w:id="1"/>
      <w:r w:rsidDel="00000000" w:rsidR="00000000" w:rsidRPr="00000000">
        <w:rPr>
          <w:rtl w:val="0"/>
        </w:rPr>
        <w:t xml:space="preserve">Projected Revenue Scenarios (Annual, Post-Launch Years)</w:t>
      </w:r>
    </w:p>
    <w:p w:rsidR="00000000" w:rsidDel="00000000" w:rsidP="00000000" w:rsidRDefault="00000000" w:rsidRPr="00000000" w14:paraId="0000000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1380"/>
        <w:gridCol w:w="885"/>
        <w:gridCol w:w="1305"/>
        <w:gridCol w:w="975"/>
        <w:gridCol w:w="1260"/>
        <w:gridCol w:w="3090"/>
        <w:tblGridChange w:id="0">
          <w:tblGrid>
            <w:gridCol w:w="1380"/>
            <w:gridCol w:w="885"/>
            <w:gridCol w:w="1305"/>
            <w:gridCol w:w="975"/>
            <w:gridCol w:w="1260"/>
            <w:gridCol w:w="309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Year / 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Apps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Daily Impressions (Million)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Effective eCPM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Gross Revenue (Your 30% Share)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 / Milestones Needed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2026 (Phase 1–2: Early Traction)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50–200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0.5–2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$8–$12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$100k–$500k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First testers → native SDK → basic targeting. Mostly cross-promo/free tests.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2027 (Phase 3: Network Growth)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500–2,000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5–20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$12–$18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$1M–$5M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creatives, mediation adapters, category density (games/lifestyle). Real brand spend.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2028 (Phase 4: Scaled Niche)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5,000–10,000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50–100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$15–$25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$10M–$30M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auction, major brands, possible external demand. ARR momentum.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2029+ (Phase 5: Mature)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20,000+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200+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$20–$30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$50M+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Dominant in rewarded banners; potential acquisition target.</w:t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40" w:lineRule="auto"/>
        <w:rPr/>
      </w:pPr>
      <w:bookmarkStart w:colFirst="0" w:colLast="0" w:name="_cw6ymnnjao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40" w:lineRule="auto"/>
        <w:rPr/>
      </w:pPr>
      <w:bookmarkStart w:colFirst="0" w:colLast="0" w:name="_o4xn0o8oz22" w:id="3"/>
      <w:bookmarkEnd w:id="3"/>
      <w:r w:rsidDel="00000000" w:rsidR="00000000" w:rsidRPr="00000000">
        <w:rPr>
          <w:rtl w:val="0"/>
        </w:rPr>
        <w:t xml:space="preserve">How We Arrive at These Numbers (Transparent Math Example)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 2027 mid-case: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1,000 active apps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Average 10,000 DAU per app → 10 million DAU total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 impressions/DAU/day → ~150 million daily impressions (~4.5 billion monthly)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20% scratch interaction rate (your projected edge) → 900 million scratches/month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$3 average CPS (your take-rate adjusted) → ~$2.7M monthly gross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$32M annualized</w:t>
      </w:r>
      <w:r w:rsidDel="00000000" w:rsidR="00000000" w:rsidRPr="00000000">
        <w:rPr>
          <w:sz w:val="20"/>
          <w:szCs w:val="20"/>
          <w:rtl w:val="0"/>
        </w:rPr>
        <w:t xml:space="preserve"> (your 30% = ~$9.6M, but conservative down to $1–$5M range for risks).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Upside: Higher interaction (30%+) or premium CPS ($5+) pushes to high end.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Downside: Slower adoption or competition caps at low end.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40" w:lineRule="auto"/>
        <w:rPr/>
      </w:pPr>
      <w:bookmarkStart w:colFirst="0" w:colLast="0" w:name="_y1kh7ajav14" w:id="4"/>
      <w:bookmarkEnd w:id="4"/>
      <w:r w:rsidDel="00000000" w:rsidR="00000000" w:rsidRPr="00000000">
        <w:rPr>
          <w:rtl w:val="0"/>
        </w:rPr>
        <w:t xml:space="preserve">Revenue Streams Breakdown (Over Time)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Primary (80–90%)</w:t>
      </w:r>
      <w:r w:rsidDel="00000000" w:rsidR="00000000" w:rsidRPr="00000000">
        <w:rPr>
          <w:sz w:val="20"/>
          <w:szCs w:val="20"/>
          <w:rtl w:val="0"/>
        </w:rPr>
        <w:t xml:space="preserve">: CPS on scratches + primed lose clicks.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Secondary (10–20%)</w:t>
      </w:r>
      <w:r w:rsidDel="00000000" w:rsidR="00000000" w:rsidRPr="00000000">
        <w:rPr>
          <w:sz w:val="20"/>
          <w:szCs w:val="20"/>
          <w:rtl w:val="0"/>
        </w:rPr>
        <w:t xml:space="preserve">: Win/redemption fees (future CPW for leads).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Future add-ons</w:t>
      </w:r>
      <w:r w:rsidDel="00000000" w:rsidR="00000000" w:rsidRPr="00000000">
        <w:rPr>
          <w:sz w:val="20"/>
          <w:szCs w:val="20"/>
          <w:rtl w:val="0"/>
        </w:rPr>
        <w:t xml:space="preserve">: Premium targeting, managed campaigns, data insights.</w:t>
      </w:r>
    </w:p>
    <w:p w:rsidR="00000000" w:rsidDel="00000000" w:rsidP="00000000" w:rsidRDefault="00000000" w:rsidRPr="00000000" w14:paraId="0000003E">
      <w:pPr>
        <w:pStyle w:val="Heading3"/>
        <w:spacing w:after="40" w:lineRule="auto"/>
        <w:rPr/>
      </w:pPr>
      <w:bookmarkStart w:colFirst="0" w:colLast="0" w:name="_8sw5mvpbxo8y" w:id="5"/>
      <w:bookmarkEnd w:id="5"/>
      <w:r w:rsidDel="00000000" w:rsidR="00000000" w:rsidRPr="00000000">
        <w:rPr>
          <w:rtl w:val="0"/>
        </w:rPr>
        <w:t xml:space="preserve">Risks &amp; Variability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variable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Early metrics could swing eCPM 2–3x (if 30%+ interaction proven → rewarded-level rates).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Conservative tilt</w:t>
      </w:r>
      <w:r w:rsidDel="00000000" w:rsidR="00000000" w:rsidRPr="00000000">
        <w:rPr>
          <w:sz w:val="20"/>
          <w:szCs w:val="20"/>
          <w:rtl w:val="0"/>
        </w:rPr>
        <w:t xml:space="preserve">: Assumes gradual adoption; no viral breakout.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Path to profitability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Low overhead (internal serving) → break-even at ~$500k–$1M ARR.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model fits the "quiet opportunity" narrative: start small/niche, compound on superior engagement, hit $10M+ ARR as a specialized network without massive burn.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