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4"/>
        </w:rPr>
        <w:t>SkratchAds™ Trademark Filing Guide</w:t>
      </w:r>
    </w:p>
    <w:p>
      <w:pPr>
        <w:jc w:val="center"/>
      </w:pPr>
      <w:r>
        <w:rPr>
          <w:color w:val="666699"/>
          <w:sz w:val="26"/>
        </w:rPr>
        <w:t>International Classification Analysis &amp; Draft Language</w:t>
      </w:r>
    </w:p>
    <w:p>
      <w:pPr>
        <w:jc w:val="center"/>
      </w:pPr>
      <w:r>
        <w:rPr>
          <w:color w:val="999999"/>
          <w:sz w:val="20"/>
        </w:rPr>
        <w:t>Prepared: March 2026  |  Confidential</w:t>
      </w:r>
    </w:p>
    <w:p/>
    <w:p>
      <w:pPr>
        <w:pStyle w:val="Heading1"/>
        <w:jc w:val="left"/>
      </w:pPr>
      <w:r>
        <w:rPr>
          <w:color w:val="1A1A2E"/>
        </w:rPr>
        <w:t>Overview</w:t>
      </w:r>
    </w:p>
    <w:p>
      <w:r>
        <w:rPr>
          <w:b w:val="0"/>
          <w:i w:val="0"/>
          <w:sz w:val="22"/>
        </w:rPr>
        <w:t>This document provides a comprehensive trademark filing guide for the SkratchAds™ mark across two primary International Classifications under the Nice Agreement. It includes analysis of each class, coverage gaps, strengthened draft language, and key filing considerations.</w:t>
      </w:r>
    </w:p>
    <w:p/>
    <w:p>
      <w:pPr>
        <w:pStyle w:val="Heading1"/>
        <w:jc w:val="left"/>
      </w:pPr>
      <w:r>
        <w:rPr>
          <w:color w:val="1A1A2E"/>
        </w:rPr>
        <w:t>International Class 35 — Advertising Services</w:t>
      </w:r>
    </w:p>
    <w:p>
      <w:r>
        <w:rPr>
          <w:b/>
          <w:i w:val="0"/>
          <w:sz w:val="22"/>
        </w:rPr>
        <w:t>What Class 35 Covers</w:t>
      </w:r>
    </w:p>
    <w:p>
      <w:r>
        <w:rPr>
          <w:b w:val="0"/>
          <w:i w:val="0"/>
          <w:sz w:val="22"/>
        </w:rPr>
        <w:t>Class 35 under the Nice Classification covers advertising, business management, and business administration services. For SkratchAds, this is the commercial/business layer — the services provided to advertisers and publishers as customers, not the technology itself. The USPTO looks to Class 35 to protect the act of running advertising campaigns, providing ad space, and brokering the connection between advertisers and publishers.</w:t>
      </w:r>
    </w:p>
    <w:p/>
    <w:p>
      <w:r>
        <w:rPr>
          <w:b/>
          <w:i w:val="0"/>
          <w:sz w:val="22"/>
        </w:rPr>
        <w:t>Strengths in Current Language</w:t>
      </w:r>
    </w:p>
    <w:p>
      <w:pPr>
        <w:pStyle w:val="ListBullet"/>
      </w:pPr>
      <w:r>
        <w:rPr>
          <w:sz w:val="22"/>
        </w:rPr>
        <w:t>"Scratch-to-reveal" — specific and descriptive of the unique mechanic; retain this exact phrase</w:t>
      </w:r>
    </w:p>
    <w:p>
      <w:pPr>
        <w:pStyle w:val="ListBullet"/>
      </w:pPr>
      <w:r>
        <w:rPr>
          <w:sz w:val="22"/>
        </w:rPr>
        <w:t>"Interactive, gamified digital banner advertisements" — differentiates from standard banner ads</w:t>
      </w:r>
    </w:p>
    <w:p>
      <w:pPr>
        <w:pStyle w:val="ListBullet"/>
      </w:pPr>
      <w:r>
        <w:rPr>
          <w:sz w:val="22"/>
        </w:rPr>
        <w:t>"Connect advertisers with digital publishers" — covers the two-sided marketplace model</w:t>
      </w:r>
    </w:p>
    <w:p>
      <w:pPr>
        <w:pStyle w:val="ListBullet"/>
      </w:pPr>
      <w:r>
        <w:rPr>
          <w:sz w:val="22"/>
        </w:rPr>
        <w:t>"Reward-based advertisements" — covers the prize/incentive layer</w:t>
      </w:r>
    </w:p>
    <w:p/>
    <w:p>
      <w:r>
        <w:rPr>
          <w:b/>
          <w:i w:val="0"/>
          <w:sz w:val="22"/>
        </w:rPr>
        <w:t>Gaps &amp; Recommended Additions</w:t>
      </w:r>
    </w:p>
    <w:p>
      <w:pPr>
        <w:pStyle w:val="ListBullet"/>
      </w:pPr>
      <w:r>
        <w:rPr>
          <w:b/>
          <w:sz w:val="22"/>
        </w:rPr>
        <w:t>"Mobile and desktop digital advertising services" — Explicitly naming both mobile and desktop closes any gap for current use cases and future desktop/web placements, while "digital" serves as the umbrella term covering both channels.</w:t>
      </w:r>
      <w:r>
        <w:rPr>
          <w:sz w:val="22"/>
        </w:rPr>
      </w:r>
    </w:p>
    <w:p>
      <w:pPr>
        <w:pStyle w:val="ListBullet"/>
      </w:pPr>
      <w:r>
        <w:rPr>
          <w:b/>
          <w:sz w:val="22"/>
        </w:rPr>
        <w:t>"Providing advertising space in digital media"</w:t>
      </w:r>
      <w:r>
        <w:rPr>
          <w:sz w:val="22"/>
        </w:rPr>
        <w:t xml:space="preserve"> — This covers the publisher-side of the two-sided marketplace. Current language only addresses the advertiser-side creation/management.</w:t>
      </w:r>
    </w:p>
    <w:p>
      <w:pPr>
        <w:pStyle w:val="ListBullet"/>
      </w:pPr>
      <w:r>
        <w:rPr>
          <w:b/>
          <w:sz w:val="22"/>
        </w:rPr>
        <w:t>"Advertising analytics and performance reporting services"</w:t>
      </w:r>
      <w:r>
        <w:rPr>
          <w:sz w:val="22"/>
        </w:rPr>
        <w:t xml:space="preserve"> — Your Scratch-Through Rate metric and eCPM data are a service you provide. Protecting this explicitly covers your reporting/dashboard product.</w:t>
      </w:r>
    </w:p>
    <w:p>
      <w:pPr>
        <w:pStyle w:val="ListBullet"/>
      </w:pPr>
      <w:r>
        <w:rPr>
          <w:b/>
          <w:sz w:val="22"/>
        </w:rPr>
        <w:t>"Opt-in consumer engagement"</w:t>
      </w:r>
      <w:r>
        <w:rPr>
          <w:sz w:val="22"/>
        </w:rPr>
        <w:t xml:space="preserve"> — A material differentiator from forced/interruptive ads. Naming it explicitly strengthens your competitive position in the filing.</w:t>
      </w:r>
    </w:p>
    <w:p>
      <w:pPr>
        <w:pStyle w:val="ListBullet"/>
      </w:pPr>
      <w:r>
        <w:rPr>
          <w:b/>
          <w:sz w:val="22"/>
        </w:rPr>
        <w:t>"Reward fulfillment"</w:t>
      </w:r>
      <w:r>
        <w:rPr>
          <w:sz w:val="22"/>
        </w:rPr>
        <w:t xml:space="preserve"> — Prize distribution (gift cards, coupons, etc.) is a distinct service activity that benefits from explicit mention.</w:t>
      </w:r>
    </w:p>
    <w:p>
      <w:pPr>
        <w:pStyle w:val="ListBullet"/>
      </w:pPr>
      <w:r>
        <w:rPr>
          <w:b/>
          <w:sz w:val="22"/>
        </w:rPr>
        <w:t>"Promotional marketing services"</w:t>
      </w:r>
      <w:r>
        <w:rPr>
          <w:sz w:val="22"/>
        </w:rPr>
        <w:t xml:space="preserve"> — Broader umbrella that captures future use cases beyond pure banner ads.</w:t>
      </w:r>
    </w:p>
    <w:p>
      <w:pPr>
        <w:pStyle w:val="ListBullet"/>
      </w:pPr>
      <w:r>
        <w:rPr>
          <w:b/>
          <w:sz w:val="22"/>
        </w:rPr>
        <w:t>"Real-time programmatic delivery"</w:t>
      </w:r>
      <w:r>
        <w:rPr>
          <w:sz w:val="22"/>
        </w:rPr>
        <w:t xml:space="preserve"> — Covers your RTB roadmap even before it is live, via Intent-to-Use filing.</w:t>
      </w:r>
    </w:p>
    <w:p/>
    <w:p>
      <w:r>
        <w:rPr>
          <w:b/>
          <w:i w:val="0"/>
          <w:sz w:val="22"/>
        </w:rPr>
        <w:t>Class 35 — Final Consolidated Draft Language</w:t>
      </w:r>
    </w:p>
    <w:p>
      <w:pPr>
        <w:ind w:left="432" w:right="432"/>
      </w:pPr>
      <w:r>
        <w:rPr>
          <w:b/>
          <w:i/>
          <w:color w:val="444488"/>
          <w:sz w:val="20"/>
        </w:rPr>
        <w:t>Mobile and desktop advertising services for others in the field of interactive, gamified scratch-to-reveal digital banner advertising; providing an online platform connecting advertisers with publishers for placement of reward-based interactive advertisements on mobile and desktop; digital advertising campaign management services; opt-in gamified promotional marketing services; advertising services featuring prize and reward fulfillment via interactive digital advertisements.</w:t>
      </w:r>
      <w:r>
        <w:rPr>
          <w:i/>
          <w:sz w:val="20"/>
        </w:rPr>
      </w:r>
    </w:p>
    <w:p/>
    <w:p>
      <w:pPr>
        <w:pStyle w:val="Heading1"/>
        <w:jc w:val="left"/>
      </w:pPr>
      <w:r>
        <w:rPr>
          <w:color w:val="1A1A2E"/>
        </w:rPr>
        <w:t>International Class 42 — Technology / SaaS Platform</w:t>
      </w:r>
    </w:p>
    <w:p>
      <w:r>
        <w:rPr>
          <w:b/>
          <w:i w:val="0"/>
          <w:sz w:val="22"/>
        </w:rPr>
        <w:t>What Class 42 Covers</w:t>
      </w:r>
    </w:p>
    <w:p>
      <w:r>
        <w:rPr>
          <w:b w:val="0"/>
          <w:i w:val="0"/>
          <w:sz w:val="22"/>
        </w:rPr>
        <w:t>Class 42 covers scientific and technological services and software design/development. This is the technology layer — protecting the platform itself, the SDK, the APIs, and the cloud infrastructure. Without Class 42, a competitor could copy the exact tech stack under a different brand with limited recourse.</w:t>
      </w:r>
    </w:p>
    <w:p/>
    <w:p>
      <w:r>
        <w:rPr>
          <w:b/>
          <w:i w:val="0"/>
          <w:sz w:val="22"/>
        </w:rPr>
        <w:t>Strengths in Current Language</w:t>
      </w:r>
    </w:p>
    <w:p>
      <w:pPr>
        <w:pStyle w:val="ListBullet"/>
      </w:pPr>
      <w:r>
        <w:rPr>
          <w:sz w:val="22"/>
        </w:rPr>
        <w:t>"SaaS platform" explicitly named — important USPTO-recognized phrasing</w:t>
      </w:r>
    </w:p>
    <w:p>
      <w:pPr>
        <w:pStyle w:val="ListBullet"/>
      </w:pPr>
      <w:r>
        <w:rPr>
          <w:sz w:val="22"/>
        </w:rPr>
        <w:t>"Integrated rewards functionality" — covers the prize/reward mechanism as a technical feature</w:t>
      </w:r>
    </w:p>
    <w:p>
      <w:pPr>
        <w:pStyle w:val="ListBullet"/>
      </w:pPr>
      <w:r>
        <w:rPr>
          <w:sz w:val="22"/>
        </w:rPr>
        <w:t>"Gamified banner advertisements" — the specific format is named</w:t>
      </w:r>
    </w:p>
    <w:p/>
    <w:p>
      <w:r>
        <w:rPr>
          <w:b/>
          <w:i w:val="0"/>
          <w:sz w:val="22"/>
        </w:rPr>
        <w:t>Gaps &amp; Recommended Additions</w:t>
      </w:r>
    </w:p>
    <w:p>
      <w:pPr>
        <w:pStyle w:val="ListBullet"/>
      </w:pPr>
      <w:r>
        <w:rPr>
          <w:b/>
          <w:sz w:val="22"/>
        </w:rPr>
        <w:t>"APIs (Application Programming Interfaces)" — Critical addition. If you deploy an SDK that publishers embed into mobile apps or desktop web integrations, that is a distinct tech service not covered by current language. Covering both channels future-proofs the filing.</w:t>
      </w:r>
      <w:r>
        <w:rPr>
          <w:sz w:val="22"/>
        </w:rPr>
      </w:r>
    </w:p>
    <w:p>
      <w:pPr>
        <w:pStyle w:val="ListBullet"/>
      </w:pPr>
      <w:r>
        <w:rPr>
          <w:b/>
          <w:sz w:val="22"/>
        </w:rPr>
        <w:t>"Software Development Kit (SDK)" — The SDK is the mechanism by which publishers integrate SkratchAds into mobile applications and desktop web environments. Explicit protection closes the gap if a competitor ships a competing mobile or desktop SDK.</w:t>
      </w:r>
      <w:r>
        <w:rPr>
          <w:sz w:val="22"/>
        </w:rPr>
      </w:r>
    </w:p>
    <w:p>
      <w:pPr>
        <w:pStyle w:val="ListBullet"/>
      </w:pPr>
      <w:r>
        <w:rPr>
          <w:b/>
          <w:sz w:val="22"/>
        </w:rPr>
        <w:t>"Cloud computing services"</w:t>
      </w:r>
      <w:r>
        <w:rPr>
          <w:sz w:val="22"/>
        </w:rPr>
        <w:t xml:space="preserve"> — The rendering and delivery infrastructure is separable from campaign management. Naming it explicitly strengthens the filing.</w:t>
      </w:r>
    </w:p>
    <w:p>
      <w:pPr>
        <w:pStyle w:val="ListBullet"/>
      </w:pPr>
      <w:r>
        <w:rPr>
          <w:b/>
          <w:sz w:val="22"/>
        </w:rPr>
        <w:t>"Non-downloadable software"</w:t>
      </w:r>
      <w:r>
        <w:rPr>
          <w:sz w:val="22"/>
        </w:rPr>
        <w:t xml:space="preserve"> — USPTO-standard phrasing for web/SaaS products. Signals cloud-based delivery and avoids classification confusion with Class 9 (downloadable software).</w:t>
      </w:r>
    </w:p>
    <w:p>
      <w:pPr>
        <w:pStyle w:val="ListBullet"/>
      </w:pPr>
      <w:r>
        <w:rPr>
          <w:b/>
          <w:sz w:val="22"/>
        </w:rPr>
        <w:t>"Data analytics software services"</w:t>
      </w:r>
      <w:r>
        <w:rPr>
          <w:sz w:val="22"/>
        </w:rPr>
        <w:t xml:space="preserve"> — Your Scratch-Through Rate, eCPM reporting, and engagement metrics are a technology product. Class 42 covers the tech layer of your analytics.</w:t>
      </w:r>
    </w:p>
    <w:p>
      <w:pPr>
        <w:pStyle w:val="ListBullet"/>
      </w:pPr>
      <w:r>
        <w:rPr>
          <w:b/>
          <w:sz w:val="22"/>
        </w:rPr>
        <w:t>"Real-time bidding (RTB) technology services"</w:t>
      </w:r>
      <w:r>
        <w:rPr>
          <w:sz w:val="22"/>
        </w:rPr>
        <w:t xml:space="preserve"> — Covers your programmatic ad delivery roadmap via Intent-to-Use. Secures the priority date before you build it.</w:t>
      </w:r>
    </w:p>
    <w:p>
      <w:pPr>
        <w:pStyle w:val="ListBullet"/>
      </w:pPr>
      <w:r>
        <w:rPr>
          <w:b/>
          <w:sz w:val="22"/>
        </w:rPr>
        <w:t>"A/B testing and optimization software"</w:t>
      </w:r>
      <w:r>
        <w:rPr>
          <w:sz w:val="22"/>
        </w:rPr>
        <w:t xml:space="preserve"> — A feature of most ad platforms and likely on your roadmap; covers the analytics/optimization product layer.</w:t>
      </w:r>
    </w:p>
    <w:p/>
    <w:p>
      <w:r>
        <w:rPr>
          <w:b/>
          <w:i w:val="0"/>
          <w:sz w:val="22"/>
        </w:rPr>
        <w:t>Class 42 — Final Consolidated Draft Language</w:t>
      </w:r>
    </w:p>
    <w:p>
      <w:pPr>
        <w:ind w:left="432" w:right="432"/>
      </w:pPr>
      <w:r>
        <w:rPr>
          <w:b/>
          <w:color w:val="444488"/>
          <w:sz w:val="20"/>
        </w:rPr>
        <w:t>Providing a software-as-a-service (SaaS) platform for creating and managing interactive digital advertisements across mobile and desktop environments; software platform services for the delivery of gamified banner advertisements with integrated rewards functionality; providing application programming interfaces (APIs) enabling third-party mobile application and desktop web developers to integrate interactive gamified advertising functionality; providing a software development kit (SDK) for integration of scratch-to-reveal advertisement formats into mobile applications, desktop websites, and digital media; cloud computing services for the delivery and rendering of interactive digital advertisements across mobile and desktop platforms; data analytics software services for measuring consumer engagement and performance metrics of interactive digital advertisements; platform as a service (PaaS) featuring tools for programmatic delivery of reward-based digital advertisements; providing online non-downloadable software for management of consumer reward fulfillment associated with interactive digital advertisements; real-time bidding (RTB) technology services for programmatic distribution of gamified digital advertising inventory across mobile and desktop channels.</w:t>
      </w:r>
      <w:r>
        <w:rPr>
          <w:i/>
          <w:sz w:val="20"/>
        </w:rPr>
      </w:r>
    </w:p>
    <w:p/>
    <w:p>
      <w:pPr>
        <w:pStyle w:val="Heading1"/>
        <w:jc w:val="left"/>
      </w:pPr>
      <w:r>
        <w:rPr>
          <w:color w:val="1A1A2E"/>
        </w:rPr>
        <w:t>Additional Class to Consider: International Class 41 — Entertainment Services</w:t>
      </w:r>
    </w:p>
    <w:p>
      <w:r>
        <w:rPr>
          <w:b w:val="0"/>
          <w:i w:val="0"/>
          <w:sz w:val="22"/>
        </w:rPr>
        <w:t>The scratch-off mechanic is, by definition, a game of chance with entertainment value. The near-miss effect built into the SkratchAds psychology is a gaming mechanic, not just an advertising mechanic. Class 41 protection would prevent a gaming company from registering 'SkratchAds' as a casual game brand, and future-proofs the brand if it evolves into a consumer-facing product.</w:t>
      </w:r>
    </w:p>
    <w:p/>
    <w:p>
      <w:r>
        <w:rPr>
          <w:b/>
          <w:i w:val="0"/>
          <w:sz w:val="22"/>
        </w:rPr>
        <w:t>Class 41 — Suggested Draft Language</w:t>
      </w:r>
    </w:p>
    <w:p>
      <w:pPr>
        <w:ind w:left="432" w:right="432"/>
      </w:pPr>
      <w:r>
        <w:rPr>
          <w:b/>
          <w:color w:val="444488"/>
          <w:sz w:val="20"/>
        </w:rPr>
        <w:t>DRAFT — Class 41 Description (Optional):</w:t>
        <w:br/>
      </w:r>
      <w:r>
        <w:rPr>
          <w:i/>
          <w:sz w:val="20"/>
        </w:rPr>
        <w:t>Entertainment services in the nature of providing online interactive scratch-off games integrated within digital advertisements; providing gamified promotional contests and sweepstakes via digital media; entertainment services featuring reward-based interactive digital experiences.</w:t>
      </w:r>
    </w:p>
    <w:p/>
    <w:p>
      <w:pPr>
        <w:pStyle w:val="Heading1"/>
        <w:jc w:val="left"/>
      </w:pPr>
      <w:r>
        <w:rPr>
          <w:color w:val="1A1A2E"/>
        </w:rPr>
        <w:t>Key Filing Considerations</w:t>
      </w:r>
    </w:p>
    <w:p>
      <w:r>
        <w:rPr>
          <w:b/>
          <w:i w:val="0"/>
          <w:sz w:val="24"/>
        </w:rPr>
        <w:t>1. Distinctiveness — Your Biggest Risk</w:t>
      </w:r>
    </w:p>
    <w:p>
      <w:r>
        <w:rPr>
          <w:b w:val="0"/>
          <w:i w:val="0"/>
          <w:sz w:val="22"/>
        </w:rPr>
        <w:t>The USPTO examines trademarks on a spectrum: Generic → Descriptive → Suggestive → Arbitrary → Fanciful. Understanding where SkratchAds falls is critical:</w:t>
      </w:r>
    </w:p>
    <w:p>
      <w:pPr>
        <w:pStyle w:val="ListBullet"/>
      </w:pPr>
      <w:r>
        <w:rPr>
          <w:sz w:val="22"/>
        </w:rPr>
        <w:t>"Ads" — Generic for advertising. Provides zero standalone protection.</w:t>
      </w:r>
    </w:p>
    <w:p>
      <w:pPr>
        <w:pStyle w:val="ListBullet"/>
      </w:pPr>
      <w:r>
        <w:rPr>
          <w:sz w:val="22"/>
        </w:rPr>
        <w:t>"Scratch" — Potentially descriptive of the action your product performs (scratching to reveal). The USPTO may argue it merely describes a feature of the service.</w:t>
      </w:r>
    </w:p>
    <w:p>
      <w:pPr>
        <w:pStyle w:val="ListBullet"/>
      </w:pPr>
      <w:r>
        <w:rPr>
          <w:sz w:val="22"/>
        </w:rPr>
        <w:t>"Skratch" (with K) — Your strongest asset. The intentional misspelling creates what the USPTO treats as a distinctive coined element. Phonetically similar but visually distinctive marks receive more protection.</w:t>
      </w:r>
    </w:p>
    <w:p>
      <w:pPr>
        <w:pStyle w:val="ListBullet"/>
      </w:pPr>
      <w:r>
        <w:rPr>
          <w:sz w:val="22"/>
        </w:rPr>
        <w:t>"SkratchAds" as a whole — Likely falls in the suggestive category (suggests the product without describing it outright). Registrable, but expect a possible Office Action.</w:t>
      </w:r>
    </w:p>
    <w:p/>
    <w:p>
      <w:r>
        <w:rPr>
          <w:b w:val="0"/>
          <w:i/>
          <w:sz w:val="22"/>
        </w:rPr>
        <w:t>Recommendation: Prepare a brief argument that the K-spelling is a distinctive stylization. The mark does not directly describe the service — it only suggests it. No ordinary consumer writes "skratch" — the misspelling itself creates consumer distinctiveness.</w:t>
      </w:r>
    </w:p>
    <w:p/>
    <w:p>
      <w:r>
        <w:rPr>
          <w:b/>
          <w:i w:val="0"/>
          <w:sz w:val="24"/>
        </w:rPr>
        <w:t>2. Intent-to-Use (ITU) vs. Use-Based Filing</w:t>
      </w:r>
    </w:p>
    <w:p>
      <w:pPr>
        <w:pStyle w:val="ListBullet"/>
      </w:pPr>
      <w:r>
        <w:rPr>
          <w:sz w:val="22"/>
        </w:rPr>
        <w:t>If SkratchAds is not yet live in commerce: File as Intent-to-Use (ITU) under Section 1(b). This locks in your priority date while you build the product.</w:t>
      </w:r>
    </w:p>
    <w:p>
      <w:pPr>
        <w:pStyle w:val="ListBullet"/>
      </w:pPr>
      <w:r>
        <w:rPr>
          <w:sz w:val="22"/>
        </w:rPr>
        <w:t>If you have live advertisers or publishers using the platform: File as Use in Commerce under Section 1(a). Requires a specimen — a screenshot showing the mark used in the actual service.</w:t>
      </w:r>
    </w:p>
    <w:p>
      <w:pPr>
        <w:pStyle w:val="ListBullet"/>
      </w:pPr>
      <w:r>
        <w:rPr>
          <w:sz w:val="22"/>
        </w:rPr>
        <w:t>For a two-sided platform still in early access: ITU is the safer and recommended path.</w:t>
      </w:r>
    </w:p>
    <w:p/>
    <w:p>
      <w:r>
        <w:rPr>
          <w:b/>
          <w:i w:val="0"/>
          <w:sz w:val="24"/>
        </w:rPr>
        <w:t>3. Standard Characters vs. Stylized Mark</w:t>
      </w:r>
    </w:p>
    <w:p>
      <w:pPr>
        <w:pStyle w:val="ListBullet"/>
      </w:pPr>
      <w:r>
        <w:rPr>
          <w:sz w:val="22"/>
        </w:rPr>
        <w:t>Standard characters (word mark): Protects "SKRATCHADS" in any font, style, or color — the broadest protection available.</w:t>
      </w:r>
    </w:p>
    <w:p>
      <w:pPr>
        <w:pStyle w:val="ListBullet"/>
      </w:pPr>
      <w:r>
        <w:rPr>
          <w:sz w:val="22"/>
        </w:rPr>
        <w:t>Stylized/design mark: Only protects the specific logo/font filed.</w:t>
      </w:r>
    </w:p>
    <w:p>
      <w:pPr>
        <w:pStyle w:val="ListBullet"/>
      </w:pPr>
      <w:r>
        <w:rPr>
          <w:sz w:val="22"/>
        </w:rPr>
        <w:t>Recommendation: File the word mark first (standard characters) for the widest net. File the stylized logo as a separate design mark later.</w:t>
      </w:r>
    </w:p>
    <w:p/>
    <w:p>
      <w:r>
        <w:rPr>
          <w:b/>
          <w:i w:val="0"/>
          <w:sz w:val="24"/>
        </w:rPr>
        <w:t>4. Search Before You File — TESS (USPTO Database)</w:t>
      </w:r>
    </w:p>
    <w:p>
      <w:r>
        <w:rPr>
          <w:b w:val="0"/>
          <w:i w:val="0"/>
          <w:sz w:val="22"/>
        </w:rPr>
        <w:t>Run a TESS search (USPTO Trademark Electronic Search System) at tess2.uspto.gov for the following before submitting:</w:t>
      </w:r>
    </w:p>
    <w:p>
      <w:pPr>
        <w:pStyle w:val="ListBullet"/>
      </w:pPr>
      <w:r>
        <w:rPr>
          <w:sz w:val="22"/>
        </w:rPr>
        <w:t>SCRATCHADS</w:t>
      </w:r>
    </w:p>
    <w:p>
      <w:pPr>
        <w:pStyle w:val="ListBullet"/>
      </w:pPr>
      <w:r>
        <w:rPr>
          <w:sz w:val="22"/>
        </w:rPr>
        <w:t>SKRATCHADS</w:t>
      </w:r>
    </w:p>
    <w:p>
      <w:pPr>
        <w:pStyle w:val="ListBullet"/>
      </w:pPr>
      <w:r>
        <w:rPr>
          <w:sz w:val="22"/>
        </w:rPr>
        <w:t>SCRATCH ADS</w:t>
      </w:r>
    </w:p>
    <w:p>
      <w:pPr>
        <w:pStyle w:val="ListBullet"/>
      </w:pPr>
      <w:r>
        <w:rPr>
          <w:sz w:val="22"/>
        </w:rPr>
        <w:t>SKRATCH (standalone in Classes 35 and 42)</w:t>
      </w:r>
    </w:p>
    <w:p>
      <w:pPr>
        <w:pStyle w:val="ListBullet"/>
      </w:pPr>
      <w:r>
        <w:rPr>
          <w:sz w:val="22"/>
        </w:rPr>
        <w:t>SCRATCH + advertising (in Classes 35 and 42)</w:t>
      </w:r>
    </w:p>
    <w:p>
      <w:pPr>
        <w:pStyle w:val="ListBullet"/>
      </w:pPr>
      <w:r>
        <w:rPr>
          <w:sz w:val="22"/>
        </w:rPr>
        <w:t>ADSCRATCH</w:t>
      </w:r>
    </w:p>
    <w:p>
      <w:pPr>
        <w:pStyle w:val="ListBullet"/>
      </w:pPr>
      <w:r>
        <w:rPr>
          <w:sz w:val="22"/>
        </w:rPr>
        <w:t>SCRATCHIT</w:t>
      </w:r>
    </w:p>
    <w:p>
      <w:r>
        <w:rPr>
          <w:b w:val="0"/>
          <w:i/>
          <w:sz w:val="22"/>
        </w:rPr>
        <w:t>If a live registration is found that is confusingly similar in the same class, expect a refusal or opposition proceeding. Identify conflicts before filing to avoid wasted fees.</w:t>
      </w:r>
    </w:p>
    <w:p/>
    <w:p>
      <w:r>
        <w:rPr>
          <w:b/>
          <w:i w:val="0"/>
          <w:sz w:val="24"/>
        </w:rPr>
        <w:t>5. TM vs. ® Symbol</w:t>
      </w:r>
    </w:p>
    <w:p>
      <w:pPr>
        <w:pStyle w:val="ListBullet"/>
      </w:pPr>
      <w:r>
        <w:rPr>
          <w:sz w:val="22"/>
        </w:rPr>
        <w:t>You are correctly using ™ now — this is the proper unregistered trademark claim.</w:t>
      </w:r>
    </w:p>
    <w:p>
      <w:pPr>
        <w:pStyle w:val="ListBullet"/>
      </w:pPr>
      <w:r>
        <w:rPr>
          <w:sz w:val="22"/>
        </w:rPr>
        <w:t>Once the USPTO issues the registration certificate, switch all uses to ® immediately.</w:t>
      </w:r>
    </w:p>
    <w:p>
      <w:pPr>
        <w:pStyle w:val="ListBullet"/>
      </w:pPr>
      <w:r>
        <w:rPr>
          <w:sz w:val="22"/>
        </w:rPr>
        <w:t>Failure to use ® after registration can affect enforcement rights in some jurisdictions.</w:t>
      </w:r>
    </w:p>
    <w:p/>
    <w:p>
      <w:r>
        <w:rPr>
          <w:b/>
          <w:i w:val="0"/>
          <w:sz w:val="24"/>
        </w:rPr>
        <w:t>6. Attorney Review Recommendation</w:t>
      </w:r>
    </w:p>
    <w:p>
      <w:r>
        <w:rPr>
          <w:b w:val="0"/>
          <w:i w:val="0"/>
          <w:sz w:val="22"/>
        </w:rPr>
        <w:t>Trademark filings are legal documents. An Office Action (rejection) can cost $1,500+ to respond to professionally. A $300–500 attorney review upfront is a sound investment. Recommended options:</w:t>
      </w:r>
    </w:p>
    <w:p>
      <w:pPr>
        <w:pStyle w:val="ListBullet"/>
      </w:pPr>
      <w:r>
        <w:rPr>
          <w:sz w:val="22"/>
        </w:rPr>
        <w:t>Gerben Law (gerbenlaw.com) — boutique IP firm specializing in USPTO tech/software trademark filings</w:t>
      </w:r>
    </w:p>
    <w:p>
      <w:pPr>
        <w:pStyle w:val="ListBullet"/>
      </w:pPr>
      <w:r>
        <w:rPr>
          <w:sz w:val="22"/>
        </w:rPr>
        <w:t>LegalZoom Trademark — affordable filing with attorney review option</w:t>
      </w:r>
    </w:p>
    <w:p>
      <w:pPr>
        <w:pStyle w:val="ListBullet"/>
      </w:pPr>
      <w:r>
        <w:rPr>
          <w:sz w:val="22"/>
        </w:rPr>
        <w:t>Trademark Engine — lower cost, suitable for straightforward word mark filings</w:t>
      </w:r>
    </w:p>
    <w:p/>
    <w:p>
      <w:pPr>
        <w:pStyle w:val="Heading1"/>
        <w:jc w:val="left"/>
      </w:pPr>
      <w:r>
        <w:rPr>
          <w:color w:val="1A1A2E"/>
        </w:rPr>
        <w:t>Filing Checklist</w:t>
      </w:r>
    </w:p>
    <w:p>
      <w:pPr>
        <w:pStyle w:val="ListBullet"/>
      </w:pPr>
      <w:r>
        <w:rPr>
          <w:sz w:val="22"/>
        </w:rPr>
        <w:t>Run TESS search for SKRATCHADS, SCRATCHADS, and variants in Classes 35, 41, 42</w:t>
      </w:r>
    </w:p>
    <w:p>
      <w:pPr>
        <w:pStyle w:val="ListBullet"/>
      </w:pPr>
      <w:r>
        <w:rPr>
          <w:sz w:val="22"/>
        </w:rPr>
        <w:t>Decide: ITU (Section 1b) or Use-Based (Section 1a) — confirm whether platform is live in commerce</w:t>
      </w:r>
    </w:p>
    <w:p>
      <w:pPr>
        <w:pStyle w:val="ListBullet"/>
      </w:pPr>
      <w:r>
        <w:rPr>
          <w:sz w:val="22"/>
        </w:rPr>
        <w:t>File as standard characters (word mark) first for broadest protection</w:t>
      </w:r>
    </w:p>
    <w:p>
      <w:pPr>
        <w:pStyle w:val="ListBullet"/>
      </w:pPr>
      <w:r>
        <w:rPr>
          <w:sz w:val="22"/>
        </w:rPr>
        <w:t>Prepare specimen if filing use-based: screenshot of mark used on website, platform, or in advertising</w:t>
      </w:r>
    </w:p>
    <w:p>
      <w:pPr>
        <w:pStyle w:val="ListBullet"/>
      </w:pPr>
      <w:r>
        <w:rPr>
          <w:sz w:val="22"/>
        </w:rPr>
        <w:t>File Class 35 description using consolidated draft language above</w:t>
      </w:r>
    </w:p>
    <w:p>
      <w:pPr>
        <w:pStyle w:val="ListBullet"/>
      </w:pPr>
      <w:r>
        <w:rPr>
          <w:sz w:val="22"/>
        </w:rPr>
        <w:t>File Class 42 description using consolidated draft language above</w:t>
      </w:r>
    </w:p>
    <w:p>
      <w:pPr>
        <w:pStyle w:val="ListBullet"/>
      </w:pPr>
      <w:r>
        <w:rPr>
          <w:sz w:val="22"/>
        </w:rPr>
        <w:t>Consider Class 41 if budget allows (entertainment/gaming angle)</w:t>
      </w:r>
    </w:p>
    <w:p>
      <w:pPr>
        <w:pStyle w:val="ListBullet"/>
      </w:pPr>
      <w:r>
        <w:rPr>
          <w:sz w:val="22"/>
        </w:rPr>
        <w:t>Switch from ™ to ® on all materials upon registration certificate receipt</w:t>
      </w:r>
    </w:p>
    <w:p>
      <w:pPr>
        <w:pStyle w:val="ListBullet"/>
      </w:pPr>
      <w:r>
        <w:rPr>
          <w:sz w:val="22"/>
        </w:rPr>
        <w:t>Have an IP attorney review descriptions before submitting</w:t>
      </w:r>
    </w:p>
    <w:p>
      <w:pPr>
        <w:pStyle w:val="ListBullet"/>
      </w:pPr>
      <w:r>
        <w:rPr>
          <w:sz w:val="22"/>
        </w:rPr>
        <w:t>Set a calendar reminder: USPTO examination typically takes 8–12 months from filing date</w:t>
      </w:r>
    </w:p>
    <w:p/>
    <w:p>
      <w:r>
        <w:rPr>
          <w:b w:val="0"/>
          <w:i/>
          <w:sz w:val="18"/>
        </w:rPr>
        <w:t>SkratchAds™ Trademark Filing Guide — March 2026 | Confidential — Prepared with Claude AI | This document is for informational purposes only and does not constitute legal advice.</w:t>
      </w:r>
    </w:p>
    <w:p>
      <w:r>
        <w:br w:type="page"/>
      </w:r>
    </w:p>
    <w:p>
      <w:pPr>
        <w:pStyle w:val="Heading1"/>
        <w:jc w:val="left"/>
      </w:pPr>
      <w:r>
        <w:rPr>
          <w:color w:val="1A1A2E"/>
        </w:rPr>
        <w:t>Trademark Specimens — What to Provide for Each Class</w:t>
      </w:r>
    </w:p>
    <w:p>
      <w:r>
        <w:rPr>
          <w:b w:val="0"/>
          <w:i w:val="0"/>
          <w:sz w:val="22"/>
        </w:rPr>
        <w:t>The specimen is one of the most commonly rejected parts of a trademark filing. The USPTO requires proof that the mark is actually being used in commerce in connection with the specific services claimed. Below is exactly what works for each class.</w:t>
      </w:r>
    </w:p>
    <w:p/>
    <w:p>
      <w:pPr>
        <w:pStyle w:val="Heading2"/>
        <w:jc w:val="left"/>
      </w:pPr>
      <w:r>
        <w:rPr>
          <w:color w:val="1A1A2E"/>
        </w:rPr>
        <w:t>Class 35 — Advertising Services: Accepted Specimens</w:t>
      </w:r>
    </w:p>
    <w:p>
      <w:r>
        <w:rPr>
          <w:b w:val="0"/>
          <w:i w:val="0"/>
          <w:sz w:val="22"/>
        </w:rPr>
        <w:t>The USPTO requires the specimen to show the mark being used in connection with the services — not just the logo on a website, but proof the services are actually being rendered or offered to customers.</w:t>
      </w:r>
    </w:p>
    <w:p/>
    <w:p>
      <w:r>
        <w:rPr>
          <w:b/>
          <w:i w:val="0"/>
          <w:sz w:val="22"/>
        </w:rPr>
        <w:t>Accepted Specimens for Class 35:</w:t>
      </w:r>
    </w:p>
    <w:p>
      <w:pPr>
        <w:pStyle w:val="ListBullet"/>
      </w:pPr>
      <w:r>
        <w:rPr>
          <w:b/>
          <w:sz w:val="22"/>
        </w:rPr>
        <w:t>Screenshot of your Advertisers or Publishers page</w:t>
      </w:r>
      <w:r>
        <w:rPr>
          <w:sz w:val="22"/>
        </w:rPr>
        <w:t xml:space="preserve"> — Shows the SkratchAds™ mark alongside a description of advertising services offered. The page must clearly describe the services (campaign management, ad placement, etc.) — not just display a logo.</w:t>
      </w:r>
    </w:p>
    <w:p>
      <w:pPr>
        <w:pStyle w:val="ListBullet"/>
      </w:pPr>
      <w:r>
        <w:rPr>
          <w:b/>
          <w:sz w:val="22"/>
        </w:rPr>
        <w:t>Screenshot of your platform dashboard</w:t>
      </w:r>
      <w:r>
        <w:rPr>
          <w:sz w:val="22"/>
        </w:rPr>
        <w:t xml:space="preserve"> — Shows the SkratchAds™ name/logo alongside active campaign management features, proving the service is functional and in use.</w:t>
      </w:r>
    </w:p>
    <w:p>
      <w:pPr>
        <w:pStyle w:val="ListBullet"/>
      </w:pPr>
      <w:r>
        <w:rPr>
          <w:b/>
          <w:sz w:val="22"/>
        </w:rPr>
        <w:t>Signed advertiser or publisher agreement/contract</w:t>
      </w:r>
      <w:r>
        <w:rPr>
          <w:sz w:val="22"/>
        </w:rPr>
        <w:t xml:space="preserve"> — Bears the SkratchAds™ mark and describes the advertising services being provided.</w:t>
      </w:r>
    </w:p>
    <w:p>
      <w:pPr>
        <w:pStyle w:val="ListBullet"/>
      </w:pPr>
      <w:r>
        <w:rPr>
          <w:b/>
          <w:sz w:val="22"/>
        </w:rPr>
        <w:t>Email or proposal sent to an advertiser or publisher</w:t>
      </w:r>
      <w:r>
        <w:rPr>
          <w:sz w:val="22"/>
        </w:rPr>
        <w:t xml:space="preserve"> — On SkratchAds™ branded letterhead describing the services offered.</w:t>
      </w:r>
    </w:p>
    <w:p>
      <w:pPr>
        <w:pStyle w:val="ListBullet"/>
      </w:pPr>
      <w:r>
        <w:rPr>
          <w:b/>
          <w:sz w:val="22"/>
        </w:rPr>
        <w:t>Screenshot of your pricing or Get Started page</w:t>
      </w:r>
      <w:r>
        <w:rPr>
          <w:sz w:val="22"/>
        </w:rPr>
        <w:t xml:space="preserve"> — Shows the SkratchAds™ mark alongside a description of the advertising service offering.</w:t>
      </w:r>
    </w:p>
    <w:p/>
    <w:p>
      <w:r>
        <w:rPr>
          <w:b/>
          <w:i w:val="0"/>
          <w:sz w:val="22"/>
        </w:rPr>
        <w:t>What Gets Rejected for Class 35:</w:t>
      </w:r>
    </w:p>
    <w:p>
      <w:pPr>
        <w:pStyle w:val="ListBullet"/>
      </w:pPr>
      <w:r>
        <w:rPr>
          <w:sz w:val="22"/>
        </w:rPr>
        <w:t>A logo alone with no description of services</w:t>
      </w:r>
    </w:p>
    <w:p>
      <w:pPr>
        <w:pStyle w:val="ListBullet"/>
      </w:pPr>
      <w:r>
        <w:rPr>
          <w:sz w:val="22"/>
        </w:rPr>
        <w:t>A business card</w:t>
      </w:r>
    </w:p>
    <w:p>
      <w:pPr>
        <w:pStyle w:val="ListBullet"/>
      </w:pPr>
      <w:r>
        <w:rPr>
          <w:sz w:val="22"/>
        </w:rPr>
        <w:t>A screenshot of just the homepage with no service description visible</w:t>
      </w:r>
    </w:p>
    <w:p>
      <w:pPr>
        <w:pStyle w:val="ListBullet"/>
      </w:pPr>
      <w:r>
        <w:rPr>
          <w:sz w:val="22"/>
        </w:rPr>
        <w:t>Social media profile screenshots (generally not accepted for services)</w:t>
      </w:r>
    </w:p>
    <w:p/>
    <w:p>
      <w:r>
        <w:rPr>
          <w:b/>
          <w:sz w:val="22"/>
        </w:rPr>
        <w:t xml:space="preserve">Best Option for SkratchAds Right Now: </w:t>
      </w:r>
      <w:r>
        <w:rPr>
          <w:sz w:val="22"/>
        </w:rPr>
        <w:t>A screenshot of skratchads.com/advertisers or skratchads.com/publishers showing the SkratchAds™ name and a clear description of the advertising services. This is the cleanest and most commonly accepted specimen for Class 35.</w:t>
      </w:r>
    </w:p>
    <w:p/>
    <w:p>
      <w:pPr>
        <w:pStyle w:val="Heading2"/>
        <w:jc w:val="left"/>
      </w:pPr>
      <w:r>
        <w:rPr>
          <w:color w:val="1A1A2E"/>
        </w:rPr>
        <w:t>Class 42 — Technology / SaaS Platform: Accepted Specimens</w:t>
      </w:r>
    </w:p>
    <w:p>
      <w:r>
        <w:rPr>
          <w:b w:val="0"/>
          <w:i w:val="0"/>
          <w:sz w:val="22"/>
        </w:rPr>
        <w:t>For Class 42, the specimen must show the mark used in connection with the technology services themselves — the software platform, not just the advertising service it powers.</w:t>
      </w:r>
    </w:p>
    <w:p/>
    <w:p>
      <w:r>
        <w:rPr>
          <w:b/>
          <w:i w:val="0"/>
          <w:sz w:val="22"/>
        </w:rPr>
        <w:t>Accepted Specimens for Class 42:</w:t>
      </w:r>
    </w:p>
    <w:p>
      <w:pPr>
        <w:pStyle w:val="ListBullet"/>
      </w:pPr>
      <w:r>
        <w:rPr>
          <w:b/>
          <w:sz w:val="22"/>
        </w:rPr>
        <w:t>Screenshot of the SaaS platform login page or dashboard</w:t>
      </w:r>
      <w:r>
        <w:rPr>
          <w:sz w:val="22"/>
        </w:rPr>
        <w:t xml:space="preserve"> — With the SkratchAds™ mark visible. This is the gold standard for SaaS trademarks. The USPTO treats a working platform login page as direct proof that software services are being rendered.</w:t>
      </w:r>
    </w:p>
    <w:p>
      <w:pPr>
        <w:pStyle w:val="ListBullet"/>
      </w:pPr>
      <w:r>
        <w:rPr>
          <w:b/>
          <w:sz w:val="22"/>
        </w:rPr>
        <w:t>Screenshot of SDK or API documentation page</w:t>
      </w:r>
      <w:r>
        <w:rPr>
          <w:sz w:val="22"/>
        </w:rPr>
        <w:t xml:space="preserve"> — At your domain showing the SkratchAds™ mark. Proves the technology service is accessible to developers.</w:t>
      </w:r>
    </w:p>
    <w:p>
      <w:pPr>
        <w:pStyle w:val="ListBullet"/>
      </w:pPr>
      <w:r>
        <w:rPr>
          <w:b/>
          <w:sz w:val="22"/>
        </w:rPr>
        <w:t>Screenshot of a developer portal or integration guide page</w:t>
      </w:r>
      <w:r>
        <w:rPr>
          <w:sz w:val="22"/>
        </w:rPr>
        <w:t xml:space="preserve"> — On your website showing the SkratchAds™ mark and describing the software platform services.</w:t>
      </w:r>
    </w:p>
    <w:p>
      <w:pPr>
        <w:pStyle w:val="ListBullet"/>
      </w:pPr>
      <w:r>
        <w:rPr>
          <w:b/>
          <w:sz w:val="22"/>
        </w:rPr>
        <w:t>Screenshot of a Features or Technology page</w:t>
      </w:r>
      <w:r>
        <w:rPr>
          <w:sz w:val="22"/>
        </w:rPr>
        <w:t xml:space="preserve"> — On your website that describes the SaaS platform, SDK, APIs, or cloud delivery infrastructure, with the SkratchAds™ mark clearly visible in the header or navigation.</w:t>
      </w:r>
    </w:p>
    <w:p>
      <w:pPr>
        <w:pStyle w:val="ListBullet"/>
      </w:pPr>
      <w:r>
        <w:rPr>
          <w:b/>
          <w:sz w:val="22"/>
        </w:rPr>
        <w:t>App store listing or developer documentation for a SkratchAds SDK or desktop web integration tool — Under the SkratchAds™ brand name.</w:t>
      </w:r>
      <w:r>
        <w:rPr>
          <w:sz w:val="22"/>
        </w:rPr>
      </w:r>
    </w:p>
    <w:p/>
    <w:p>
      <w:r>
        <w:rPr>
          <w:b/>
          <w:i w:val="0"/>
          <w:sz w:val="22"/>
        </w:rPr>
        <w:t>What Gets Rejected for Class 42:</w:t>
      </w:r>
    </w:p>
    <w:p>
      <w:pPr>
        <w:pStyle w:val="ListBullet"/>
      </w:pPr>
      <w:r>
        <w:rPr>
          <w:sz w:val="22"/>
        </w:rPr>
        <w:t>The same screenshot used for both Class 35 and Class 42 — the USPTO expects distinct specimens for each class</w:t>
      </w:r>
    </w:p>
    <w:p>
      <w:pPr>
        <w:pStyle w:val="ListBullet"/>
      </w:pPr>
      <w:r>
        <w:rPr>
          <w:sz w:val="22"/>
        </w:rPr>
        <w:t>A screenshot that only shows advertising services with no reference to the software/technology layer</w:t>
      </w:r>
    </w:p>
    <w:p>
      <w:pPr>
        <w:pStyle w:val="ListBullet"/>
      </w:pPr>
      <w:r>
        <w:rPr>
          <w:sz w:val="22"/>
        </w:rPr>
        <w:t>Press releases or news articles about the product</w:t>
      </w:r>
    </w:p>
    <w:p/>
    <w:p>
      <w:r>
        <w:rPr>
          <w:b/>
          <w:sz w:val="22"/>
        </w:rPr>
        <w:t xml:space="preserve">Best Option for SkratchAds Right Now: </w:t>
      </w:r>
      <w:r>
        <w:rPr>
          <w:sz w:val="22"/>
        </w:rPr>
        <w:t>A screenshot of your platform dashboard or a dedicated Technology / How It Works page on your website that describes the SaaS platform, SDK, or API — with the SkratchAds™ mark visible in the header or navigation.</w:t>
      </w:r>
    </w:p>
    <w:p/>
    <w:p>
      <w:pPr>
        <w:pStyle w:val="Heading2"/>
        <w:jc w:val="left"/>
      </w:pPr>
      <w:r>
        <w:rPr>
          <w:color w:val="1A1A2E"/>
        </w:rPr>
        <w:t>Filing Intent-to-Use (ITU) — No Specimen Required at Filing</w:t>
      </w:r>
    </w:p>
    <w:p>
      <w:r>
        <w:rPr>
          <w:b w:val="0"/>
          <w:i w:val="0"/>
          <w:sz w:val="22"/>
        </w:rPr>
        <w:t>If the platform is not fully live yet, you do not need a specimen at the time of filing — that is the entire point of ITU. You submit the specimen later when the USPTO issues a Notice of Allowance, at which point you file a Statement of Use with the specimen attached.</w:t>
      </w:r>
    </w:p>
    <w:p/>
    <w:p>
      <w:pPr>
        <w:pStyle w:val="ListBullet"/>
      </w:pPr>
      <w:r>
        <w:rPr>
          <w:sz w:val="22"/>
        </w:rPr>
        <w:t>You get up to 36 months (in 6-month extensions) to get the mark into commerce and submit the specimen.</w:t>
      </w:r>
    </w:p>
    <w:p>
      <w:pPr>
        <w:pStyle w:val="ListBullet"/>
      </w:pPr>
      <w:r>
        <w:rPr>
          <w:sz w:val="22"/>
        </w:rPr>
        <w:t>File today to lock in your priority date, then prepare the proper specimen pages on your website in the meantime.</w:t>
      </w:r>
    </w:p>
    <w:p>
      <w:pPr>
        <w:pStyle w:val="ListBullet"/>
      </w:pPr>
      <w:r>
        <w:rPr>
          <w:sz w:val="22"/>
        </w:rPr>
        <w:t>Each 6-month extension request costs $125 per class — budget for 1–2 extensions as a buffer.</w:t>
      </w:r>
    </w:p>
    <w:p/>
    <w:p>
      <w:pPr>
        <w:pStyle w:val="Heading2"/>
        <w:jc w:val="left"/>
      </w:pPr>
      <w:r>
        <w:rPr>
          <w:color w:val="1A1A2E"/>
        </w:rPr>
        <w:t>Specimen Preparation Checklist — Pages to Have Live Before Filing</w:t>
      </w:r>
    </w:p>
    <w:p>
      <w:r>
        <w:rPr>
          <w:b w:val="0"/>
          <w:i w:val="0"/>
          <w:sz w:val="22"/>
        </w:rPr>
        <w:t>Before you file (or before submitting your Statement of Use), ensure these pages exist on your live website and clearly show the SkratchAds™ mark:</w:t>
      </w:r>
    </w:p>
    <w:p/>
    <w:tbl>
      <w:tblPr>
        <w:tblStyle w:val="TableGrid"/>
        <w:tblW w:type="auto" w:w="0"/>
        <w:tblLook w:firstColumn="1" w:firstRow="1" w:lastColumn="0" w:lastRow="0" w:noHBand="0" w:noVBand="1" w:val="04A0"/>
      </w:tblPr>
      <w:tblGrid>
        <w:gridCol w:w="2928"/>
        <w:gridCol w:w="2928"/>
        <w:gridCol w:w="2928"/>
      </w:tblGrid>
      <w:tr>
        <w:tc>
          <w:tcPr>
            <w:tcW w:type="dxa" w:w="2928"/>
            <w:shd w:fill="1A1A2E" w:color="auto" w:val="clear"/>
          </w:tcPr>
          <w:p>
            <w:r>
              <w:rPr>
                <w:b/>
                <w:color w:val="FFFFFF"/>
                <w:sz w:val="20"/>
              </w:rPr>
              <w:t>Page / Asset</w:t>
            </w:r>
          </w:p>
        </w:tc>
        <w:tc>
          <w:tcPr>
            <w:tcW w:type="dxa" w:w="2928"/>
            <w:shd w:fill="1A1A2E" w:color="auto" w:val="clear"/>
          </w:tcPr>
          <w:p>
            <w:r>
              <w:rPr>
                <w:b/>
                <w:color w:val="FFFFFF"/>
                <w:sz w:val="20"/>
              </w:rPr>
              <w:t>What It Must Show</w:t>
            </w:r>
          </w:p>
        </w:tc>
        <w:tc>
          <w:tcPr>
            <w:tcW w:type="dxa" w:w="2928"/>
            <w:shd w:fill="1A1A2E" w:color="auto" w:val="clear"/>
          </w:tcPr>
          <w:p>
            <w:r>
              <w:rPr>
                <w:b/>
                <w:color w:val="FFFFFF"/>
                <w:sz w:val="20"/>
              </w:rPr>
              <w:t>Class Supported</w:t>
            </w:r>
          </w:p>
        </w:tc>
      </w:tr>
      <w:tr>
        <w:tc>
          <w:tcPr>
            <w:tcW w:type="dxa" w:w="2928"/>
          </w:tcPr>
          <w:p>
            <w:r>
              <w:rPr>
                <w:sz w:val="20"/>
              </w:rPr>
              <w:t>/advertisers</w:t>
            </w:r>
          </w:p>
        </w:tc>
        <w:tc>
          <w:tcPr>
            <w:tcW w:type="dxa" w:w="2928"/>
          </w:tcPr>
          <w:p>
            <w:r>
              <w:rPr>
                <w:sz w:val="20"/>
              </w:rPr>
              <w:t>Describes ad campaign management services + SkratchAds™ mark visible</w:t>
            </w:r>
          </w:p>
        </w:tc>
        <w:tc>
          <w:tcPr>
            <w:tcW w:type="dxa" w:w="2928"/>
          </w:tcPr>
          <w:p>
            <w:r>
              <w:rPr>
                <w:sz w:val="20"/>
              </w:rPr>
              <w:t>Class 35</w:t>
            </w:r>
          </w:p>
        </w:tc>
      </w:tr>
      <w:tr>
        <w:tc>
          <w:tcPr>
            <w:tcW w:type="dxa" w:w="2928"/>
          </w:tcPr>
          <w:p>
            <w:r>
              <w:rPr>
                <w:sz w:val="20"/>
              </w:rPr>
              <w:t>/publishers</w:t>
            </w:r>
          </w:p>
        </w:tc>
        <w:tc>
          <w:tcPr>
            <w:tcW w:type="dxa" w:w="2928"/>
          </w:tcPr>
          <w:p>
            <w:r>
              <w:rPr>
                <w:sz w:val="20"/>
              </w:rPr>
              <w:t>Describes ad placement / monetization services + SkratchAds™ mark visible</w:t>
            </w:r>
          </w:p>
        </w:tc>
        <w:tc>
          <w:tcPr>
            <w:tcW w:type="dxa" w:w="2928"/>
          </w:tcPr>
          <w:p>
            <w:r>
              <w:rPr>
                <w:sz w:val="20"/>
              </w:rPr>
              <w:t>Class 35</w:t>
            </w:r>
          </w:p>
        </w:tc>
      </w:tr>
      <w:tr>
        <w:tc>
          <w:tcPr>
            <w:tcW w:type="dxa" w:w="2928"/>
          </w:tcPr>
          <w:p>
            <w:r>
              <w:rPr>
                <w:sz w:val="20"/>
              </w:rPr>
              <w:t>/platform or /technology</w:t>
            </w:r>
          </w:p>
        </w:tc>
        <w:tc>
          <w:tcPr>
            <w:tcW w:type="dxa" w:w="2928"/>
          </w:tcPr>
          <w:p>
            <w:r>
              <w:rPr>
                <w:sz w:val="20"/>
              </w:rPr>
              <w:t>Describes SaaS platform, SDK, APIs + SkratchAds™ mark visible</w:t>
            </w:r>
          </w:p>
        </w:tc>
        <w:tc>
          <w:tcPr>
            <w:tcW w:type="dxa" w:w="2928"/>
          </w:tcPr>
          <w:p>
            <w:r>
              <w:rPr>
                <w:sz w:val="20"/>
              </w:rPr>
              <w:t>Class 42</w:t>
            </w:r>
          </w:p>
        </w:tc>
      </w:tr>
      <w:tr>
        <w:tc>
          <w:tcPr>
            <w:tcW w:type="dxa" w:w="2928"/>
          </w:tcPr>
          <w:p>
            <w:r>
              <w:rPr>
                <w:sz w:val="20"/>
              </w:rPr>
              <w:t>Dashboard login screen</w:t>
            </w:r>
          </w:p>
        </w:tc>
        <w:tc>
          <w:tcPr>
            <w:tcW w:type="dxa" w:w="2928"/>
          </w:tcPr>
          <w:p>
            <w:r>
              <w:rPr>
                <w:sz w:val="20"/>
              </w:rPr>
              <w:t>SkratchAds™ mark visible on working platform login or UI</w:t>
            </w:r>
          </w:p>
        </w:tc>
        <w:tc>
          <w:tcPr>
            <w:tcW w:type="dxa" w:w="2928"/>
          </w:tcPr>
          <w:p>
            <w:r>
              <w:rPr>
                <w:sz w:val="20"/>
              </w:rPr>
              <w:t>Class 42</w:t>
            </w:r>
          </w:p>
        </w:tc>
      </w:tr>
      <w:tr>
        <w:tc>
          <w:tcPr>
            <w:tcW w:type="dxa" w:w="2928"/>
          </w:tcPr>
          <w:p>
            <w:r>
              <w:rPr>
                <w:sz w:val="20"/>
              </w:rPr>
              <w:t>Developer / API docs page</w:t>
            </w:r>
          </w:p>
        </w:tc>
        <w:tc>
          <w:tcPr>
            <w:tcW w:type="dxa" w:w="2928"/>
          </w:tcPr>
          <w:p>
            <w:r>
              <w:rPr>
                <w:sz w:val="20"/>
              </w:rPr>
              <w:t>SkratchAds™ mark + SDK/API integration description</w:t>
            </w:r>
          </w:p>
        </w:tc>
        <w:tc>
          <w:tcPr>
            <w:tcW w:type="dxa" w:w="2928"/>
          </w:tcPr>
          <w:p>
            <w:r>
              <w:rPr>
                <w:sz w:val="20"/>
              </w:rPr>
              <w:t>Class 42</w:t>
            </w:r>
          </w:p>
        </w:tc>
      </w:tr>
    </w:tbl>
    <w:p/>
    <w:p>
      <w:r>
        <w:rPr>
          <w:b w:val="0"/>
          <w:i/>
          <w:sz w:val="22"/>
        </w:rPr>
        <w:t>Important: Keep dated screenshots of all specimen pages at the time of filing. Timestamps matter if your filing is ever challenged in an opposition or cancellation proceeding. Use a tool like web.archive.org to create a permanent dated record of your specimen pages.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