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df" ContentType="application/pdf"/>
  <Override PartName="/word/media/rId26.pdf" ContentType="application/pdf"/>
  <Override PartName="/word/media/rId36.pdf" ContentType="application/pdf"/>
  <Override PartName="/word/media/rId39.pdf" ContentType="application/pdf"/>
  <Override PartName="/word/media/rId42.pdf" ContentType="application/pdf"/>
  <Override PartName="/word/media/rId30.pdf" ContentType="application/pdf"/>
  <Override PartName="/word/media/rId3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Comparative</w:t>
      </w:r>
      <w:r>
        <w:t xml:space="preserve"> </w:t>
      </w:r>
      <w:r>
        <w:t xml:space="preserve">Study</w:t>
      </w:r>
      <w:r>
        <w:t xml:space="preserve"> </w:t>
      </w:r>
      <w:r>
        <w:t xml:space="preserve">of</w:t>
      </w:r>
      <w:r>
        <w:t xml:space="preserve"> </w:t>
      </w:r>
      <w:r>
        <w:t xml:space="preserve">Machine</w:t>
      </w:r>
      <w:r>
        <w:t xml:space="preserve"> </w:t>
      </w:r>
      <w:r>
        <w:t xml:space="preserve">Learning,</w:t>
      </w:r>
      <w:r>
        <w:t xml:space="preserve"> </w:t>
      </w:r>
      <w:r>
        <w:t xml:space="preserve">Deep</w:t>
      </w:r>
      <w:r>
        <w:t xml:space="preserve"> </w:t>
      </w:r>
      <w:r>
        <w:t xml:space="preserve">Learning,</w:t>
      </w:r>
      <w:r>
        <w:t xml:space="preserve"> </w:t>
      </w:r>
      <w:r>
        <w:t xml:space="preserve">and</w:t>
      </w:r>
      <w:r>
        <w:t xml:space="preserve"> </w:t>
      </w:r>
      <w:r>
        <w:t xml:space="preserve">Foundation</w:t>
      </w:r>
      <w:r>
        <w:t xml:space="preserve"> </w:t>
      </w:r>
      <w:r>
        <w:t xml:space="preserve">Models</w:t>
      </w:r>
      <w:r>
        <w:t xml:space="preserve"> </w:t>
      </w:r>
      <w:r>
        <w:t xml:space="preserve">for</w:t>
      </w:r>
      <w:r>
        <w:t xml:space="preserve"> </w:t>
      </w:r>
      <w:r>
        <w:t xml:space="preserve">Short-Term</w:t>
      </w:r>
      <w:r>
        <w:t xml:space="preserve"> </w:t>
      </w:r>
      <w:r>
        <w:t xml:space="preserve">Electricity</w:t>
      </w:r>
      <w:r>
        <w:t xml:space="preserve"> </w:t>
      </w:r>
      <w:r>
        <w:t xml:space="preserve">Load</w:t>
      </w:r>
      <w:r>
        <w:t xml:space="preserve"> </w:t>
      </w:r>
      <w:r>
        <w:t xml:space="preserve">Forecasting</w:t>
      </w:r>
    </w:p>
    <w:p>
      <w:pPr>
        <w:pStyle w:val="Author"/>
      </w:pPr>
      <w:r>
        <w:t xml:space="preserve">TODO</w:t>
      </w:r>
      <w:r>
        <w:t xml:space="preserve"> </w:t>
      </w:r>
      <w:r>
        <w:t xml:space="preserve">Author</w:t>
      </w:r>
      <w:r>
        <w:t xml:space="preserve"> </w:t>
      </w:r>
      <w:r>
        <w:t xml:space="preserve">Name</w:t>
      </w:r>
      <w:r>
        <w:br/>
      </w:r>
      <w:r>
        <w:t xml:space="preserve">TODO</w:t>
      </w:r>
      <w:r>
        <w:t xml:space="preserve"> </w:t>
      </w:r>
      <w:r>
        <w:t xml:space="preserve">Affiliation</w:t>
      </w:r>
      <w:r>
        <w:br/>
      </w:r>
      <w:r>
        <w:t xml:space="preserve">TODO</w:t>
      </w:r>
      <w:r>
        <w:t xml:space="preserve"> </w:t>
      </w:r>
      <w:r>
        <w:t xml:space="preserve">Email</w:t>
      </w:r>
    </w:p>
    <w:p>
      <w:pPr>
        <w:pStyle w:val="Date"/>
      </w:pPr>
      <w:r>
        <w:t xml:space="preserve">2026-05-05</w:t>
      </w:r>
    </w:p>
    <w:p>
      <w:pPr>
        <w:pStyle w:val="AbstractTitle"/>
      </w:pPr>
      <w:r>
        <w:t xml:space="preserve">Abstract</w:t>
      </w:r>
    </w:p>
    <w:p>
      <w:pPr>
        <w:pStyle w:val="Abstract"/>
      </w:pPr>
      <w:r>
        <w:t xml:space="preserve">Short-term</w:t>
      </w:r>
      <w:r>
        <w:t xml:space="preserve"> </w:t>
      </w:r>
      <w:r>
        <w:t xml:space="preserve">electricity</w:t>
      </w:r>
      <w:r>
        <w:t xml:space="preserve"> </w:t>
      </w:r>
      <w:r>
        <w:t xml:space="preserve">load</w:t>
      </w:r>
      <w:r>
        <w:t xml:space="preserve"> </w:t>
      </w:r>
      <w:r>
        <w:t xml:space="preserve">forecasting</w:t>
      </w:r>
      <w:r>
        <w:t xml:space="preserve"> </w:t>
      </w:r>
      <w:r>
        <w:t xml:space="preserve">is</w:t>
      </w:r>
      <w:r>
        <w:t xml:space="preserve"> </w:t>
      </w:r>
      <w:r>
        <w:t xml:space="preserve">a</w:t>
      </w:r>
      <w:r>
        <w:t xml:space="preserve"> </w:t>
      </w:r>
      <w:r>
        <w:t xml:space="preserve">core</w:t>
      </w:r>
      <w:r>
        <w:t xml:space="preserve"> </w:t>
      </w:r>
      <w:r>
        <w:t xml:space="preserve">component</w:t>
      </w:r>
      <w:r>
        <w:t xml:space="preserve"> </w:t>
      </w:r>
      <w:r>
        <w:t xml:space="preserve">of</w:t>
      </w:r>
      <w:r>
        <w:t xml:space="preserve"> </w:t>
      </w:r>
      <w:r>
        <w:t xml:space="preserve">smart-grid</w:t>
      </w:r>
      <w:r>
        <w:t xml:space="preserve"> </w:t>
      </w:r>
      <w:r>
        <w:t xml:space="preserve">operation,</w:t>
      </w:r>
      <w:r>
        <w:t xml:space="preserve"> </w:t>
      </w:r>
      <w:r>
        <w:t xml:space="preserve">predictive</w:t>
      </w:r>
      <w:r>
        <w:t xml:space="preserve"> </w:t>
      </w:r>
      <w:r>
        <w:t xml:space="preserve">planning,</w:t>
      </w:r>
      <w:r>
        <w:t xml:space="preserve"> </w:t>
      </w:r>
      <w:r>
        <w:t xml:space="preserve">and</w:t>
      </w:r>
      <w:r>
        <w:t xml:space="preserve"> </w:t>
      </w:r>
      <w:r>
        <w:t xml:space="preserve">industrial</w:t>
      </w:r>
      <w:r>
        <w:t xml:space="preserve"> </w:t>
      </w:r>
      <w:r>
        <w:t xml:space="preserve">energy</w:t>
      </w:r>
      <w:r>
        <w:t xml:space="preserve"> </w:t>
      </w:r>
      <w:r>
        <w:t xml:space="preserve">management.</w:t>
      </w:r>
      <w:r>
        <w:t xml:space="preserve"> </w:t>
      </w:r>
      <w:r>
        <w:t xml:space="preserve">This</w:t>
      </w:r>
      <w:r>
        <w:t xml:space="preserve"> </w:t>
      </w:r>
      <w:r>
        <w:t xml:space="preserve">paper</w:t>
      </w:r>
      <w:r>
        <w:t xml:space="preserve"> </w:t>
      </w:r>
      <w:r>
        <w:t xml:space="preserve">presents</w:t>
      </w:r>
      <w:r>
        <w:t xml:space="preserve"> </w:t>
      </w:r>
      <w:r>
        <w:t xml:space="preserve">a</w:t>
      </w:r>
      <w:r>
        <w:t xml:space="preserve"> </w:t>
      </w:r>
      <w:r>
        <w:t xml:space="preserve">reproducible</w:t>
      </w:r>
      <w:r>
        <w:t xml:space="preserve"> </w:t>
      </w:r>
      <w:r>
        <w:t xml:space="preserve">benchmark</w:t>
      </w:r>
      <w:r>
        <w:t xml:space="preserve"> </w:t>
      </w:r>
      <w:r>
        <w:t xml:space="preserve">comparing</w:t>
      </w:r>
      <w:r>
        <w:t xml:space="preserve"> </w:t>
      </w:r>
      <w:r>
        <w:t xml:space="preserve">a</w:t>
      </w:r>
      <w:r>
        <w:t xml:space="preserve"> </w:t>
      </w:r>
      <w:r>
        <w:t xml:space="preserve">seasonal</w:t>
      </w:r>
      <w:r>
        <w:t xml:space="preserve"> </w:t>
      </w:r>
      <w:r>
        <w:t xml:space="preserve">baseline,</w:t>
      </w:r>
      <w:r>
        <w:t xml:space="preserve"> </w:t>
      </w:r>
      <w:r>
        <w:t xml:space="preserve">XGBoost,</w:t>
      </w:r>
      <w:r>
        <w:t xml:space="preserve"> </w:t>
      </w:r>
      <w:r>
        <w:t xml:space="preserve">three</w:t>
      </w:r>
      <w:r>
        <w:t xml:space="preserve"> </w:t>
      </w:r>
      <w:r>
        <w:t xml:space="preserve">neural</w:t>
      </w:r>
      <w:r>
        <w:t xml:space="preserve"> </w:t>
      </w:r>
      <w:r>
        <w:t xml:space="preserve">architectures,</w:t>
      </w:r>
      <w:r>
        <w:t xml:space="preserve"> </w:t>
      </w:r>
      <w:r>
        <w:t xml:space="preserve">and</w:t>
      </w:r>
      <w:r>
        <w:t xml:space="preserve"> </w:t>
      </w:r>
      <w:r>
        <w:t xml:space="preserve">two</w:t>
      </w:r>
      <w:r>
        <w:t xml:space="preserve"> </w:t>
      </w:r>
      <w:r>
        <w:t xml:space="preserve">time-series</w:t>
      </w:r>
      <w:r>
        <w:t xml:space="preserve"> </w:t>
      </w:r>
      <w:r>
        <w:t xml:space="preserve">foundation</w:t>
      </w:r>
      <w:r>
        <w:t xml:space="preserve"> </w:t>
      </w:r>
      <w:r>
        <w:t xml:space="preserve">models.</w:t>
      </w:r>
      <w:r>
        <w:t xml:space="preserve"> </w:t>
      </w:r>
      <w:r>
        <w:t xml:space="preserve">The</w:t>
      </w:r>
      <w:r>
        <w:t xml:space="preserve"> </w:t>
      </w:r>
      <w:r>
        <w:t xml:space="preserve">primary</w:t>
      </w:r>
      <w:r>
        <w:t xml:space="preserve"> </w:t>
      </w:r>
      <w:r>
        <w:t xml:space="preserve">evaluation</w:t>
      </w:r>
      <w:r>
        <w:t xml:space="preserve"> </w:t>
      </w:r>
      <w:r>
        <w:t xml:space="preserve">uses</w:t>
      </w:r>
      <w:r>
        <w:t xml:space="preserve"> </w:t>
      </w:r>
      <w:r>
        <w:t xml:space="preserve">the</w:t>
      </w:r>
      <w:r>
        <w:t xml:space="preserve"> </w:t>
      </w:r>
      <w:r>
        <w:t xml:space="preserve">ECL</w:t>
      </w:r>
      <w:r>
        <w:t xml:space="preserve"> </w:t>
      </w:r>
      <w:r>
        <w:t xml:space="preserve">electricity</w:t>
      </w:r>
      <w:r>
        <w:t xml:space="preserve"> </w:t>
      </w:r>
      <w:r>
        <w:t xml:space="preserve">consumption</w:t>
      </w:r>
      <w:r>
        <w:t xml:space="preserve"> </w:t>
      </w:r>
      <w:r>
        <w:t xml:space="preserve">dataset</w:t>
      </w:r>
      <w:r>
        <w:t xml:space="preserve"> </w:t>
      </w:r>
      <w:r>
        <w:t xml:space="preserve">with</w:t>
      </w:r>
      <w:r>
        <w:t xml:space="preserve"> </w:t>
      </w:r>
      <w:r>
        <w:t xml:space="preserve">aggregate</w:t>
      </w:r>
      <w:r>
        <w:t xml:space="preserve"> </w:t>
      </w:r>
      <w:r>
        <w:t xml:space="preserve">load</w:t>
      </w:r>
      <w:r>
        <w:t xml:space="preserve"> </w:t>
      </w:r>
      <w:r>
        <w:t xml:space="preserve">as</w:t>
      </w:r>
      <w:r>
        <w:t xml:space="preserve"> </w:t>
      </w:r>
      <w:r>
        <w:t xml:space="preserve">the</w:t>
      </w:r>
      <w:r>
        <w:t xml:space="preserve"> </w:t>
      </w:r>
      <w:r>
        <w:t xml:space="preserve">target.</w:t>
      </w:r>
      <w:r>
        <w:t xml:space="preserve"> </w:t>
      </w:r>
      <w:r>
        <w:t xml:space="preserve">ETTh1</w:t>
      </w:r>
      <w:r>
        <w:t xml:space="preserve"> </w:t>
      </w:r>
      <w:r>
        <w:t xml:space="preserve">is</w:t>
      </w:r>
      <w:r>
        <w:t xml:space="preserve"> </w:t>
      </w:r>
      <w:r>
        <w:t xml:space="preserve">used</w:t>
      </w:r>
      <w:r>
        <w:t xml:space="preserve"> </w:t>
      </w:r>
      <w:r>
        <w:t xml:space="preserve">as</w:t>
      </w:r>
      <w:r>
        <w:t xml:space="preserve"> </w:t>
      </w:r>
      <w:r>
        <w:t xml:space="preserve">a</w:t>
      </w:r>
      <w:r>
        <w:t xml:space="preserve"> </w:t>
      </w:r>
      <w:r>
        <w:t xml:space="preserve">secondary</w:t>
      </w:r>
      <w:r>
        <w:t xml:space="preserve"> </w:t>
      </w:r>
      <w:r>
        <w:t xml:space="preserve">industrial</w:t>
      </w:r>
      <w:r>
        <w:t xml:space="preserve"> </w:t>
      </w:r>
      <w:r>
        <w:t xml:space="preserve">benchmark</w:t>
      </w:r>
      <w:r>
        <w:t xml:space="preserve"> </w:t>
      </w:r>
      <w:r>
        <w:t xml:space="preserve">with</w:t>
      </w:r>
      <w:r>
        <w:t xml:space="preserve"> </w:t>
      </w:r>
      <w:r>
        <w:t xml:space="preserve">HUFL,</w:t>
      </w:r>
      <w:r>
        <w:t xml:space="preserve"> </w:t>
      </w:r>
      <w:r>
        <w:t xml:space="preserve">a</w:t>
      </w:r>
      <w:r>
        <w:t xml:space="preserve"> </w:t>
      </w:r>
      <w:r>
        <w:t xml:space="preserve">load-related</w:t>
      </w:r>
      <w:r>
        <w:t xml:space="preserve"> </w:t>
      </w:r>
      <w:r>
        <w:t xml:space="preserve">transformer</w:t>
      </w:r>
      <w:r>
        <w:t xml:space="preserve"> </w:t>
      </w:r>
      <w:r>
        <w:t xml:space="preserve">variable,</w:t>
      </w:r>
      <w:r>
        <w:t xml:space="preserve"> </w:t>
      </w:r>
      <w:r>
        <w:t xml:space="preserve">as</w:t>
      </w:r>
      <w:r>
        <w:t xml:space="preserve"> </w:t>
      </w:r>
      <w:r>
        <w:t xml:space="preserve">the</w:t>
      </w:r>
      <w:r>
        <w:t xml:space="preserve"> </w:t>
      </w:r>
      <w:r>
        <w:t xml:space="preserve">target;</w:t>
      </w:r>
      <w:r>
        <w:t xml:space="preserve"> </w:t>
      </w:r>
      <w:r>
        <w:t xml:space="preserve">the</w:t>
      </w:r>
      <w:r>
        <w:t xml:space="preserve"> </w:t>
      </w:r>
      <w:r>
        <w:t xml:space="preserve">oil-temperature</w:t>
      </w:r>
      <w:r>
        <w:t xml:space="preserve"> </w:t>
      </w:r>
      <w:r>
        <w:t xml:space="preserve">variable</w:t>
      </w:r>
      <w:r>
        <w:t xml:space="preserve"> </w:t>
      </w:r>
      <w:r>
        <w:t xml:space="preserve">OT</w:t>
      </w:r>
      <w:r>
        <w:t xml:space="preserve"> </w:t>
      </w:r>
      <w:r>
        <w:t xml:space="preserve">is</w:t>
      </w:r>
      <w:r>
        <w:t xml:space="preserve"> </w:t>
      </w:r>
      <w:r>
        <w:t xml:space="preserve">deliberately</w:t>
      </w:r>
      <w:r>
        <w:t xml:space="preserve"> </w:t>
      </w:r>
      <w:r>
        <w:t xml:space="preserve">not</w:t>
      </w:r>
      <w:r>
        <w:t xml:space="preserve"> </w:t>
      </w:r>
      <w:r>
        <w:t xml:space="preserve">treated</w:t>
      </w:r>
      <w:r>
        <w:t xml:space="preserve"> </w:t>
      </w:r>
      <w:r>
        <w:t xml:space="preserve">as</w:t>
      </w:r>
      <w:r>
        <w:t xml:space="preserve"> </w:t>
      </w:r>
      <w:r>
        <w:t xml:space="preserve">load.</w:t>
      </w:r>
      <w:r>
        <w:t xml:space="preserve"> </w:t>
      </w:r>
      <w:r>
        <w:t xml:space="preserve">Experiments</w:t>
      </w:r>
      <w:r>
        <w:t xml:space="preserve"> </w:t>
      </w:r>
      <w:r>
        <w:t xml:space="preserve">cover</w:t>
      </w:r>
      <w:r>
        <w:t xml:space="preserve"> </w:t>
      </w:r>
      <w:r>
        <w:t xml:space="preserve">horizons</w:t>
      </w:r>
      <w:r>
        <w:t xml:space="preserve"> </w:t>
      </w:r>
      <w:r>
        <w:t xml:space="preserve">of</w:t>
      </w:r>
      <w:r>
        <w:t xml:space="preserve"> </w:t>
      </w:r>
      <w:r>
        <w:t xml:space="preserve">24,</w:t>
      </w:r>
      <w:r>
        <w:t xml:space="preserve"> </w:t>
      </w:r>
      <w:r>
        <w:t xml:space="preserve">96,</w:t>
      </w:r>
      <w:r>
        <w:t xml:space="preserve"> </w:t>
      </w:r>
      <w:r>
        <w:t xml:space="preserve">and</w:t>
      </w:r>
      <w:r>
        <w:t xml:space="preserve"> </w:t>
      </w:r>
      <w:r>
        <w:t xml:space="preserve">168</w:t>
      </w:r>
      <w:r>
        <w:t xml:space="preserve"> </w:t>
      </w:r>
      <w:r>
        <w:t xml:space="preserve">hours</w:t>
      </w:r>
      <w:r>
        <w:t xml:space="preserve"> </w:t>
      </w:r>
      <w:r>
        <w:t xml:space="preserve">using</w:t>
      </w:r>
      <w:r>
        <w:t xml:space="preserve"> </w:t>
      </w:r>
      <w:r>
        <w:t xml:space="preserve">a</w:t>
      </w:r>
      <w:r>
        <w:t xml:space="preserve"> </w:t>
      </w:r>
      <w:r>
        <w:t xml:space="preserve">fixed</w:t>
      </w:r>
      <w:r>
        <w:t xml:space="preserve"> </w:t>
      </w:r>
      <w:r>
        <w:t xml:space="preserve">336-hour</w:t>
      </w:r>
      <w:r>
        <w:t xml:space="preserve"> </w:t>
      </w:r>
      <w:r>
        <w:t xml:space="preserve">context.</w:t>
      </w:r>
      <w:r>
        <w:t xml:space="preserve"> </w:t>
      </w:r>
      <w:r>
        <w:t xml:space="preserve">On</w:t>
      </w:r>
      <w:r>
        <w:t xml:space="preserve"> </w:t>
      </w:r>
      <w:r>
        <w:t xml:space="preserve">ECL,</w:t>
      </w:r>
      <w:r>
        <w:t xml:space="preserve"> </w:t>
      </w:r>
      <w:r>
        <w:t xml:space="preserve">TimesFM</w:t>
      </w:r>
      <w:r>
        <w:t xml:space="preserve"> </w:t>
      </w:r>
      <w:r>
        <w:t xml:space="preserve">obtains</w:t>
      </w:r>
      <w:r>
        <w:t xml:space="preserve"> </w:t>
      </w:r>
      <w:r>
        <w:t xml:space="preserve">the</w:t>
      </w:r>
      <w:r>
        <w:t xml:space="preserve"> </w:t>
      </w:r>
      <w:r>
        <w:t xml:space="preserve">lowest</w:t>
      </w:r>
      <w:r>
        <w:t xml:space="preserve"> </w:t>
      </w:r>
      <w:r>
        <w:t xml:space="preserve">point-wise</w:t>
      </w:r>
      <w:r>
        <w:t xml:space="preserve"> </w:t>
      </w:r>
      <w:r>
        <w:t xml:space="preserve">MAE</w:t>
      </w:r>
      <w:r>
        <w:t xml:space="preserve"> </w:t>
      </w:r>
      <w:r>
        <w:t xml:space="preserve">at</w:t>
      </w:r>
      <w:r>
        <w:t xml:space="preserve"> </w:t>
      </w:r>
      <w:r>
        <w:t xml:space="preserve">H=24,</w:t>
      </w:r>
      <w:r>
        <w:t xml:space="preserve"> </w:t>
      </w:r>
      <w:r>
        <w:t xml:space="preserve">while</w:t>
      </w:r>
      <w:r>
        <w:t xml:space="preserve"> </w:t>
      </w:r>
      <w:r>
        <w:t xml:space="preserve">XGBoost</w:t>
      </w:r>
      <w:r>
        <w:t xml:space="preserve"> </w:t>
      </w:r>
      <w:r>
        <w:t xml:space="preserve">is</w:t>
      </w:r>
      <w:r>
        <w:t xml:space="preserve"> </w:t>
      </w:r>
      <w:r>
        <w:t xml:space="preserve">best</w:t>
      </w:r>
      <w:r>
        <w:t xml:space="preserve"> </w:t>
      </w:r>
      <w:r>
        <w:t xml:space="preserve">at</w:t>
      </w:r>
      <w:r>
        <w:t xml:space="preserve"> </w:t>
      </w:r>
      <w:r>
        <w:t xml:space="preserve">H=96</w:t>
      </w:r>
      <w:r>
        <w:t xml:space="preserve"> </w:t>
      </w:r>
      <w:r>
        <w:t xml:space="preserve">and</w:t>
      </w:r>
      <w:r>
        <w:t xml:space="preserve"> </w:t>
      </w:r>
      <w:r>
        <w:t xml:space="preserve">H=168</w:t>
      </w:r>
      <w:r>
        <w:t xml:space="preserve"> </w:t>
      </w:r>
      <w:r>
        <w:t xml:space="preserve">with</w:t>
      </w:r>
      <w:r>
        <w:t xml:space="preserve"> </w:t>
      </w:r>
      <w:r>
        <w:t xml:space="preserve">low</w:t>
      </w:r>
      <w:r>
        <w:t xml:space="preserve"> </w:t>
      </w:r>
      <w:r>
        <w:t xml:space="preserve">single-window</w:t>
      </w:r>
      <w:r>
        <w:t xml:space="preserve"> </w:t>
      </w:r>
      <w:r>
        <w:t xml:space="preserve">latency.</w:t>
      </w:r>
      <w:r>
        <w:t xml:space="preserve"> </w:t>
      </w:r>
      <w:r>
        <w:t xml:space="preserve">Chronos-Bolt</w:t>
      </w:r>
      <w:r>
        <w:t xml:space="preserve"> </w:t>
      </w:r>
      <w:r>
        <w:t xml:space="preserve">is</w:t>
      </w:r>
      <w:r>
        <w:t xml:space="preserve"> </w:t>
      </w:r>
      <w:r>
        <w:t xml:space="preserve">consistently</w:t>
      </w:r>
      <w:r>
        <w:t xml:space="preserve"> </w:t>
      </w:r>
      <w:r>
        <w:t xml:space="preserve">close</w:t>
      </w:r>
      <w:r>
        <w:t xml:space="preserve"> </w:t>
      </w:r>
      <w:r>
        <w:t xml:space="preserve">to</w:t>
      </w:r>
      <w:r>
        <w:t xml:space="preserve"> </w:t>
      </w:r>
      <w:r>
        <w:t xml:space="preserve">XGBoost</w:t>
      </w:r>
      <w:r>
        <w:t xml:space="preserve"> </w:t>
      </w:r>
      <w:r>
        <w:t xml:space="preserve">without</w:t>
      </w:r>
      <w:r>
        <w:t xml:space="preserve"> </w:t>
      </w:r>
      <w:r>
        <w:t xml:space="preserve">task-specific</w:t>
      </w:r>
      <w:r>
        <w:t xml:space="preserve"> </w:t>
      </w:r>
      <w:r>
        <w:t xml:space="preserve">training.</w:t>
      </w:r>
      <w:r>
        <w:t xml:space="preserve"> </w:t>
      </w:r>
      <w:r>
        <w:t xml:space="preserve">On</w:t>
      </w:r>
      <w:r>
        <w:t xml:space="preserve"> </w:t>
      </w:r>
      <w:r>
        <w:t xml:space="preserve">ETTh1/HUFL,</w:t>
      </w:r>
      <w:r>
        <w:t xml:space="preserve"> </w:t>
      </w:r>
      <w:r>
        <w:t xml:space="preserve">Chronos-Bolt</w:t>
      </w:r>
      <w:r>
        <w:t xml:space="preserve"> </w:t>
      </w:r>
      <w:r>
        <w:t xml:space="preserve">is</w:t>
      </w:r>
      <w:r>
        <w:t xml:space="preserve"> </w:t>
      </w:r>
      <w:r>
        <w:t xml:space="preserve">best</w:t>
      </w:r>
      <w:r>
        <w:t xml:space="preserve"> </w:t>
      </w:r>
      <w:r>
        <w:t xml:space="preserve">at</w:t>
      </w:r>
      <w:r>
        <w:t xml:space="preserve"> </w:t>
      </w:r>
      <w:r>
        <w:t xml:space="preserve">H=24,</w:t>
      </w:r>
      <w:r>
        <w:t xml:space="preserve"> </w:t>
      </w:r>
      <w:r>
        <w:t xml:space="preserve">while</w:t>
      </w:r>
      <w:r>
        <w:t xml:space="preserve"> </w:t>
      </w:r>
      <w:r>
        <w:t xml:space="preserve">DLinear</w:t>
      </w:r>
      <w:r>
        <w:t xml:space="preserve"> </w:t>
      </w:r>
      <w:r>
        <w:t xml:space="preserve">is</w:t>
      </w:r>
      <w:r>
        <w:t xml:space="preserve"> </w:t>
      </w:r>
      <w:r>
        <w:t xml:space="preserve">best</w:t>
      </w:r>
      <w:r>
        <w:t xml:space="preserve"> </w:t>
      </w:r>
      <w:r>
        <w:t xml:space="preserve">at</w:t>
      </w:r>
      <w:r>
        <w:t xml:space="preserve"> </w:t>
      </w:r>
      <w:r>
        <w:t xml:space="preserve">H=96</w:t>
      </w:r>
      <w:r>
        <w:t xml:space="preserve"> </w:t>
      </w:r>
      <w:r>
        <w:t xml:space="preserve">and</w:t>
      </w:r>
      <w:r>
        <w:t xml:space="preserve"> </w:t>
      </w:r>
      <w:r>
        <w:t xml:space="preserve">H=168.</w:t>
      </w:r>
    </w:p>
    <w:p>
      <w:pPr>
        <w:pStyle w:val="FirstParagraph"/>
      </w:pPr>
      <w:r>
        <w:rPr>
          <w:bCs/>
          <w:b/>
        </w:rPr>
        <w:t xml:space="preserve">Keywords:</w:t>
      </w:r>
      <w:r>
        <w:t xml:space="preserve"> </w:t>
      </w:r>
      <w:r>
        <w:t xml:space="preserve">short-term load forecasting; time series; deep learning; foundation models; XGBoost; smart grid</w:t>
      </w:r>
    </w:p>
    <w:bookmarkStart w:id="23" w:name="introduction"/>
    <w:p>
      <w:pPr>
        <w:pStyle w:val="Heading1"/>
      </w:pPr>
      <w:r>
        <w:t xml:space="preserve">Introduction</w:t>
      </w:r>
    </w:p>
    <w:p>
      <w:pPr>
        <w:pStyle w:val="FirstParagraph"/>
      </w:pPr>
      <w:r>
        <w:t xml:space="preserve">Short-term load forecasting (STLF) supports dispatch planning, balancing, tariff-aware operation, maintenance planning, and anomaly-aware industrial energy management. In modern smart-grid and Industry 4.0 settings, forecasting models are expected not only to be accurate, but also to be reproducible, computationally affordable, and robust across operating regimes.</w:t>
      </w:r>
    </w:p>
    <w:p>
      <w:pPr>
        <w:pStyle w:val="BodyText"/>
      </w:pPr>
      <w:r>
        <w:t xml:space="preserve">The methodological landscape is broad. Classical methods such as ARIMA and seasonal naive baselines remain common references; machine-learning models such as gradient boosting are attractive because they incorporate lag and calendar features with modest engineering cost; and recent deep-learning and foundation models promise broader transfer across time-series domains. This creates a practical question: when do expensive architectures or zero-shot foundation models actually improve over strong inexpensive baselines?</w:t>
      </w:r>
    </w:p>
    <w:p>
      <w:pPr>
        <w:pStyle w:val="BodyText"/>
      </w:pPr>
      <w:r>
        <w:t xml:space="preserve">This paper reports a reproducible execution of the benchmark on two public datasets. The contribution is pragmatic: an end-to-end repository with data validation, leakage-aware scaling, metrics, timing, figures, paper generation, real results for seven models, Diebold–Mariano tests, and an accuracy–latency analysis.</w:t>
      </w:r>
    </w:p>
    <w:p>
      <w:pPr>
        <w:pStyle w:val="CaptionedFigure"/>
      </w:pPr>
      <w:r>
        <w:drawing>
          <wp:inline>
            <wp:extent cx="5334000" cy="1598766"/>
            <wp:effectExtent b="0" l="0" r="0" t="0"/>
            <wp:docPr descr="" title="" id="21" name="Picture"/>
            <a:graphic>
              <a:graphicData uri="http://schemas.openxmlformats.org/drawingml/2006/picture">
                <pic:pic>
                  <pic:nvPicPr>
                    <pic:cNvPr descr="../figures/fig1_methodology.pdf" id="22" name="Picture"/>
                    <pic:cNvPicPr>
                      <a:picLocks noChangeArrowheads="1" noChangeAspect="1"/>
                    </pic:cNvPicPr>
                  </pic:nvPicPr>
                  <pic:blipFill>
                    <a:blip r:embed="rId20"/>
                    <a:stretch>
                      <a:fillRect/>
                    </a:stretch>
                  </pic:blipFill>
                  <pic:spPr bwMode="auto">
                    <a:xfrm>
                      <a:off x="0" y="0"/>
                      <a:ext cx="5334000" cy="1598766"/>
                    </a:xfrm>
                    <a:prstGeom prst="rect">
                      <a:avLst/>
                    </a:prstGeom>
                    <a:noFill/>
                    <a:ln w="9525">
                      <a:noFill/>
                      <a:headEnd/>
                      <a:tailEnd/>
                    </a:ln>
                  </pic:spPr>
                </pic:pic>
              </a:graphicData>
            </a:graphic>
          </wp:inline>
        </w:drawing>
      </w:r>
    </w:p>
    <w:p>
      <w:pPr>
        <w:pStyle w:val="ImageCaption"/>
      </w:pPr>
      <w:r>
        <w:t xml:space="preserve">Experimental pipeline.</w:t>
      </w:r>
    </w:p>
    <w:bookmarkEnd w:id="23"/>
    <w:bookmarkStart w:id="24" w:name="related-work"/>
    <w:p>
      <w:pPr>
        <w:pStyle w:val="Heading1"/>
      </w:pPr>
      <w:r>
        <w:t xml:space="preserve">Related Work</w:t>
      </w:r>
    </w:p>
    <w:p>
      <w:pPr>
        <w:pStyle w:val="FirstParagraph"/>
      </w:pPr>
      <w:r>
        <w:t xml:space="preserve">Classical time-series forecasting methods, including ARIMA-family models, remain important because they establish interpretable and inexpensive references. Machine-learning approaches based on lagged targets, calendar variables, and gradient-boosted trees are widely used in load forecasting because they are fast to train and robust under tabular feature engineering. Deep-learning models such as LSTM, attention-based architectures, Informer, DLinear, PatchTST, iTransformer, and TimesNet have broadened the long-horizon forecasting toolbox.</w:t>
      </w:r>
    </w:p>
    <w:p>
      <w:pPr>
        <w:pStyle w:val="BodyText"/>
      </w:pPr>
      <w:r>
        <w:t xml:space="preserve">Time-series foundation models such as TimesFM and Chronos motivate a new evaluation axis: no-task-specific-training inference versus supervised training on the target dataset. A fair comparison must state that public benchmarks may have appeared in pretraining corpora, so zero-shot performance on ECL or ETT should not be interpreted as guaranteed dataset-unseen generalization.</w:t>
      </w:r>
    </w:p>
    <w:bookmarkEnd w:id="24"/>
    <w:bookmarkStart w:id="25" w:name="methodology"/>
    <w:p>
      <w:pPr>
        <w:pStyle w:val="Heading1"/>
      </w:pPr>
      <w:r>
        <w:t xml:space="preserve">Methodology</w:t>
      </w:r>
    </w:p>
    <w:p>
      <w:pPr>
        <w:pStyle w:val="FirstParagraph"/>
      </w:pPr>
      <w:r>
        <w:t xml:space="preserve">Given a univariate context window</w:t>
      </w:r>
      <w:r>
        <w:t xml:space="preserve"> </w:t>
      </w:r>
      <m:oMath>
        <m:sSub>
          <m:e>
            <m:r>
              <m:rPr>
                <m:sty m:val="b"/>
              </m:rPr>
              <m:t>x</m:t>
            </m:r>
          </m:e>
          <m:sub>
            <m:r>
              <m:t>t</m:t>
            </m:r>
            <m:r>
              <m:rPr>
                <m:sty m:val="p"/>
              </m:rPr>
              <m:t>−</m:t>
            </m:r>
            <m:r>
              <m:t>L</m:t>
            </m:r>
            <m:r>
              <m:rPr>
                <m:sty m:val="p"/>
              </m:rPr>
              <m:t>+</m:t>
            </m:r>
            <m:r>
              <m:t>1</m:t>
            </m:r>
            <m:r>
              <m:rPr>
                <m:sty m:val="p"/>
              </m:rPr>
              <m:t>:</m:t>
            </m:r>
            <m:r>
              <m:t>t</m:t>
            </m:r>
          </m:sub>
        </m:sSub>
      </m:oMath>
      <w:r>
        <w:t xml:space="preserve">, the task is to predict</w:t>
      </w:r>
      <w:r>
        <w:t xml:space="preserve"> </w:t>
      </w:r>
      <m:oMath>
        <m:sSub>
          <m:e>
            <m:acc>
              <m:accPr>
                <m:chr m:val="̂"/>
              </m:accPr>
              <m:e>
                <m:r>
                  <m:rPr>
                    <m:sty m:val="b"/>
                  </m:rPr>
                  <m:t>y</m:t>
                </m:r>
              </m:e>
            </m:acc>
          </m:e>
          <m:sub>
            <m:r>
              <m:t>t</m:t>
            </m:r>
            <m:r>
              <m:rPr>
                <m:sty m:val="p"/>
              </m:rPr>
              <m:t>+</m:t>
            </m:r>
            <m:r>
              <m:t>1</m:t>
            </m:r>
            <m:r>
              <m:rPr>
                <m:sty m:val="p"/>
              </m:rPr>
              <m:t>:</m:t>
            </m:r>
            <m:r>
              <m:t>t</m:t>
            </m:r>
            <m:r>
              <m:rPr>
                <m:sty m:val="p"/>
              </m:rPr>
              <m:t>+</m:t>
            </m:r>
            <m:r>
              <m:t>H</m:t>
            </m:r>
          </m:sub>
        </m:sSub>
      </m:oMath>
      <w:r>
        <w:t xml:space="preserve"> </w:t>
      </w:r>
      <w:r>
        <w:t xml:space="preserve">for horizons</w:t>
      </w:r>
      <w:r>
        <w:t xml:space="preserve"> </w:t>
      </w:r>
      <m:oMath>
        <m:r>
          <m:t>H</m:t>
        </m:r>
        <m:r>
          <m:rPr>
            <m:sty m:val="p"/>
          </m:rPr>
          <m:t>∈</m:t>
        </m:r>
        <m:r>
          <m:rPr>
            <m:sty m:val="p"/>
          </m:rPr>
          <m:t>{</m:t>
        </m:r>
        <m:r>
          <m:t>24</m:t>
        </m:r>
        <m:r>
          <m:rPr>
            <m:sty m:val="p"/>
          </m:rPr>
          <m:t>,</m:t>
        </m:r>
        <m:r>
          <m:t>96</m:t>
        </m:r>
        <m:r>
          <m:rPr>
            <m:sty m:val="p"/>
          </m:rPr>
          <m:t>,</m:t>
        </m:r>
        <m:r>
          <m:t>168</m:t>
        </m:r>
        <m:r>
          <m:rPr>
            <m:sty m:val="p"/>
          </m:rPr>
          <m:t>}</m:t>
        </m:r>
      </m:oMath>
      <w:r>
        <w:t xml:space="preserve">. The executed experiments use a fixed context length of</w:t>
      </w:r>
      <w:r>
        <w:t xml:space="preserve"> </w:t>
      </w:r>
      <m:oMath>
        <m:r>
          <m:t>L</m:t>
        </m:r>
        <m:r>
          <m:rPr>
            <m:sty m:val="p"/>
          </m:rPr>
          <m:t>=</m:t>
        </m:r>
        <m:r>
          <m:t>336</m:t>
        </m:r>
      </m:oMath>
      <w:r>
        <w:t xml:space="preserve"> </w:t>
      </w:r>
      <w:r>
        <w:t xml:space="preserve">hours, which includes daily and weekly seasonal information and permits use of lag-168 features.</w:t>
      </w:r>
    </w:p>
    <w:p>
      <w:pPr>
        <w:pStyle w:val="BodyText"/>
      </w:pPr>
      <w:r>
        <w:t xml:space="preserve">The SeasonalNaive baseline repeats the most recent daily seasonal pattern. XGBoost is trained as a direct multi-output regressor using lag-1, lag-24, lag-168, rolling means over 24 and 168 hours, and cyclic calendar features. DLinear, PatchTST, and iTransformer are trained through NeuralForecast in the same target-only setting, with a short validation-only learning-rate sweep over</w:t>
      </w:r>
      <w:r>
        <w:t xml:space="preserve"> </w:t>
      </w:r>
      <m:oMath>
        <m:r>
          <m:rPr>
            <m:sty m:val="p"/>
          </m:rPr>
          <m:t>{</m:t>
        </m:r>
        <m:sSup>
          <m:e>
            <m:r>
              <m:t>10</m:t>
            </m:r>
          </m:e>
          <m:sup>
            <m:r>
              <m:rPr>
                <m:sty m:val="p"/>
              </m:rPr>
              <m:t>−</m:t>
            </m:r>
            <m:r>
              <m:t>3</m:t>
            </m:r>
          </m:sup>
        </m:sSup>
        <m:r>
          <m:rPr>
            <m:sty m:val="p"/>
          </m:rPr>
          <m:t>,</m:t>
        </m:r>
        <m:r>
          <m:t>5</m:t>
        </m:r>
        <m:r>
          <m:rPr>
            <m:sty m:val="p"/>
          </m:rPr>
          <m:t>⋅</m:t>
        </m:r>
        <m:sSup>
          <m:e>
            <m:r>
              <m:t>10</m:t>
            </m:r>
          </m:e>
          <m:sup>
            <m:r>
              <m:rPr>
                <m:sty m:val="p"/>
              </m:rPr>
              <m:t>−</m:t>
            </m:r>
            <m:r>
              <m:t>4</m:t>
            </m:r>
          </m:sup>
        </m:sSup>
        <m:r>
          <m:rPr>
            <m:sty m:val="p"/>
          </m:rPr>
          <m:t>}</m:t>
        </m:r>
      </m:oMath>
      <w:r>
        <w:t xml:space="preserve"> </w:t>
      </w:r>
      <w:r>
        <w:t xml:space="preserve">and early stopping. Chronos-Bolt-Small and TimesFM 2.5 are evaluated in zero-shot mode without task-specific training.</w:t>
      </w:r>
    </w:p>
    <w:bookmarkEnd w:id="25"/>
    <w:bookmarkStart w:id="29" w:name="experimental-setup"/>
    <w:p>
      <w:pPr>
        <w:pStyle w:val="Heading1"/>
      </w:pPr>
      <w:r>
        <w:t xml:space="preserve">Experimental Setup</w:t>
      </w:r>
    </w:p>
    <w:p>
      <w:pPr>
        <w:pStyle w:val="FirstParagraph"/>
      </w:pPr>
      <w:r>
        <w:t xml:space="preserve">The primary dataset is ECL, processed as an aggregate hourly electricity load across 321 clients. The secondary dataset is ETTh1 with HUFL as the target. ETTh1 OT is oil temperature and is not used as electricity load. ECL is split chronologically into 70% train, 10% validation, and 20% test. ETTh1 uses the standard 12-month, 4-month, 4-month chronological split.</w:t>
      </w:r>
    </w:p>
    <w:p>
      <w:pPr>
        <w:pStyle w:val="BodyText"/>
      </w:pPr>
      <w:r>
        <w:t xml:space="preserve">Accuracy is measured with MAE, RMSE, sMAPE, and wMAPE. Efficiency is measured with training time, single-window inference latency, trainable parameters, and peak GPU memory. Diebold–Mariano tests are computed on per-window absolute errors for the top two models by MAE at seed 42 for each dataset and horizon.</w:t>
      </w:r>
    </w:p>
    <w:p>
      <w:pPr>
        <w:pStyle w:val="CaptionedFigure"/>
      </w:pPr>
      <w:r>
        <w:drawing>
          <wp:inline>
            <wp:extent cx="5334000" cy="2403152"/>
            <wp:effectExtent b="0" l="0" r="0" t="0"/>
            <wp:docPr descr="" title="" id="27" name="Picture"/>
            <a:graphic>
              <a:graphicData uri="http://schemas.openxmlformats.org/drawingml/2006/picture">
                <pic:pic>
                  <pic:nvPicPr>
                    <pic:cNvPr descr="../figures/fig2_forecasts.pdf" id="28" name="Picture"/>
                    <pic:cNvPicPr>
                      <a:picLocks noChangeArrowheads="1" noChangeAspect="1"/>
                    </pic:cNvPicPr>
                  </pic:nvPicPr>
                  <pic:blipFill>
                    <a:blip r:embed="rId26"/>
                    <a:stretch>
                      <a:fillRect/>
                    </a:stretch>
                  </pic:blipFill>
                  <pic:spPr bwMode="auto">
                    <a:xfrm>
                      <a:off x="0" y="0"/>
                      <a:ext cx="5334000" cy="2403152"/>
                    </a:xfrm>
                    <a:prstGeom prst="rect">
                      <a:avLst/>
                    </a:prstGeom>
                    <a:noFill/>
                    <a:ln w="9525">
                      <a:noFill/>
                      <a:headEnd/>
                      <a:tailEnd/>
                    </a:ln>
                  </pic:spPr>
                </pic:pic>
              </a:graphicData>
            </a:graphic>
          </wp:inline>
        </w:drawing>
      </w:r>
    </w:p>
    <w:p>
      <w:pPr>
        <w:pStyle w:val="ImageCaption"/>
      </w:pPr>
      <w:r>
        <w:t xml:space="preserve">Seven-day ECL test segment.</w:t>
      </w:r>
    </w:p>
    <w:bookmarkEnd w:id="29"/>
    <w:bookmarkStart w:id="45" w:name="results"/>
    <w:p>
      <w:pPr>
        <w:pStyle w:val="Heading1"/>
      </w:pPr>
      <w:r>
        <w:t xml:space="preserve">Results</w:t>
      </w:r>
    </w:p>
    <w:p>
      <w:pPr>
        <w:pStyle w:val="FirstParagraph"/>
      </w:pPr>
      <w:r>
        <w:t xml:space="preserve">On ECL, the strongest group consists of XGBoost and the two foundation models. TimesFM obtains the lowest point-wise MAE at H=24, while XGBoost is best at H=96 and H=168. Chronos-Bolt is within approximately 0.3% of the best MAE at all three horizons. DLinear, PatchTST, and iTransformer improve substantially over SeasonalNaive, but they do not match the tree model or foundation models under the current training budget.</w:t>
      </w:r>
    </w:p>
    <w:p>
      <w:pPr>
        <w:pStyle w:val="BodyText"/>
      </w:pPr>
      <w:r>
        <w:t xml:space="preserve">On ETTh1/HUFL, Chronos-Bolt is best at H=24, PatchTST is the strongest trained model at H=24, and DLinear is best at H=96 and H=168. TimesFM is competitive but not the best on this benchmark.</w:t>
      </w:r>
    </w:p>
    <w:p>
      <w:pPr>
        <w:pStyle w:val="CaptionedFigure"/>
      </w:pPr>
      <w:r>
        <w:drawing>
          <wp:inline>
            <wp:extent cx="5334000" cy="2887934"/>
            <wp:effectExtent b="0" l="0" r="0" t="0"/>
            <wp:docPr descr="" title="" id="31" name="Picture"/>
            <a:graphic>
              <a:graphicData uri="http://schemas.openxmlformats.org/drawingml/2006/picture">
                <pic:pic>
                  <pic:nvPicPr>
                    <pic:cNvPr descr="../figures/fig6_ecl_accuracy.pdf" id="32" name="Picture"/>
                    <pic:cNvPicPr>
                      <a:picLocks noChangeArrowheads="1" noChangeAspect="1"/>
                    </pic:cNvPicPr>
                  </pic:nvPicPr>
                  <pic:blipFill>
                    <a:blip r:embed="rId30"/>
                    <a:stretch>
                      <a:fillRect/>
                    </a:stretch>
                  </pic:blipFill>
                  <pic:spPr bwMode="auto">
                    <a:xfrm>
                      <a:off x="0" y="0"/>
                      <a:ext cx="5334000" cy="2887934"/>
                    </a:xfrm>
                    <a:prstGeom prst="rect">
                      <a:avLst/>
                    </a:prstGeom>
                    <a:noFill/>
                    <a:ln w="9525">
                      <a:noFill/>
                      <a:headEnd/>
                      <a:tailEnd/>
                    </a:ln>
                  </pic:spPr>
                </pic:pic>
              </a:graphicData>
            </a:graphic>
          </wp:inline>
        </w:drawing>
      </w:r>
    </w:p>
    <w:p>
      <w:pPr>
        <w:pStyle w:val="ImageCaption"/>
      </w:pPr>
      <w:r>
        <w:t xml:space="preserve">MAE across forecast horizons on ECL.</w:t>
      </w:r>
    </w:p>
    <w:p>
      <w:pPr>
        <w:pStyle w:val="CaptionedFigure"/>
      </w:pPr>
      <w:r>
        <w:drawing>
          <wp:inline>
            <wp:extent cx="5334000" cy="2887934"/>
            <wp:effectExtent b="0" l="0" r="0" t="0"/>
            <wp:docPr descr="" title="" id="34" name="Picture"/>
            <a:graphic>
              <a:graphicData uri="http://schemas.openxmlformats.org/drawingml/2006/picture">
                <pic:pic>
                  <pic:nvPicPr>
                    <pic:cNvPr descr="../figures/fig7_etth1_accuracy.pdf" id="35" name="Picture"/>
                    <pic:cNvPicPr>
                      <a:picLocks noChangeArrowheads="1" noChangeAspect="1"/>
                    </pic:cNvPicPr>
                  </pic:nvPicPr>
                  <pic:blipFill>
                    <a:blip r:embed="rId33"/>
                    <a:stretch>
                      <a:fillRect/>
                    </a:stretch>
                  </pic:blipFill>
                  <pic:spPr bwMode="auto">
                    <a:xfrm>
                      <a:off x="0" y="0"/>
                      <a:ext cx="5334000" cy="2887934"/>
                    </a:xfrm>
                    <a:prstGeom prst="rect">
                      <a:avLst/>
                    </a:prstGeom>
                    <a:noFill/>
                    <a:ln w="9525">
                      <a:noFill/>
                      <a:headEnd/>
                      <a:tailEnd/>
                    </a:ln>
                  </pic:spPr>
                </pic:pic>
              </a:graphicData>
            </a:graphic>
          </wp:inline>
        </w:drawing>
      </w:r>
    </w:p>
    <w:p>
      <w:pPr>
        <w:pStyle w:val="ImageCaption"/>
      </w:pPr>
      <w:r>
        <w:t xml:space="preserve">MAE across forecast horizons on ETTh1/HUFL.</w:t>
      </w:r>
    </w:p>
    <w:p>
      <w:pPr>
        <w:pStyle w:val="CaptionedFigure"/>
      </w:pPr>
      <w:r>
        <w:drawing>
          <wp:inline>
            <wp:extent cx="5334000" cy="2403152"/>
            <wp:effectExtent b="0" l="0" r="0" t="0"/>
            <wp:docPr descr="" title="" id="37" name="Picture"/>
            <a:graphic>
              <a:graphicData uri="http://schemas.openxmlformats.org/drawingml/2006/picture">
                <pic:pic>
                  <pic:nvPicPr>
                    <pic:cNvPr descr="../figures/fig3_heatmap.pdf" id="38" name="Picture"/>
                    <pic:cNvPicPr>
                      <a:picLocks noChangeArrowheads="1" noChangeAspect="1"/>
                    </pic:cNvPicPr>
                  </pic:nvPicPr>
                  <pic:blipFill>
                    <a:blip r:embed="rId36"/>
                    <a:stretch>
                      <a:fillRect/>
                    </a:stretch>
                  </pic:blipFill>
                  <pic:spPr bwMode="auto">
                    <a:xfrm>
                      <a:off x="0" y="0"/>
                      <a:ext cx="5334000" cy="2403152"/>
                    </a:xfrm>
                    <a:prstGeom prst="rect">
                      <a:avLst/>
                    </a:prstGeom>
                    <a:noFill/>
                    <a:ln w="9525">
                      <a:noFill/>
                      <a:headEnd/>
                      <a:tailEnd/>
                    </a:ln>
                  </pic:spPr>
                </pic:pic>
              </a:graphicData>
            </a:graphic>
          </wp:inline>
        </w:drawing>
      </w:r>
    </w:p>
    <w:p>
      <w:pPr>
        <w:pStyle w:val="ImageCaption"/>
      </w:pPr>
      <w:r>
        <w:t xml:space="preserve">Relative MAE heatmap. Values are normalized within each dataset and horizon.</w:t>
      </w:r>
    </w:p>
    <w:p>
      <w:pPr>
        <w:pStyle w:val="CaptionedFigure"/>
      </w:pPr>
      <w:r>
        <w:drawing>
          <wp:inline>
            <wp:extent cx="5334000" cy="2275295"/>
            <wp:effectExtent b="0" l="0" r="0" t="0"/>
            <wp:docPr descr="" title="" id="40" name="Picture"/>
            <a:graphic>
              <a:graphicData uri="http://schemas.openxmlformats.org/drawingml/2006/picture">
                <pic:pic>
                  <pic:nvPicPr>
                    <pic:cNvPr descr="../figures/fig4_pareto.pdf" id="41" name="Picture"/>
                    <pic:cNvPicPr>
                      <a:picLocks noChangeArrowheads="1" noChangeAspect="1"/>
                    </pic:cNvPicPr>
                  </pic:nvPicPr>
                  <pic:blipFill>
                    <a:blip r:embed="rId39"/>
                    <a:stretch>
                      <a:fillRect/>
                    </a:stretch>
                  </pic:blipFill>
                  <pic:spPr bwMode="auto">
                    <a:xfrm>
                      <a:off x="0" y="0"/>
                      <a:ext cx="5334000" cy="2275295"/>
                    </a:xfrm>
                    <a:prstGeom prst="rect">
                      <a:avLst/>
                    </a:prstGeom>
                    <a:noFill/>
                    <a:ln w="9525">
                      <a:noFill/>
                      <a:headEnd/>
                      <a:tailEnd/>
                    </a:ln>
                  </pic:spPr>
                </pic:pic>
              </a:graphicData>
            </a:graphic>
          </wp:inline>
        </w:drawing>
      </w:r>
    </w:p>
    <w:p>
      <w:pPr>
        <w:pStyle w:val="ImageCaption"/>
      </w:pPr>
      <w:r>
        <w:t xml:space="preserve">Accuracy–latency view at H=96.</w:t>
      </w:r>
    </w:p>
    <w:p>
      <w:pPr>
        <w:pStyle w:val="CaptionedFigure"/>
      </w:pPr>
      <w:r>
        <w:drawing>
          <wp:inline>
            <wp:extent cx="4533900" cy="2285085"/>
            <wp:effectExtent b="0" l="0" r="0" t="0"/>
            <wp:docPr descr="" title="" id="43" name="Picture"/>
            <a:graphic>
              <a:graphicData uri="http://schemas.openxmlformats.org/drawingml/2006/picture">
                <pic:pic>
                  <pic:nvPicPr>
                    <pic:cNvPr descr="../figures/fig5_horizon.pdf" id="44" name="Picture"/>
                    <pic:cNvPicPr>
                      <a:picLocks noChangeArrowheads="1" noChangeAspect="1"/>
                    </pic:cNvPicPr>
                  </pic:nvPicPr>
                  <pic:blipFill>
                    <a:blip r:embed="rId42"/>
                    <a:stretch>
                      <a:fillRect/>
                    </a:stretch>
                  </pic:blipFill>
                  <pic:spPr bwMode="auto">
                    <a:xfrm>
                      <a:off x="0" y="0"/>
                      <a:ext cx="4533900" cy="2285085"/>
                    </a:xfrm>
                    <a:prstGeom prst="rect">
                      <a:avLst/>
                    </a:prstGeom>
                    <a:noFill/>
                    <a:ln w="9525">
                      <a:noFill/>
                      <a:headEnd/>
                      <a:tailEnd/>
                    </a:ln>
                  </pic:spPr>
                </pic:pic>
              </a:graphicData>
            </a:graphic>
          </wp:inline>
        </w:drawing>
      </w:r>
    </w:p>
    <w:p>
      <w:pPr>
        <w:pStyle w:val="ImageCaption"/>
      </w:pPr>
      <w:r>
        <w:t xml:space="preserve">Best model per dataset and horizon.</w:t>
      </w:r>
    </w:p>
    <w:bookmarkEnd w:id="45"/>
    <w:bookmarkStart w:id="46" w:name="discussion"/>
    <w:p>
      <w:pPr>
        <w:pStyle w:val="Heading1"/>
      </w:pPr>
      <w:r>
        <w:t xml:space="preserve">Discussion</w:t>
      </w:r>
    </w:p>
    <w:p>
      <w:pPr>
        <w:pStyle w:val="FirstParagraph"/>
      </w:pPr>
      <w:r>
        <w:t xml:space="preserve">The results show that model choice is dataset-dependent. On aggregate ECL load, engineered lag features with XGBoost remain an extremely strong and inexpensive option. Foundation models are attractive when avoiding task-specific training is valuable: Chronos-Bolt is close to XGBoost on ECL and best at the shortest ETTh1/HUFL horizon. DLinear is the strongest trained neural model in this benchmark and dominates the longer ETTh1/HUFL horizons.</w:t>
      </w:r>
    </w:p>
    <w:p>
      <w:pPr>
        <w:pStyle w:val="BodyText"/>
      </w:pPr>
      <w:r>
        <w:t xml:space="preserve">From a deployment perspective, the models occupy different operating regimes. XGBoost is the most attractive choice when a conventional supervised training pipeline is acceptable: it is accurate on ECL, has low single-window latency, and does not require GPU inference. Chronos-Bolt is useful when task-specific training is undesirable, for example in cold-start industrial monitoring, rapid prototyping, or sites where historical data cannot be pooled for model training. TimesFM shows strong point accuracy at the shortest ECL horizon, but its latency is substantially higher in this implementation. DLinear is a good neural reference model because it is simple, compact, and strong on the longer ETTh1/HUFL horizons.</w:t>
      </w:r>
    </w:p>
    <w:p>
      <w:pPr>
        <w:pStyle w:val="BodyText"/>
      </w:pPr>
      <w:r>
        <w:t xml:space="preserve">The transformer results should be read carefully. PatchTST and iTransformer are credible architectures, but this benchmark uses a compact target-only configuration and a limited training budget. Their underperformance here does not imply that transformers are generally unsuitable for load forecasting; rather, it shows that they do not automatically beat simpler methods under constrained, reproducible settings.</w:t>
      </w:r>
    </w:p>
    <w:bookmarkEnd w:id="46"/>
    <w:bookmarkStart w:id="47" w:name="limitations"/>
    <w:p>
      <w:pPr>
        <w:pStyle w:val="Heading1"/>
      </w:pPr>
      <w:r>
        <w:t xml:space="preserve">Limitations</w:t>
      </w:r>
    </w:p>
    <w:p>
      <w:pPr>
        <w:pStyle w:val="FirstParagraph"/>
      </w:pPr>
      <w:r>
        <w:t xml:space="preserve">The main limitations are public-benchmark pretraining-contamination risk for foundation models, limited hyperparameter search, target-only modeling, and the absence of private industrial deployment data. A rolling AutoARIMA baseline was attempted, but full per-origin refitting was prohibitively expensive in this protocol; the partial run is retained in the repository logs but excluded from the main comparison tables. Chronos-Bolt also emits a warning that prediction lengths above 64 are outside its recommended range; therefore, H=96 and H=168 Chronos results should be interpreted as practical stress tests rather than optimal use of that model.</w:t>
      </w:r>
    </w:p>
    <w:p>
      <w:pPr>
        <w:pStyle w:val="BodyText"/>
      </w:pPr>
      <w:r>
        <w:t xml:space="preserve">The foundation-model results should not be overinterpreted as guaranteed dataset-unseen zero-shot generalization. ECL and ETT are public benchmarks and may overlap with pretraining or evaluation corpora used during model development. The correct claim is narrower: Chronos-Bolt and TimesFM were run without task-specific training in this repository.</w:t>
      </w:r>
    </w:p>
    <w:bookmarkEnd w:id="47"/>
    <w:bookmarkStart w:id="48" w:name="conclusion"/>
    <w:p>
      <w:pPr>
        <w:pStyle w:val="Heading1"/>
      </w:pPr>
      <w:r>
        <w:t xml:space="preserve">Conclusion</w:t>
      </w:r>
    </w:p>
    <w:p>
      <w:pPr>
        <w:pStyle w:val="FirstParagraph"/>
      </w:pPr>
      <w:r>
        <w:t xml:space="preserve">We built and executed a reproducible STLF benchmark pipeline on ECL and ETTh1/HUFL. XGBoost is the most practical choice on ECL when training data are available, TimesFM slightly leads H=24 point-wise MAE, and Chronos-Bolt provides competitive zero-shot accuracy. On ETTh1/HUFL, Chronos-Bolt wins H=24, PatchTST is the best trained model at H=24, and DLinear wins H=96 and H=168. These findings support a pragmatic recommendation: compare against strong simple baselines first, use DLinear and PatchTST as neural references, and treat foundation models as valuable cold-start tools rather than universally dominant replacements for supervised forecasting.</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df" /><Relationship Type="http://schemas.openxmlformats.org/officeDocument/2006/relationships/image" Id="rId26" Target="media/rId26.pdf" /><Relationship Type="http://schemas.openxmlformats.org/officeDocument/2006/relationships/image" Id="rId36" Target="media/rId36.pdf" /><Relationship Type="http://schemas.openxmlformats.org/officeDocument/2006/relationships/image" Id="rId39" Target="media/rId39.pdf" /><Relationship Type="http://schemas.openxmlformats.org/officeDocument/2006/relationships/image" Id="rId42" Target="media/rId42.pdf" /><Relationship Type="http://schemas.openxmlformats.org/officeDocument/2006/relationships/image" Id="rId30" Target="media/rId30.pdf" /><Relationship Type="http://schemas.openxmlformats.org/officeDocument/2006/relationships/image" Id="rId33" Target="media/rId33.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Study of Machine Learning, Deep Learning, and Foundation Models for Short-Term Electricity Load Forecasting</dc:title>
  <dc:creator>TODO Author Name TODO Affiliation TODO Email</dc:creator>
  <cp:keywords/>
  <dcterms:created xsi:type="dcterms:W3CDTF">2026-05-05T06:10:19Z</dcterms:created>
  <dcterms:modified xsi:type="dcterms:W3CDTF">2026-05-05T06:10:19Z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Short-term electricity load forecasting is a core component of smart-grid operation, predictive planning, and industrial energy management. This paper presents a reproducible benchmark comparing a seasonal baseline, XGBoost, three neural architectures, and two time-series foundation models. The primary evaluation uses the ECL electricity consumption dataset with aggregate load as the target. ETTh1 is used as a secondary industrial benchmark with HUFL, a load-related transformer variable, as the target; the oil-temperature variable OT is deliberately not treated as load. Experiments cover horizons of 24, 96, and 168 hours using a fixed 336-hour context. On ECL, TimesFM obtains the lowest point-wise MAE at H=24, while XGBoost is best at H=96 and H=168 with low single-window latency. Chronos-Bolt is consistently close to XGBoost without task-specific training. On ETTh1/HUFL, Chronos-Bolt is best at H=24, while DLinear is best at H=96 and H=168.</vt:lpwstr>
  </property>
  <property fmtid="{D5CDD505-2E9C-101B-9397-08002B2CF9AE}" pid="3" name="date">
    <vt:lpwstr>2026-05-05</vt:lpwstr>
  </property>
</Properties>
</file>