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7.pdf" ContentType="application/pdf"/>
  <Override PartName="/word/media/rId11.png" ContentType="image/png"/>
  <Override PartName="/word/media/rId17.png" ContentType="image/png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Сравнительное исследование методов машинного обучения, глубокого обучения и фундаментальных моделей для краткосрочного прогнозирования электрической нагрузки</w:t>
      </w:r>
    </w:p>
    <w:p>
      <w:pPr>
        <w:pStyle w:val="Author"/>
      </w:pPr>
    </w:p>
    <w:p>
      <w:pPr>
        <w:pStyle w:val="Author"/>
      </w:pP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Краткосрочное прогнозирование электрической нагрузки является ключевым компонентом эксплуатации интеллектуальных энергосетей, опережающего планирования и промышленного энергоменеджмента. В работе представлен воспроизводимый бенчмарк, сравнивающий два классических базовых метода (SeasonalNaive и грид-настроенный SARIMA), модель градиентного бустинга (XGBoost), три нейросетевые архитектуры (DLinear, PatchTST, iTransformer) и две фундаментальные модели временных рядов (Chronos-Bolt-Small и TimesFM 2.5). Основная оценка проводится на наборе ECL по агрегированной нагрузке. ETTh1 используется как вторичный промышленный бенчмарк с целевой переменной HUFL; температура масла OT целенаправленно не рассматривается как электрическая нагрузка. Эксперименты охватывают горизонты 24, 96 и 168 часов при фиксированном контексте 336 часов. На ECL три лидирующие модели — TimesFM, Chronos-Bolt и XGBoost — отличаются друг от друга в пределах примерно</w:t>
      </w:r>
      <w:r>
        <w:t xml:space="preserve"> </w:t>
      </w:r>
      <m:oMath>
        <m:r>
          <m:t>0.1</m:t>
        </m:r>
      </m:oMath>
      <w:r>
        <w:t xml:space="preserve">–</w:t>
      </w:r>
      <m:oMath>
        <m:r>
          <m:t>0.4</m:t>
        </m:r>
        <m:r>
          <m:rPr>
            <m:sty m:val="p"/>
          </m:rPr>
          <m:t>%</m:t>
        </m:r>
      </m:oMath>
      <w:r>
        <w:t xml:space="preserve"> </w:t>
      </w:r>
      <w:r>
        <w:t xml:space="preserve">по горизонтам: TimesFM незначительно лучше при H=24, XGBoost — при H=96 и H=168; грид-настроенный SARIMA закрывает большую часть оставшегося разрыва без обучаемых признаков. На ETTh1/HUFL Chronos-Bolt лучшая при H=24, DLinear — при H=96 и H=168. Результаты показывают, что фундаментальные модели конкурентоспособны в zero-shot режиме, но классические и обучаемые на целевом ряду модели остаются сильными при наличии данных и инженерии признаков.</w:t>
      </w:r>
    </w:p>
    <w:p>
      <w:pPr>
        <w:pStyle w:val="FirstParagraph"/>
      </w:pPr>
      <w:r>
        <w:t xml:space="preserve">краткосрочное прогнозирование нагрузки, временные ряды, глубокое обучение, фундаментальные модели, SARIMA, XGBoost, интеллектуальная сеть</w:t>
      </w:r>
    </w:p>
    <w:bookmarkStart w:id="9" w:name="введение"/>
    <w:p>
      <w:pPr>
        <w:pStyle w:val="Heading1"/>
      </w:pPr>
      <w:r>
        <w:t xml:space="preserve">Введение</w:t>
      </w:r>
    </w:p>
    <w:p>
      <w:pPr>
        <w:pStyle w:val="FirstParagraph"/>
      </w:pPr>
      <w:r>
        <w:t xml:space="preserve">Краткосрочное прогнозирование нагрузки (STLF) поддерживает диспетчерское планирование, балансировку, тарифно-ориентированное управление, планирование обслуживания и аномально-чувствительный промышленный энергоменеджмент. В современных задачах smart-grid и Industry 4.0 от моделей прогноза требуется не только точность, но и воспроизводимость, вычислительная экономичность и устойчивость к различным режимам эксплуатации.</w:t>
      </w:r>
    </w:p>
    <w:p>
      <w:pPr>
        <w:pStyle w:val="BodyText"/>
      </w:pPr>
      <w:r>
        <w:t xml:space="preserve">Методологический ландшафт широк. Классические методы, такие как ARIMA-семейство и сезонные наивные базовые модели, остаются важными референсами; модели машинного обучения вроде градиентного бустинга привлекательны тем, что включают лаговые и календарные признаки при умеренной инженерии; современные модели глубокого обучения и фундаментальные модели обещают более широкую переносимость между доменами временных рядов. Это порождает практический вопрос: когда дорогие архитектуры или zero-shot фундаментальные модели действительно превосходят сильные недорогие базовые методы?</w:t>
      </w:r>
    </w:p>
    <w:p>
      <w:pPr>
        <w:pStyle w:val="BodyText"/>
      </w:pPr>
      <w:r>
        <w:t xml:space="preserve">В работе представлено воспроизводимое исполнение бенчмарка на двух открытых наборах данных. Прагматический вклад: (i) сквозной репозиторий с валидацией данных, leakage-aware шкалированием, метриками, измерением времени, фигурами и сборкой статьи; (ii) реальные результаты для SeasonalNaive, грид-настроенного SARIMA, XGBoost, DLinear, PatchTST, iTransformer, Chronos-Bolt-Small и TimesFM 2.5; (iii) тесты Дибольда–Мариано, рассчитанные по поокно-ошибкам; (iv) анализ accuracy–latency, отделяющий стоимость развёртывания от чистой точности.</w:t>
      </w:r>
    </w:p>
    <w:bookmarkEnd w:id="9"/>
    <w:bookmarkStart w:id="10" w:name="обзор-литературы"/>
    <w:p>
      <w:pPr>
        <w:pStyle w:val="Heading1"/>
      </w:pPr>
      <w:r>
        <w:t xml:space="preserve">Обзор литературы</w:t>
      </w:r>
    </w:p>
    <w:p>
      <w:pPr>
        <w:pStyle w:val="FirstParagraph"/>
      </w:pPr>
      <w:r>
        <w:t xml:space="preserve">Классические методы прогнозирования временных рядов, в частности ARIMA-семейство, остаются важными, потому что задают интерпретируемые и недорогие референсы; автоматический выбор порядков по информационным критериям, таким как AICc, делает их применимыми по отдельным рядам</w:t>
      </w:r>
      <w:r>
        <w:t xml:space="preserve"> </w:t>
      </w:r>
      <w:r>
        <w:t xml:space="preserve">(Hyndman and Khandakar 2008)</w:t>
      </w:r>
      <w:r>
        <w:t xml:space="preserve">. Подходы машинного обучения на основе лагов, календарных переменных и градиентно-бустированных деревьев широко используются в задачах прогнозирования нагрузки благодаря быстрому обучению и устойчивости при инженерии табличных признаков</w:t>
      </w:r>
      <w:r>
        <w:t xml:space="preserve"> </w:t>
      </w:r>
      <w:r>
        <w:t xml:space="preserve">(Chen and Guestrin 2016)</w:t>
      </w:r>
      <w:r>
        <w:t xml:space="preserve">. Модели глубокого обучения, такие как LSTM</w:t>
      </w:r>
      <w:r>
        <w:t xml:space="preserve"> </w:t>
      </w:r>
      <w:r>
        <w:t xml:space="preserve">(Hochreiter and Schmidhuber 1997)</w:t>
      </w:r>
      <w:r>
        <w:t xml:space="preserve">, архитектуры с механизмом внимания</w:t>
      </w:r>
      <w:r>
        <w:t xml:space="preserve"> </w:t>
      </w:r>
      <w:r>
        <w:t xml:space="preserve">(Vaswani et al. 2017)</w:t>
      </w:r>
      <w:r>
        <w:t xml:space="preserve">, Informer</w:t>
      </w:r>
      <w:r>
        <w:t xml:space="preserve"> </w:t>
      </w:r>
      <w:r>
        <w:t xml:space="preserve">(Zhou et al. 2021)</w:t>
      </w:r>
      <w:r>
        <w:t xml:space="preserve">, DLinear</w:t>
      </w:r>
      <w:r>
        <w:t xml:space="preserve"> </w:t>
      </w:r>
      <w:r>
        <w:t xml:space="preserve">(Zeng et al. 2023)</w:t>
      </w:r>
      <w:r>
        <w:t xml:space="preserve">, PatchTST</w:t>
      </w:r>
      <w:r>
        <w:t xml:space="preserve"> </w:t>
      </w:r>
      <w:r>
        <w:t xml:space="preserve">(Nie et al. 2023)</w:t>
      </w:r>
      <w:r>
        <w:t xml:space="preserve">, iTransformer</w:t>
      </w:r>
      <w:r>
        <w:t xml:space="preserve"> </w:t>
      </w:r>
      <w:r>
        <w:t xml:space="preserve">(Liu et al. 2024)</w:t>
      </w:r>
      <w:r>
        <w:t xml:space="preserve">, TimesNet</w:t>
      </w:r>
      <w:r>
        <w:t xml:space="preserve"> </w:t>
      </w:r>
      <w:r>
        <w:t xml:space="preserve">(Wu et al. 2023)</w:t>
      </w:r>
      <w:r>
        <w:t xml:space="preserve">, существенно расширили инструментарий долгосрочного прогнозирования.</w:t>
      </w:r>
    </w:p>
    <w:p>
      <w:pPr>
        <w:pStyle w:val="BodyText"/>
      </w:pPr>
      <w:r>
        <w:t xml:space="preserve">Фундаментальные модели временных рядов, такие как TimesFM </w:t>
      </w:r>
      <w:r>
        <w:t xml:space="preserve">(Das et al. 2024)</w:t>
      </w:r>
      <w:r>
        <w:t xml:space="preserve"> </w:t>
      </w:r>
      <w:r>
        <w:t xml:space="preserve">и семейство Chronos </w:t>
      </w:r>
      <w:r>
        <w:t xml:space="preserve">(Ansari et al. 2024)</w:t>
      </w:r>
      <w:r>
        <w:t xml:space="preserve">, мотивируют новую ось оценки: безобучаемое инференс-время против полноценного обучения на целевом наборе. В данной работе используется дистиллированный вариант Chronos-Bolt-Small. Корректное сравнение должно учитывать риск того, что открытые бенчмарки могли быть включены в претрейнинговые корпуса, поэтому zero-shot результаты на ECL или ETT нельзя интерпретировать как гарантированную обобщающую способность на невиданных данных.</w:t>
      </w:r>
    </w:p>
    <w:bookmarkEnd w:id="10"/>
    <w:bookmarkStart w:id="15" w:name="методология"/>
    <w:p>
      <w:pPr>
        <w:pStyle w:val="Heading1"/>
      </w:pPr>
      <w:r>
        <w:t xml:space="preserve">Методология</w:t>
      </w:r>
    </w:p>
    <w:p>
      <w:pPr>
        <w:pStyle w:val="FirstParagraph"/>
      </w:pPr>
      <w:r>
        <w:t xml:space="preserve">При заданном одномерном контекстном окне</w:t>
      </w:r>
      <w:r>
        <w:t xml:space="preserve"> </w:t>
      </w:r>
      <m:oMath>
        <m:sSub>
          <m:e>
            <m:r>
              <m:rPr>
                <m:sty m:val="b"/>
              </m:rPr>
              <m:t>x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:</m:t>
            </m:r>
            <m:r>
              <m:t>t</m:t>
            </m:r>
          </m:sub>
        </m:sSub>
      </m:oMath>
      <w:r>
        <w:t xml:space="preserve"> </w:t>
      </w:r>
      <w:r>
        <w:t xml:space="preserve">задача — предсказать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b"/>
                  </m:rPr>
                  <m:t>y</m:t>
                </m:r>
              </m:e>
            </m:acc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+</m:t>
            </m:r>
            <m:r>
              <m:t>H</m:t>
            </m:r>
          </m:sub>
        </m:sSub>
      </m:oMath>
      <w:r>
        <w:t xml:space="preserve"> </w:t>
      </w:r>
      <w:r>
        <w:t xml:space="preserve">для горизонтов</w:t>
      </w:r>
      <w:r>
        <w:t xml:space="preserve"> </w:t>
      </w:r>
      <m:oMath>
        <m:r>
          <m:t>H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24</m:t>
        </m:r>
        <m:r>
          <m:rPr>
            <m:sty m:val="p"/>
          </m:rPr>
          <m:t>,</m:t>
        </m:r>
        <m:r>
          <m:t>96</m:t>
        </m:r>
        <m:r>
          <m:rPr>
            <m:sty m:val="p"/>
          </m:rPr>
          <m:t>,</m:t>
        </m:r>
        <m:r>
          <m:t>168</m:t>
        </m:r>
        <m:r>
          <m:rPr>
            <m:sty m:val="p"/>
          </m:rPr>
          <m:t>}</m:t>
        </m:r>
      </m:oMath>
      <w:r>
        <w:t xml:space="preserve">. Эксперименты используют фиксированную длину контекста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336</m:t>
        </m:r>
      </m:oMath>
      <w:r>
        <w:t xml:space="preserve"> </w:t>
      </w:r>
      <w:r>
        <w:t xml:space="preserve">часов, что включает суточную и недельную сезонные компоненты и допускает использование лага 168.</w:t>
      </w:r>
    </w:p>
    <w:p>
      <w:pPr>
        <w:pStyle w:val="BodyText"/>
      </w:pPr>
      <w:r>
        <w:t xml:space="preserve">Базовая модель SeasonalNaive повторяет последний наблюдённый суточный сезонный паттерн. Базовая модель SARIMA использует выбор по AICc на тренировочной выборке из фиксированного грида: пробуются порядки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 </w:t>
      </w:r>
      <w:r>
        <w:t xml:space="preserve">и сезонные порядки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Q</m:t>
        </m:r>
        <m:sSub>
          <m:e>
            <m:r>
              <m:rPr>
                <m:sty m:val="p"/>
              </m:rPr>
              <m:t>)</m:t>
            </m:r>
          </m:e>
          <m:sub>
            <m:r>
              <m:t>24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, и далее минимально-AICc-фит применяется к каждому тестовому окну через фильтрацию состояния, без переподгонки на каждом окне. XGBoost обучается как прямой многошаговый регрессор на лагах 1, 24, 168, скользящих средних по 24 и 168 часам и циклических календарных признаках. DLinear, PatchTST и iTransformer обучаются через NeuralForecast в той же одноцелевой постановке, с коротким validation-only перебором learning-rate по</w:t>
      </w:r>
      <w:r>
        <w:t xml:space="preserve"> </w:t>
      </w:r>
      <m:oMath>
        <m:r>
          <m:rPr>
            <m:sty m:val="p"/>
          </m:rPr>
          <m:t>{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,</m:t>
        </m:r>
        <m:r>
          <m:t>5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}</m:t>
        </m:r>
      </m:oMath>
      <w:r>
        <w:t xml:space="preserve"> </w:t>
      </w:r>
      <w:r>
        <w:t xml:space="preserve">и ранним остановом. Обучение и оценка нейросетевых моделей используют rolling-origin cross-validation в NeuralForecast: хотя train, validation и test конкатенируются для построения скользящих окон, каждое окно прогнозируется только по прошлым наблюдениям, поэтому утечки будущей информации в обучение нет. Chronos-Bolt-Small и TimesFM 2.5 оцениваются в zero-shot режиме без обучения на целевом ряду. Все процедуры предобработки для обучаемых моделей подгоняются только на тренировочной части, а метрики считаются после обратного преобразования предсказаний на исходную шкалу. Фундаментальные модели и SARIMA оцениваются непосредственно в исходной шкале.</w:t>
      </w:r>
    </w:p>
    <w:p>
      <w:pPr>
        <w:pStyle w:val="BodyText"/>
      </w:pPr>
      <w:r>
        <w:t xml:space="preserve">Рис. </w:t>
      </w:r>
      <w:hyperlink w:anchor="fig:methodology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обобщает экспериментальный пайплайн.</w:t>
      </w:r>
    </w:p>
    <w:bookmarkStart w:id="14" w:name="fig:methodology"/>
    <w:p>
      <w:pPr>
        <w:pStyle w:val="CaptionedFigure"/>
      </w:pPr>
      <w:r>
        <w:drawing>
          <wp:inline>
            <wp:extent cx="5334000" cy="1598325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docx_figures/fig1_methodology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8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Экспериментальный пайплайн.</w:t>
      </w:r>
    </w:p>
    <w:bookmarkEnd w:id="14"/>
    <w:bookmarkEnd w:id="15"/>
    <w:bookmarkStart w:id="16" w:name="постановка-эксперимента"/>
    <w:p>
      <w:pPr>
        <w:pStyle w:val="Heading1"/>
      </w:pPr>
      <w:r>
        <w:t xml:space="preserve">Постановка эксперимента</w:t>
      </w:r>
    </w:p>
    <w:p>
      <w:pPr>
        <w:pStyle w:val="FirstParagraph"/>
      </w:pPr>
      <w:r>
        <w:t xml:space="preserve">Основной набор данных — ECL, обработанный как агрегированная часовая электрическая нагрузка по 321 клиенту. Вторичный набор — ETTh1, целевая переменная HUFL. Переменная OT в ETTh1 — температура масла и не рассматривается как электрическая нагрузка. ECL разбивается хронологически 70% train, 10% validation, 20% test. ETTh1 использует стандартное хронологическое разбиение 12 / 4 / 4 месяца.</w:t>
      </w:r>
    </w:p>
    <w:p>
      <w:pPr>
        <w:pStyle w:val="BodyText"/>
      </w:pPr>
      <w:r>
        <w:t xml:space="preserve">Точность измеряется метриками MAE, RMSE, sMAPE и wMAPE. Эффективность измеряется временем обучения, single-window inference latency (batch size 1), числом обучаемых параметров и пиковым потреблением GPU-памяти. Обучаемые модели (XGBoost, DLinear, PatchTST, iTransformer) оцениваются по пяти сидам (42–46) и приводятся как среднее </w:t>
      </w:r>
      <m:oMath>
        <m:r>
          <m:rPr>
            <m:sty m:val="p"/>
          </m:rPr>
          <m:t>±</m:t>
        </m:r>
      </m:oMath>
      <w:r>
        <w:t xml:space="preserve"> СКО; детерминированные модели (SeasonalNaive, SARIMA, Chronos-Bolt, TimesFM) оцениваются однократно и имеют нулевое стандартное отклонение по построению. Тесты Дибольда–Мариано вычисляются по поокно-ошибкам для двух топ-моделей по MAE при сиде 42 для каждой пары (датасет, горизонт). Поскольку усреднение по окнам и плоский поточечный MAE взвешивают ошибки по-разному, ранжирование по статистическим тестам может слегка отличаться от ранжирования таблиц при близких моделях.</w:t>
      </w:r>
    </w:p>
    <w:bookmarkEnd w:id="16"/>
    <w:bookmarkStart w:id="41" w:name="результаты"/>
    <w:p>
      <w:pPr>
        <w:pStyle w:val="Heading1"/>
      </w:pPr>
      <w:r>
        <w:t xml:space="preserve">Результаты</w:t>
      </w:r>
    </w:p>
    <w:bookmarkStart w:id="20" w:name="fig:sample_forecasts"/>
    <w:p>
      <w:pPr>
        <w:pStyle w:val="CaptionedFigure"/>
      </w:pPr>
      <w:r>
        <w:drawing>
          <wp:inline>
            <wp:extent cx="5334000" cy="2406947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docx_figures/fig2_forecasts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6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Пример прогнозов на 168 часов для ECL у репрезентативных моделей.</w:t>
      </w:r>
    </w:p>
    <w:bookmarkEnd w:id="20"/>
    <w:p>
      <w:pPr>
        <w:pStyle w:val="BodyText"/>
      </w:pPr>
      <w:r>
        <w:t xml:space="preserve">На ECL сильнейшую группу образуют XGBoost и две фундаментальные модели. TimesFM имеет наименьший поточечный MAE при H=24, но разрыв до XGBoost и Chronos-Bolt — менее</w:t>
      </w:r>
      <w:r>
        <w:t xml:space="preserve"> </w:t>
      </w:r>
      <m:oMath>
        <m:r>
          <m:t>0.1</m:t>
        </m:r>
        <m:r>
          <m:rPr>
            <m:sty m:val="p"/>
          </m:rPr>
          <m:t>%</m:t>
        </m:r>
      </m:oMath>
      <w:r>
        <w:t xml:space="preserve">, поэтому практическое ранжирование среди этих трёх по сути плоское на коротком горизонте. На H=96 и H=168 незначительно лучше XGBoost, при этом Chronos-Bolt находится в пределах примерно</w:t>
      </w:r>
      <w:r>
        <w:t xml:space="preserve"> </w:t>
      </w:r>
      <m:oMath>
        <m:r>
          <m:t>0.3</m:t>
        </m:r>
        <m:r>
          <m:rPr>
            <m:sty m:val="p"/>
          </m:rPr>
          <m:t>%</m:t>
        </m:r>
      </m:oMath>
      <w:r>
        <w:t xml:space="preserve"> </w:t>
      </w:r>
      <w:r>
        <w:t xml:space="preserve">от лучшего на всех трёх горизонтах. Грид-настроенный SARIMA отстаёт от верхней группы примерно на</w:t>
      </w:r>
      <w:r>
        <w:t xml:space="preserve"> </w:t>
      </w:r>
      <m:oMath>
        <m:r>
          <m:t>1.6</m:t>
        </m:r>
      </m:oMath>
      <w:r>
        <w:t xml:space="preserve">–</w:t>
      </w:r>
      <m:oMath>
        <m:r>
          <m:t>2.7</m:t>
        </m:r>
        <m:r>
          <m:rPr>
            <m:sty m:val="p"/>
          </m:rPr>
          <m:t>%</m:t>
        </m:r>
      </m:oMath>
      <w:r>
        <w:t xml:space="preserve">, опережая обучаемые нейросетевые модели. DLinear, PatchTST и iTransformer существенно превосходят SeasonalNaive, но не достигают точности древесной, фундаментальных или SARIMA-моделей при текущем бюджете обучения. Таблица эффективности (Табл. </w:t>
      </w:r>
      <w:hyperlink w:anchor="tab:efficiency">
        <w:r>
          <w:rPr>
            <w:rStyle w:val="Hyperlink"/>
          </w:rPr>
          <w:t xml:space="preserve">[tab:efficiency]</w:t>
        </w:r>
      </w:hyperlink>
      <w:r>
        <w:t xml:space="preserve">) показывает компромисс при single-window latency: SeasonalNaive и SARIMA имеют наименьшие задержки, XGBoost остаётся быстрее нейросетевых моделей и TimesFM, Chronos-Bolt конкурентен, а TimesFM — самая медленная модель несмотря на сильную точность.</w:t>
      </w:r>
    </w:p>
    <w:p>
      <w:pPr>
        <w:pStyle w:val="BodyText"/>
      </w:pPr>
      <w:r>
        <w:t xml:space="preserve">На ETTh1/HUFL Chronos-Bolt лучшая при H=24, при этом PatchTST — сильнейшая обучаемая модель на этом горизонте; DLinear лидирует при H=96 и H=168. TimesFM конкурентен, но не лучший на этом бенчмарке. SARIMA близок к лучшему классическому базовому методу и опережает XGBoost на всех трёх горизонтах — обратная ситуация по сравнению с ECL, где XGBoost доминирует над SARIMA. Результаты подтверждают важность одновременного включения линейных, трансформерных, фундаментальных и ARIMA-семейных базовых моделей: лучший класс моделей меняется от датасета и горизонта (Рис. </w:t>
      </w:r>
      <w:hyperlink w:anchor="fig:heatmap">
        <w:r>
          <w:rPr>
            <w:rStyle w:val="Hyperlink"/>
          </w:rPr>
          <w:t xml:space="preserve">3</w:t>
        </w:r>
      </w:hyperlink>
      <w:r>
        <w:t xml:space="preserve">, Рис. </w:t>
      </w:r>
      <w:hyperlink w:anchor="fig:horizon">
        <w:r>
          <w:rPr>
            <w:rStyle w:val="Hyperlink"/>
          </w:rPr>
          <w:t xml:space="preserve">5</w:t>
        </w:r>
      </w:hyperlink>
      <w:r>
        <w:t xml:space="preserve">).</w:t>
      </w:r>
    </w:p>
    <w:p>
      <w:pPr>
        <w:pStyle w:val="BodyText"/>
      </w:pPr>
      <w:r>
        <w:t xml:space="preserve">Статистические тесты подтверждают, что верхние сравнения не сводятся к небольшим численным различиям в плоском MAE. На ECL результаты при H=96 и H=168 отдают предпочтение XGBoost над Chronos-Bolt; при H=24 TimesFM и XGBoost практически идентичны в операционном смысле, и хотя тест Дибольда–Мариано отвергает гипотезу равной точности, абсолютная разница MAE менее</w:t>
      </w:r>
      <w:r>
        <w:t xml:space="preserve"> </w:t>
      </w:r>
      <m:oMath>
        <m:r>
          <m:t>0.1</m:t>
        </m:r>
        <m:r>
          <m:rPr>
            <m:sty m:val="p"/>
          </m:rPr>
          <m:t>%</m:t>
        </m:r>
      </m:oMath>
      <w:r>
        <w:t xml:space="preserve"> </w:t>
      </w:r>
      <w:r>
        <w:t xml:space="preserve">и операционно пренебрежима. На ETTh1/HUFL тесты подтверждают Chronos-Bolt при H=24 и DLinear на двух более длинных горизонтах. Это укрепляет центральное наблюдение: ни одно семейство моделей не доминирует одновременно по датасетам и горизонтам.</w:t>
      </w:r>
    </w:p>
    <w:bookmarkStart w:id="24" w:name="fig:heatmap"/>
    <w:p>
      <w:pPr>
        <w:pStyle w:val="CaptionedFigure"/>
      </w:pPr>
      <w:r>
        <w:drawing>
          <wp:inline>
            <wp:extent cx="5334000" cy="2406947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docx_figures/fig3_heatmap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6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Тепловая карта MAE по датасетам и горизонтам.</w:t>
      </w:r>
    </w:p>
    <w:bookmarkEnd w:id="24"/>
    <w:bookmarkStart w:id="28" w:name="fig:pareto"/>
    <w:p>
      <w:pPr>
        <w:pStyle w:val="CaptionedFigure"/>
      </w:pPr>
      <w:r>
        <w:drawing>
          <wp:inline>
            <wp:extent cx="5334000" cy="2275186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docx_figures/fig4_pareto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751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Accuracy–latency при H=96.</w:t>
      </w:r>
    </w:p>
    <w:bookmarkEnd w:id="28"/>
    <w:bookmarkStart w:id="32" w:name="fig:horizon"/>
    <w:p>
      <w:pPr>
        <w:pStyle w:val="CaptionedFigure"/>
      </w:pPr>
      <w:r>
        <w:drawing>
          <wp:inline>
            <wp:extent cx="5334000" cy="2689294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docx_figures/fig5_horizon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892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MAE по горизонтам.</w:t>
      </w:r>
    </w:p>
    <w:bookmarkEnd w:id="32"/>
    <w:bookmarkStart w:id="36" w:name="fig:ecl_accuracy"/>
    <w:p>
      <w:pPr>
        <w:pStyle w:val="CaptionedFigure"/>
      </w:pPr>
      <w:r>
        <w:drawing>
          <wp:inline>
            <wp:extent cx="5334000" cy="2888820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docx_figures/fig6_ecl_accuracy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888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MAE по горизонтам прогноза на ECL.</w:t>
      </w:r>
    </w:p>
    <w:bookmarkEnd w:id="36"/>
    <w:bookmarkStart w:id="40" w:name="fig:etth1_accuracy"/>
    <w:p>
      <w:pPr>
        <w:pStyle w:val="CaptionedFigure"/>
      </w:pPr>
      <w:r>
        <w:drawing>
          <wp:inline>
            <wp:extent cx="5334000" cy="2887934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../figures/fig7_etth1_accuracy.pdf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879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MAE по горизонтам прогноза на ETTh1/HUFL.</w:t>
      </w:r>
    </w:p>
    <w:bookmarkEnd w:id="40"/>
    <w:p>
      <w:pPr>
        <w:pStyle w:val="BodyText"/>
      </w:pPr>
      <w:r>
        <w:t xml:space="preserve">Accuracy–latency-визуализация (Рис. </w:t>
      </w:r>
      <w:hyperlink w:anchor="fig:pareto">
        <w:r>
          <w:rPr>
            <w:rStyle w:val="Hyperlink"/>
          </w:rPr>
          <w:t xml:space="preserve">4</w:t>
        </w:r>
      </w:hyperlink>
      <w:r>
        <w:t xml:space="preserve">) и кривые MAE по датасетам (Рис. </w:t>
      </w:r>
      <w:hyperlink w:anchor="fig:ecl_accuracy">
        <w:r>
          <w:rPr>
            <w:rStyle w:val="Hyperlink"/>
          </w:rPr>
          <w:t xml:space="preserve">6</w:t>
        </w:r>
      </w:hyperlink>
      <w:r>
        <w:t xml:space="preserve">, Рис. </w:t>
      </w:r>
      <w:hyperlink w:anchor="fig:etth1_accuracy">
        <w:r>
          <w:rPr>
            <w:rStyle w:val="Hyperlink"/>
          </w:rPr>
          <w:t xml:space="preserve">7</w:t>
        </w:r>
      </w:hyperlink>
      <w:r>
        <w:t xml:space="preserve">) делают операционные режимы наглядными и согласуются с табличными ранжированиями.</w:t>
      </w:r>
    </w:p>
    <w:bookmarkEnd w:id="41"/>
    <w:bookmarkStart w:id="42" w:name="обсуждение"/>
    <w:p>
      <w:pPr>
        <w:pStyle w:val="Heading1"/>
      </w:pPr>
      <w:r>
        <w:t xml:space="preserve">Обсуждение</w:t>
      </w:r>
    </w:p>
    <w:p>
      <w:pPr>
        <w:pStyle w:val="FirstParagraph"/>
      </w:pPr>
      <w:r>
        <w:t xml:space="preserve">Результаты показывают, что выбор модели зависит от датасета. На агрегированной нагрузке ECL инженерия лагов в комбинации с XGBoost остаётся крайне сильным и недорогим решением, а грид-настроенный SARIMA — следующая по точности модель, опережающая обучаемые нейросетевые архитектуры в этом сравнении. Фундаментальные модели привлекательны, когда отказ от обучения на целевом ряду имеет ценность: Chronos-Bolt близок к XGBoost на ECL и лучший на коротком горизонте ETTh1/HUFL. DLinear — сильнейшая обучаемая нейросетевая модель в этом бенчмарке и доминирует на длинных горизонтах ETTh1/HUFL.</w:t>
      </w:r>
    </w:p>
    <w:p>
      <w:pPr>
        <w:pStyle w:val="BodyText"/>
      </w:pPr>
      <w:r>
        <w:t xml:space="preserve">С точки зрения развёртывания модели занимают разные операционные режимы. XGBoost — наиболее привлекательный выбор при допустимости стандартного supervised-пайплайна: точен на ECL, имеет малую single-window latency, не требует GPU. SARIMA — конкурентный недорогой запасной вариант без обучаемых признаков и с миллисекундной инференсной задержкой. Chronos-Bolt полезен, когда обучение на целевом ряду нежелательно, например в сценариях cold-start промышленного мониторинга, быстрой прототипизации или когда данные нельзя объединять для обучения. TimesFM показывает сильную точечную точность на коротком горизонте ECL, но имеет существенно более высокую latency. DLinear — хороший нейросетевой референс: простой, компактный и сильный на длинных горизонтах ETTh1/HUFL.</w:t>
      </w:r>
    </w:p>
    <w:p>
      <w:pPr>
        <w:pStyle w:val="BodyText"/>
      </w:pPr>
      <w:r>
        <w:t xml:space="preserve">Результаты трансформеров стоит читать осторожно. PatchTST и iTransformer — содержательные архитектуры, однако данный бенчмарк использует компактную одноцелевую конфигурацию и фиксированный бюджет обучения. Их относительная слабость здесь не означает общей непригодности трансформеров для прогноза нагрузки; она лишь показывает, что в условиях ограниченного и воспроизводимого протокола они не превосходят более простые методы автоматически. Производственное исследование должно включать более широкий перебор гиперпараметров, мультивариативные экзогенные входы и, возможно, датасет-специфичный тюнинг.</w:t>
      </w:r>
    </w:p>
    <w:p>
      <w:pPr>
        <w:pStyle w:val="BodyText"/>
      </w:pPr>
      <w:r>
        <w:t xml:space="preserve">Основные ограничения связаны с риском контаминации фундаментальных моделей при претрейне на открытых бенчмарках, ограниченным перебором гиперпараметров, одноцелевым моделированием и отсутствием закрытых промышленных данных развёртывания. Скользящий AutoARIMA как базовая модель пробовался, но полный per-origin grid search оказался непомерно дорогим в этом протоколе; частичный запуск сохранён в логах репозитория, но исключён из основных таблиц сравнения. Грид-настроенный SARIMA в этой работе — практическая замена: порядки выбираются на тренировочной выборке по AICc, и параметры повторно используются для окон прогноза, давая быстрый и чётко определённый ARIMA-базовый метод. Chronos-Bolt также выдаёт предупреждение о том, что длины прогноза свыше 64 находятся вне рекомендованного диапазона, поэтому результаты Chronos при H=96 и H=168 следует интерпретировать как практический стресс-тест, а не оптимальное использование модели.</w:t>
      </w:r>
    </w:p>
    <w:p>
      <w:pPr>
        <w:pStyle w:val="BodyText"/>
      </w:pPr>
      <w:r>
        <w:t xml:space="preserve">Результаты фундаментальных моделей не следует чрезмерно интерпретировать как гарантированную zero-shot обобщающую способность на невиданных данных. ECL и ETT — открытые бенчмарки, и они могут пересекаться с претрейнинговыми или оценочными корпусами, использовавшимися при разработке этих моделей. Корректное утверждение в этой работе уже: Chronos-Bolt и TimesFM запускались без обучения на целевом ряду в рамках данного репозитория. Это практически релевантно, но не равнозначно оценке на закрытом промышленном датасете.</w:t>
      </w:r>
    </w:p>
    <w:bookmarkEnd w:id="42"/>
    <w:bookmarkStart w:id="66" w:name="заключение"/>
    <w:p>
      <w:pPr>
        <w:pStyle w:val="Heading1"/>
      </w:pPr>
      <w:r>
        <w:t xml:space="preserve">Заключение</w:t>
      </w:r>
    </w:p>
    <w:p>
      <w:pPr>
        <w:pStyle w:val="FirstParagraph"/>
      </w:pPr>
      <w:r>
        <w:t xml:space="preserve">Построен и исполнен воспроизводимый пайплайн STLF-бенчмарка на ECL и ETTh1/HUFL. На ECL XGBoost, Chronos-Bolt и TimesFM статистически различимы, но операционно близки в пределах</w:t>
      </w:r>
      <w:r>
        <w:t xml:space="preserve"> </w:t>
      </w:r>
      <m:oMath>
        <m:r>
          <m:t>0.4</m:t>
        </m:r>
        <m:r>
          <m:rPr>
            <m:sty m:val="p"/>
          </m:rPr>
          <m:t>%</m:t>
        </m:r>
      </m:oMath>
      <w:r>
        <w:t xml:space="preserve">, а грид-настроенный SARIMA — ближайший преследователь; на ETTh1/HUFL Chronos-Bolt лидирует при H=24, PatchTST — лучшая обучаемая модель на H=24, DLinear — при H=96 и H=168. Эти выводы поддерживают прагматичную рекомендацию: сравнивайте сначала с сильными простыми базовыми методами, включая корректно настроенную модель ARIMA-семейства, используйте DLinear и PatchTST как нейросетевые референсы, а фундаментальные модели рассматривайте как ценный инструмент для cold-start, а не как универсально доминирующую замену supervised-прогнозированию.</w:t>
      </w:r>
    </w:p>
    <w:bookmarkStart w:id="65" w:name="refs"/>
    <w:bookmarkStart w:id="44" w:name="ref-ansari2024chronos"/>
    <w:p>
      <w:pPr>
        <w:pStyle w:val="Bibliography"/>
      </w:pPr>
      <w:r>
        <w:t xml:space="preserve">Ansari, Abdul Fatir, Lorenzo Stella, Caner Turkmen, et al. 2024.</w:t>
      </w:r>
      <w:r>
        <w:t xml:space="preserve"> </w:t>
      </w:r>
      <w:r>
        <w:t xml:space="preserve">“Chronos: Learning the Language of Time Series.”</w:t>
      </w:r>
      <w:r>
        <w:t xml:space="preserve"> </w:t>
      </w:r>
      <w:r>
        <w:rPr>
          <w:i/>
          <w:iCs/>
        </w:rPr>
        <w:t xml:space="preserve">Transactions on Machine Learning Research</w:t>
      </w:r>
      <w:r>
        <w:t xml:space="preserve">.</w:t>
      </w:r>
      <w:r>
        <w:t xml:space="preserve"> </w:t>
      </w:r>
      <w:hyperlink r:id="rId43">
        <w:r>
          <w:rPr>
            <w:rStyle w:val="Hyperlink"/>
          </w:rPr>
          <w:t xml:space="preserve">https://arxiv.org/abs/2403.07815</w:t>
        </w:r>
      </w:hyperlink>
      <w:r>
        <w:t xml:space="preserve">.</w:t>
      </w:r>
    </w:p>
    <w:bookmarkEnd w:id="44"/>
    <w:bookmarkStart w:id="46" w:name="ref-chen2016xgboost"/>
    <w:p>
      <w:pPr>
        <w:pStyle w:val="Bibliography"/>
      </w:pPr>
      <w:r>
        <w:t xml:space="preserve">Chen, Tianqi, and Carlos Guestrin. 2016.</w:t>
      </w:r>
      <w:r>
        <w:t xml:space="preserve"> </w:t>
      </w:r>
      <w:r>
        <w:t xml:space="preserve">“XGBoost: A Scalable Tree Boosting System.”</w:t>
      </w:r>
      <w:r>
        <w:t xml:space="preserve"> </w:t>
      </w:r>
      <w:r>
        <w:rPr>
          <w:i/>
          <w:iCs/>
        </w:rPr>
        <w:t xml:space="preserve">Proceedings of the 22nd ACM SIGKDD International Conference on Knowledge Discovery and Data Mining</w:t>
      </w:r>
      <w:r>
        <w:t xml:space="preserve">, 785–94.</w:t>
      </w:r>
      <w:r>
        <w:t xml:space="preserve"> </w:t>
      </w:r>
      <w:hyperlink r:id="rId45">
        <w:r>
          <w:rPr>
            <w:rStyle w:val="Hyperlink"/>
          </w:rPr>
          <w:t xml:space="preserve">https://doi.org/10.1145/2939672.2939785</w:t>
        </w:r>
      </w:hyperlink>
      <w:r>
        <w:t xml:space="preserve">.</w:t>
      </w:r>
    </w:p>
    <w:bookmarkEnd w:id="46"/>
    <w:bookmarkStart w:id="48" w:name="ref-das2024timesfm"/>
    <w:p>
      <w:pPr>
        <w:pStyle w:val="Bibliography"/>
      </w:pPr>
      <w:r>
        <w:t xml:space="preserve">Das, Abhimanyu, Weihao Kong, Rajat Sen, and Yichen Zhou. 2024.</w:t>
      </w:r>
      <w:r>
        <w:t xml:space="preserve"> </w:t>
      </w:r>
      <w:r>
        <w:t xml:space="preserve">“A Decoder-Only Foundation Model for Time-Series Forecasting.”</w:t>
      </w:r>
      <w:r>
        <w:t xml:space="preserve"> </w:t>
      </w:r>
      <w:r>
        <w:rPr>
          <w:i/>
          <w:iCs/>
        </w:rPr>
        <w:t xml:space="preserve">International Conference on Machine Learning</w:t>
      </w:r>
      <w:r>
        <w:t xml:space="preserve">.</w:t>
      </w:r>
      <w:r>
        <w:t xml:space="preserve"> </w:t>
      </w:r>
      <w:hyperlink r:id="rId47">
        <w:r>
          <w:rPr>
            <w:rStyle w:val="Hyperlink"/>
          </w:rPr>
          <w:t xml:space="preserve">https://arxiv.org/abs/2310.10688</w:t>
        </w:r>
      </w:hyperlink>
      <w:r>
        <w:t xml:space="preserve">.</w:t>
      </w:r>
    </w:p>
    <w:bookmarkEnd w:id="48"/>
    <w:bookmarkStart w:id="50" w:name="ref-hochreiter1997lstm"/>
    <w:p>
      <w:pPr>
        <w:pStyle w:val="Bibliography"/>
      </w:pPr>
      <w:r>
        <w:t xml:space="preserve">Hochreiter, Sepp, and Jürgen Schmidhuber. 1997.</w:t>
      </w:r>
      <w:r>
        <w:t xml:space="preserve"> </w:t>
      </w:r>
      <w:r>
        <w:t xml:space="preserve">“Long Short-Term Memory.”</w:t>
      </w:r>
      <w:r>
        <w:t xml:space="preserve"> </w:t>
      </w:r>
      <w:r>
        <w:rPr>
          <w:i/>
          <w:iCs/>
        </w:rPr>
        <w:t xml:space="preserve">Neural Computation</w:t>
      </w:r>
      <w:r>
        <w:t xml:space="preserve"> </w:t>
      </w:r>
      <w:r>
        <w:t xml:space="preserve">9 (8): 1735–80.</w:t>
      </w:r>
      <w:r>
        <w:t xml:space="preserve"> </w:t>
      </w:r>
      <w:hyperlink r:id="rId49">
        <w:r>
          <w:rPr>
            <w:rStyle w:val="Hyperlink"/>
          </w:rPr>
          <w:t xml:space="preserve">https://doi.org/10.1162/neco.1997.9.8.1735</w:t>
        </w:r>
      </w:hyperlink>
      <w:r>
        <w:t xml:space="preserve">.</w:t>
      </w:r>
    </w:p>
    <w:bookmarkEnd w:id="50"/>
    <w:bookmarkStart w:id="52" w:name="ref-hyndman2008automatic"/>
    <w:p>
      <w:pPr>
        <w:pStyle w:val="Bibliography"/>
      </w:pPr>
      <w:r>
        <w:t xml:space="preserve">Hyndman, Rob J., and Yeasmin Khandakar. 2008.</w:t>
      </w:r>
      <w:r>
        <w:t xml:space="preserve"> </w:t>
      </w:r>
      <w:r>
        <w:t xml:space="preserve">“Automatic Time Series Forecasting: The Forecast Package for r.”</w:t>
      </w:r>
      <w:r>
        <w:t xml:space="preserve"> </w:t>
      </w:r>
      <w:r>
        <w:rPr>
          <w:i/>
          <w:iCs/>
        </w:rPr>
        <w:t xml:space="preserve">Journal of Statistical Software</w:t>
      </w:r>
      <w:r>
        <w:t xml:space="preserve"> </w:t>
      </w:r>
      <w:r>
        <w:t xml:space="preserve">27 (3): 1–22.</w:t>
      </w:r>
      <w:r>
        <w:t xml:space="preserve"> </w:t>
      </w:r>
      <w:hyperlink r:id="rId51">
        <w:r>
          <w:rPr>
            <w:rStyle w:val="Hyperlink"/>
          </w:rPr>
          <w:t xml:space="preserve">https://doi.org/10.18637/jss.v027.i03</w:t>
        </w:r>
      </w:hyperlink>
      <w:r>
        <w:t xml:space="preserve">.</w:t>
      </w:r>
    </w:p>
    <w:bookmarkEnd w:id="52"/>
    <w:bookmarkStart w:id="54" w:name="ref-liu2024itransformer"/>
    <w:p>
      <w:pPr>
        <w:pStyle w:val="Bibliography"/>
      </w:pPr>
      <w:r>
        <w:t xml:space="preserve">Liu, Yong, Tengge Hu, Haoran Zhang, et al. 2024.</w:t>
      </w:r>
      <w:r>
        <w:t xml:space="preserve"> </w:t>
      </w:r>
      <w:r>
        <w:t xml:space="preserve">“iTransformer: Inverted Transformers Are Effective for Time Series Forecasting.”</w:t>
      </w:r>
      <w:r>
        <w:t xml:space="preserve"> </w:t>
      </w:r>
      <w:r>
        <w:rPr>
          <w:i/>
          <w:iCs/>
        </w:rPr>
        <w:t xml:space="preserve">International Conference on Learning Representations</w:t>
      </w:r>
      <w:r>
        <w:t xml:space="preserve">.</w:t>
      </w:r>
      <w:r>
        <w:t xml:space="preserve"> </w:t>
      </w:r>
      <w:hyperlink r:id="rId53">
        <w:r>
          <w:rPr>
            <w:rStyle w:val="Hyperlink"/>
          </w:rPr>
          <w:t xml:space="preserve">https://arxiv.org/abs/2310.06625</w:t>
        </w:r>
      </w:hyperlink>
      <w:r>
        <w:t xml:space="preserve">.</w:t>
      </w:r>
    </w:p>
    <w:bookmarkEnd w:id="54"/>
    <w:bookmarkStart w:id="56" w:name="ref-nie2023patchtst"/>
    <w:p>
      <w:pPr>
        <w:pStyle w:val="Bibliography"/>
      </w:pPr>
      <w:r>
        <w:t xml:space="preserve">Nie, Yuqi, Nam H. Nguyen, Phanwadee Sinthong, and Jayant Kalagnanam. 2023.</w:t>
      </w:r>
      <w:r>
        <w:t xml:space="preserve"> </w:t>
      </w:r>
      <w:r>
        <w:t xml:space="preserve">“A Time Series Is Worth 64 Words: Long-Term Forecasting with Transformers.”</w:t>
      </w:r>
      <w:r>
        <w:t xml:space="preserve"> </w:t>
      </w:r>
      <w:r>
        <w:rPr>
          <w:i/>
          <w:iCs/>
        </w:rPr>
        <w:t xml:space="preserve">International Conference on Learning Representations</w:t>
      </w:r>
      <w:r>
        <w:t xml:space="preserve">.</w:t>
      </w:r>
      <w:r>
        <w:t xml:space="preserve"> </w:t>
      </w:r>
      <w:hyperlink r:id="rId55">
        <w:r>
          <w:rPr>
            <w:rStyle w:val="Hyperlink"/>
          </w:rPr>
          <w:t xml:space="preserve">https://arxiv.org/abs/2211.14730</w:t>
        </w:r>
      </w:hyperlink>
      <w:r>
        <w:t xml:space="preserve">.</w:t>
      </w:r>
    </w:p>
    <w:bookmarkEnd w:id="56"/>
    <w:bookmarkStart w:id="58" w:name="ref-vaswani2017attention"/>
    <w:p>
      <w:pPr>
        <w:pStyle w:val="Bibliography"/>
      </w:pPr>
      <w:r>
        <w:t xml:space="preserve">Vaswani, Ashish, Noam Shazeer, Niki Parmar, et al. 2017.</w:t>
      </w:r>
      <w:r>
        <w:t xml:space="preserve"> </w:t>
      </w:r>
      <w:r>
        <w:t xml:space="preserve">“Attention Is All You Need.”</w:t>
      </w:r>
      <w:r>
        <w:t xml:space="preserve"> </w:t>
      </w:r>
      <w:r>
        <w:rPr>
          <w:i/>
          <w:iCs/>
        </w:rPr>
        <w:t xml:space="preserve">Advances in Neural Information Processing Systems</w:t>
      </w:r>
      <w:r>
        <w:t xml:space="preserve">.</w:t>
      </w:r>
      <w:r>
        <w:t xml:space="preserve"> </w:t>
      </w:r>
      <w:hyperlink r:id="rId57">
        <w:r>
          <w:rPr>
            <w:rStyle w:val="Hyperlink"/>
          </w:rPr>
          <w:t xml:space="preserve">https://arxiv.org/abs/1706.03762</w:t>
        </w:r>
      </w:hyperlink>
      <w:r>
        <w:t xml:space="preserve">.</w:t>
      </w:r>
    </w:p>
    <w:bookmarkEnd w:id="58"/>
    <w:bookmarkStart w:id="60" w:name="ref-wu2023timesnet"/>
    <w:p>
      <w:pPr>
        <w:pStyle w:val="Bibliography"/>
      </w:pPr>
      <w:r>
        <w:t xml:space="preserve">Wu, Haixu, Tengge Hu, Yong Liu, Hang Zhou, Jianmin Wang, and Mingsheng Long. 2023.</w:t>
      </w:r>
      <w:r>
        <w:t xml:space="preserve"> </w:t>
      </w:r>
      <w:r>
        <w:t xml:space="preserve">“TimesNet: Temporal 2D-Variation Modeling for General Time Series Analysis.”</w:t>
      </w:r>
      <w:r>
        <w:t xml:space="preserve"> </w:t>
      </w:r>
      <w:r>
        <w:rPr>
          <w:i/>
          <w:iCs/>
        </w:rPr>
        <w:t xml:space="preserve">International Conference on Learning Representations</w:t>
      </w:r>
      <w:r>
        <w:t xml:space="preserve">.</w:t>
      </w:r>
      <w:r>
        <w:t xml:space="preserve"> </w:t>
      </w:r>
      <w:hyperlink r:id="rId59">
        <w:r>
          <w:rPr>
            <w:rStyle w:val="Hyperlink"/>
          </w:rPr>
          <w:t xml:space="preserve">https://arxiv.org/abs/2210.02186</w:t>
        </w:r>
      </w:hyperlink>
      <w:r>
        <w:t xml:space="preserve">.</w:t>
      </w:r>
    </w:p>
    <w:bookmarkEnd w:id="60"/>
    <w:bookmarkStart w:id="62" w:name="ref-zeng2023dlinear"/>
    <w:p>
      <w:pPr>
        <w:pStyle w:val="Bibliography"/>
      </w:pPr>
      <w:r>
        <w:t xml:space="preserve">Zeng, Ailing, Muxi Chen, Lei Zhang, and Qiang Xu. 2023.</w:t>
      </w:r>
      <w:r>
        <w:t xml:space="preserve"> </w:t>
      </w:r>
      <w:r>
        <w:t xml:space="preserve">“Are Transformers Effective for Time Series Forecasting?”</w:t>
      </w:r>
      <w:r>
        <w:t xml:space="preserve"> </w:t>
      </w:r>
      <w:r>
        <w:rPr>
          <w:i/>
          <w:iCs/>
        </w:rPr>
        <w:t xml:space="preserve">Proceedings of the AAAI Conference on Artificial Intelligence</w:t>
      </w:r>
      <w:r>
        <w:t xml:space="preserve">.</w:t>
      </w:r>
      <w:r>
        <w:t xml:space="preserve"> </w:t>
      </w:r>
      <w:hyperlink r:id="rId61">
        <w:r>
          <w:rPr>
            <w:rStyle w:val="Hyperlink"/>
          </w:rPr>
          <w:t xml:space="preserve">https://arxiv.org/abs/2205.13504</w:t>
        </w:r>
      </w:hyperlink>
      <w:r>
        <w:t xml:space="preserve">.</w:t>
      </w:r>
    </w:p>
    <w:bookmarkEnd w:id="62"/>
    <w:bookmarkStart w:id="64" w:name="ref-zhou2021informer"/>
    <w:p>
      <w:pPr>
        <w:pStyle w:val="Bibliography"/>
      </w:pPr>
      <w:r>
        <w:t xml:space="preserve">Zhou, Haoyi, Shanghang Zhang, Jieqi Peng, et al. 2021.</w:t>
      </w:r>
      <w:r>
        <w:t xml:space="preserve"> </w:t>
      </w:r>
      <w:r>
        <w:t xml:space="preserve">“Informer: Beyond Efficient Transformer for Long Sequence Time-Series Forecasting.”</w:t>
      </w:r>
      <w:r>
        <w:t xml:space="preserve"> </w:t>
      </w:r>
      <w:r>
        <w:rPr>
          <w:i/>
          <w:iCs/>
        </w:rPr>
        <w:t xml:space="preserve">Proceedings of the AAAI Conference on Artificial Intelligence</w:t>
      </w:r>
      <w:r>
        <w:t xml:space="preserve">.</w:t>
      </w:r>
      <w:r>
        <w:t xml:space="preserve"> </w:t>
      </w:r>
      <w:hyperlink r:id="rId63">
        <w:r>
          <w:rPr>
            <w:rStyle w:val="Hyperlink"/>
          </w:rPr>
          <w:t xml:space="preserve">https://arxiv.org/abs/2012.07436</w:t>
        </w:r>
      </w:hyperlink>
      <w:r>
        <w:t xml:space="preserve">.</w:t>
      </w:r>
    </w:p>
    <w:bookmarkEnd w:id="64"/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7" Target="media/rId37.pdf" /><Relationship Type="http://schemas.openxmlformats.org/officeDocument/2006/relationships/image" Id="rId11" Target="media/rId11.png" /><Relationship Type="http://schemas.openxmlformats.org/officeDocument/2006/relationships/image" Id="rId17" Target="media/rId17.png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57" Target="https://arxiv.org/abs/1706.03762" TargetMode="External" /><Relationship Type="http://schemas.openxmlformats.org/officeDocument/2006/relationships/hyperlink" Id="rId63" Target="https://arxiv.org/abs/2012.07436" TargetMode="External" /><Relationship Type="http://schemas.openxmlformats.org/officeDocument/2006/relationships/hyperlink" Id="rId61" Target="https://arxiv.org/abs/2205.13504" TargetMode="External" /><Relationship Type="http://schemas.openxmlformats.org/officeDocument/2006/relationships/hyperlink" Id="rId59" Target="https://arxiv.org/abs/2210.02186" TargetMode="External" /><Relationship Type="http://schemas.openxmlformats.org/officeDocument/2006/relationships/hyperlink" Id="rId55" Target="https://arxiv.org/abs/2211.14730" TargetMode="External" /><Relationship Type="http://schemas.openxmlformats.org/officeDocument/2006/relationships/hyperlink" Id="rId53" Target="https://arxiv.org/abs/2310.06625" TargetMode="External" /><Relationship Type="http://schemas.openxmlformats.org/officeDocument/2006/relationships/hyperlink" Id="rId47" Target="https://arxiv.org/abs/2310.10688" TargetMode="External" /><Relationship Type="http://schemas.openxmlformats.org/officeDocument/2006/relationships/hyperlink" Id="rId43" Target="https://arxiv.org/abs/2403.07815" TargetMode="External" /><Relationship Type="http://schemas.openxmlformats.org/officeDocument/2006/relationships/hyperlink" Id="rId45" Target="https://doi.org/10.1145/2939672.2939785" TargetMode="External" /><Relationship Type="http://schemas.openxmlformats.org/officeDocument/2006/relationships/hyperlink" Id="rId49" Target="https://doi.org/10.1162/neco.1997.9.8.1735" TargetMode="External" /><Relationship Type="http://schemas.openxmlformats.org/officeDocument/2006/relationships/hyperlink" Id="rId51" Target="https://doi.org/10.18637/jss.v027.i0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https://arxiv.org/abs/1706.03762" TargetMode="External" /><Relationship Type="http://schemas.openxmlformats.org/officeDocument/2006/relationships/hyperlink" Id="rId63" Target="https://arxiv.org/abs/2012.07436" TargetMode="External" /><Relationship Type="http://schemas.openxmlformats.org/officeDocument/2006/relationships/hyperlink" Id="rId61" Target="https://arxiv.org/abs/2205.13504" TargetMode="External" /><Relationship Type="http://schemas.openxmlformats.org/officeDocument/2006/relationships/hyperlink" Id="rId59" Target="https://arxiv.org/abs/2210.02186" TargetMode="External" /><Relationship Type="http://schemas.openxmlformats.org/officeDocument/2006/relationships/hyperlink" Id="rId55" Target="https://arxiv.org/abs/2211.14730" TargetMode="External" /><Relationship Type="http://schemas.openxmlformats.org/officeDocument/2006/relationships/hyperlink" Id="rId53" Target="https://arxiv.org/abs/2310.06625" TargetMode="External" /><Relationship Type="http://schemas.openxmlformats.org/officeDocument/2006/relationships/hyperlink" Id="rId47" Target="https://arxiv.org/abs/2310.10688" TargetMode="External" /><Relationship Type="http://schemas.openxmlformats.org/officeDocument/2006/relationships/hyperlink" Id="rId43" Target="https://arxiv.org/abs/2403.07815" TargetMode="External" /><Relationship Type="http://schemas.openxmlformats.org/officeDocument/2006/relationships/hyperlink" Id="rId45" Target="https://doi.org/10.1145/2939672.2939785" TargetMode="External" /><Relationship Type="http://schemas.openxmlformats.org/officeDocument/2006/relationships/hyperlink" Id="rId49" Target="https://doi.org/10.1162/neco.1997.9.8.1735" TargetMode="External" /><Relationship Type="http://schemas.openxmlformats.org/officeDocument/2006/relationships/hyperlink" Id="rId51" Target="https://doi.org/10.18637/jss.v027.i0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Сравнительное исследование методов машинного обучения, глубокого обучения и фундаментальных моделей для краткосрочного прогнозирования электрической нагрузки</dc:title>
  <dc:creator>; </dc:creator>
  <cp:keywords/>
  <dcterms:created xsi:type="dcterms:W3CDTF">2026-05-05T13:51:51Z</dcterms:created>
  <dcterms:modified xsi:type="dcterms:W3CDTF">2026-05-05T13:51:51Z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Краткосрочное прогнозирование электрической нагрузки является ключевым компонентом эксплуатации интеллектуальных энергосетей, опережающего планирования и промышленного энергоменеджмента. В работе представлен воспроизводимый бенчмарк, сравнивающий два классических базовых метода (SeasonalNaive и грид-настроенный SARIMA), модель градиентного бустинга (XGBoost), три нейросетевые архитектуры (DLinear, PatchTST, iTransformer) и две фундаментальные модели временных рядов (Chronos-Bolt-Small и TimesFM 2.5). Основная оценка проводится на наборе ECL по агрегированной нагрузке. ETTh1 используется как вторичный промышленный бенчмарк с целевой переменной HUFL; температура масла OT целенаправленно не рассматривается как электрическая нагрузка. Эксперименты охватывают горизонты 24, 96 и 168 часов при фиксированном контексте 336 часов. На ECL три лидирующие модели — TimesFM, Chronos-Bolt и XGBoost — отличаются друг от друга в пределах примерно 0.1–0.4\% по горизонтам: TimesFM незначительно лучше при H=24, XGBoost — при H=96 и H=168; грид-настроенный SARIMA закрывает большую часть оставшегося разрыва без обучаемых признаков. На ETTh1/HUFL Chronos-Bolt лучшая при H=24, DLinear — при H=96 и H=168. Результаты показывают, что фундаментальные модели конкурентоспособны в zero-shot режиме, но классические и обучаемые на целевом ряду модели остаются сильными при наличии данных и инженерии признаков.</vt:lpwstr>
  </property>
  <property fmtid="{D5CDD505-2E9C-101B-9397-08002B2CF9AE}" pid="3" name="bibliography">
    <vt:lpwstr>references.bib</vt:lpwstr>
  </property>
</Properties>
</file>