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28.png" ContentType="image/png"/>
  <Override PartName="/word/media/rId35.png" ContentType="image/png"/>
  <Override PartName="/word/media/rId31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Сравнительное исследование методов машинного обучения, глубокого обучения и фундаментальных моделей для краткосрочного прогнозирования электрической нагрузки</w:t>
      </w:r>
    </w:p>
    <w:p>
      <w:pPr>
        <w:pStyle w:val="Author"/>
      </w:pPr>
      <w:r>
        <w:t xml:space="preserve">Автор Один, Аффилиация Один, Город, Страна</w:t>
      </w:r>
    </w:p>
    <w:p>
      <w:pPr>
        <w:pStyle w:val="Author"/>
      </w:pPr>
      <w:r>
        <w:t xml:space="preserve">Автор Два, Аффилиация Два, Город, Страна</w:t>
      </w:r>
    </w:p>
    <w:p>
      <w:pPr>
        <w:pStyle w:val="Date"/>
      </w:pPr>
      <w:r>
        <w:t xml:space="preserve">Май 2026</w:t>
      </w:r>
    </w:p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Краткосрочное прогнозирование электрической нагрузки является ключевым компонентом эксплуатации интеллектуальных энергосетей, опережающего планирования и промышленного энергоменеджмента. В работе представлен воспроизводимый бенчмарк, сравнивающий два классических базовых метода (SeasonalNaive и грид-настроенный SARIMA), модель градиентного бустинга (XGBoost), три нейросетевые архитектуры (DLinear, PatchTST, iTransformer) и две фундаментальные модели временных рядов (Chronos-Bolt-Small и TimesFM 2.5). Основная оценка проводится на наборе ECL по агрегированной нагрузке. ETTh1 используется как вторичный промышленный бенчмарк с целевой переменной HUFL — load-related transformer variable; температура масла OT целенаправленно не рассматривается как электрическая нагрузка. Эксперименты охватывают горизонты 24, 96 и 168 часов при фиксированном контексте 336 часов. На ECL три лидирующие модели — TimesFM, Chronos-Bolt и XGBoost — отличаются друг от друга в пределах примерно 0.1–0.4 % по горизонтам: TimesFM незначительно лучше при H=24, XGBoost — при H=96 и H=168; грид-настроенный SARIMA закрывает большую часть оставшегося разрыва без обучаемых признаков. На ETTh1/HUFL Chronos-Bolt лучшая при H=24, DLinear — при H=96 и H=168. Результаты показывают, что фундаментальные модели конкурентоспособны в zero-shot режиме, но классические и обучаемые на целевом ряду модели остаются сильными при наличии данных и инженерии признаков.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краткосрочное прогнозирование нагрузки; временные ряды; глубокое обучение; фундаментальные модели; SARIMA; XGBoost; интеллектуальная сеть.</w:t>
      </w:r>
    </w:p>
    <w:bookmarkEnd w:id="9"/>
    <w:bookmarkStart w:id="13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Краткосрочное прогнозирование нагрузки (STLF) поддерживает диспетчерское планирование, балансировку, тарифно-ориентированное управление, планирование обслуживания и аномально-чувствительный промышленный энергоменеджмент. В современных задачах smart-grid и Industry 4.0 от моделей прогноза требуется не только точность, но и воспроизводимость, вычислительная экономичность и устойчивость к различным режимам эксплуатации.</w:t>
      </w:r>
    </w:p>
    <w:p>
      <w:pPr>
        <w:pStyle w:val="BodyText"/>
      </w:pPr>
      <w:r>
        <w:t xml:space="preserve">Методологический ландшафт широк. Классические методы, такие как ARIMA-семейство и сезонные наивные базовые модели, остаются важными референсами; модели машинного обучения вроде градиентного бустинга привлекательны тем, что включают лаговые и календарные признаки при умеренной инженерии; современные модели глубокого обучения и фундаментальные модели обещают более широкую переносимость между доменами временных рядов. Это порождает практический вопрос: когда дорогие архитектуры или zero-shot фундаментальные модели действительно превосходят сильные недорогие базовые методы?</w:t>
      </w:r>
    </w:p>
    <w:p>
      <w:pPr>
        <w:pStyle w:val="BodyText"/>
      </w:pPr>
      <w:r>
        <w:t xml:space="preserve">В работе представлено воспроизводимое исполнение бенчмарка на двух открытых наборах данных. Прагматический вклад состоит в следующем:</w:t>
      </w:r>
    </w:p>
    <w:p>
      <w:pPr>
        <w:pStyle w:val="Compact"/>
        <w:numPr>
          <w:ilvl w:val="0"/>
          <w:numId w:val="1001"/>
        </w:numPr>
      </w:pPr>
      <w:r>
        <w:t xml:space="preserve">сквозной репозиторий с валидацией данных, leakage-aware шкалированием, метриками, измерением времени, фигурами и сборкой статьи;</w:t>
      </w:r>
    </w:p>
    <w:p>
      <w:pPr>
        <w:pStyle w:val="Compact"/>
        <w:numPr>
          <w:ilvl w:val="0"/>
          <w:numId w:val="1001"/>
        </w:numPr>
      </w:pPr>
      <w:r>
        <w:t xml:space="preserve">реальные результаты для SeasonalNaive, грид-настроенного SARIMA, XGBoost, DLinear, PatchTST, iTransformer, Chronos-Bolt-Small и TimesFM 2.5;</w:t>
      </w:r>
    </w:p>
    <w:p>
      <w:pPr>
        <w:pStyle w:val="Compact"/>
        <w:numPr>
          <w:ilvl w:val="0"/>
          <w:numId w:val="1001"/>
        </w:numPr>
      </w:pPr>
      <w:r>
        <w:t xml:space="preserve">тесты Дибольда–Мариано, рассчитанные по поокно-ошибкам для топ-пар моделей;</w:t>
      </w:r>
    </w:p>
    <w:p>
      <w:pPr>
        <w:pStyle w:val="Compact"/>
        <w:numPr>
          <w:ilvl w:val="0"/>
          <w:numId w:val="1001"/>
        </w:numPr>
      </w:pPr>
      <w:r>
        <w:t xml:space="preserve">анализ accuracy–latency, отделяющий стоимость развёртывания от чистой точности.</w:t>
      </w:r>
    </w:p>
    <w:p>
      <w:pPr>
        <w:pStyle w:val="CaptionedFigure"/>
      </w:pPr>
      <w:r>
        <w:drawing>
          <wp:inline>
            <wp:extent cx="5334000" cy="1598325"/>
            <wp:effectExtent b="0" l="0" r="0" t="0"/>
            <wp:docPr descr="Рис. 1. Экспериментальный пайплайн." title="" id="11" name="Picture"/>
            <a:graphic>
              <a:graphicData uri="http://schemas.openxmlformats.org/drawingml/2006/picture">
                <pic:pic>
                  <pic:nvPicPr>
                    <pic:cNvPr descr="docx_figures/fig1_methodology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Экспериментальный пайплайн.</w:t>
      </w:r>
    </w:p>
    <w:bookmarkEnd w:id="13"/>
    <w:bookmarkStart w:id="14" w:name="обзор-литературы"/>
    <w:p>
      <w:pPr>
        <w:pStyle w:val="Heading1"/>
      </w:pPr>
      <w:r>
        <w:t xml:space="preserve">2. Обзор литературы</w:t>
      </w:r>
    </w:p>
    <w:p>
      <w:pPr>
        <w:pStyle w:val="FirstParagraph"/>
      </w:pPr>
      <w:r>
        <w:t xml:space="preserve">Классические методы прогнозирования временных рядов, в частности ARIMA-семейство, остаются важными, потому что задают интерпретируемые и недорогие референсы; автоматический выбор порядков по информационным критериям, таким как AICc, делает их применимыми по отдельным рядам</w:t>
      </w:r>
      <w:r>
        <w:t xml:space="preserve"> </w:t>
      </w:r>
      <w:r>
        <w:t xml:space="preserve">(Hyndman и Khandakar 2008 г.)</w:t>
      </w:r>
      <w:r>
        <w:t xml:space="preserve">. Подходы машинного обучения на основе лагов, календарных переменных и градиентно-бустированных деревьев широко используются в задачах прогнозирования нагрузки благодаря быстрому обучению и устойчивости при инженерии табличных признаков</w:t>
      </w:r>
      <w:r>
        <w:t xml:space="preserve"> </w:t>
      </w:r>
      <w:r>
        <w:t xml:space="preserve">(Chen и Guestrin 2016 г.)</w:t>
      </w:r>
      <w:r>
        <w:t xml:space="preserve">.</w:t>
      </w:r>
    </w:p>
    <w:p>
      <w:pPr>
        <w:pStyle w:val="BodyText"/>
      </w:pPr>
      <w:r>
        <w:t xml:space="preserve">Модели глубокого обучения, такие как LSTM</w:t>
      </w:r>
      <w:r>
        <w:t xml:space="preserve"> </w:t>
      </w:r>
      <w:r>
        <w:t xml:space="preserve">(Hochreiter и Schmidhuber 1997 г.)</w:t>
      </w:r>
      <w:r>
        <w:t xml:space="preserve">, архитектуры с механизмом внимания</w:t>
      </w:r>
      <w:r>
        <w:t xml:space="preserve"> </w:t>
      </w:r>
      <w:r>
        <w:t xml:space="preserve">(Vaswani и др. 2017 г.)</w:t>
      </w:r>
      <w:r>
        <w:t xml:space="preserve">, Informer</w:t>
      </w:r>
      <w:r>
        <w:t xml:space="preserve"> </w:t>
      </w:r>
      <w:r>
        <w:t xml:space="preserve">(Zhou и др. 2021 г.)</w:t>
      </w:r>
      <w:r>
        <w:t xml:space="preserve">, DLinear</w:t>
      </w:r>
      <w:r>
        <w:t xml:space="preserve"> </w:t>
      </w:r>
      <w:r>
        <w:t xml:space="preserve">(Zeng и др. 2023 г.)</w:t>
      </w:r>
      <w:r>
        <w:t xml:space="preserve">, PatchTST</w:t>
      </w:r>
      <w:r>
        <w:t xml:space="preserve"> </w:t>
      </w:r>
      <w:r>
        <w:t xml:space="preserve">(Nie и др. 2023 г.)</w:t>
      </w:r>
      <w:r>
        <w:t xml:space="preserve">, iTransformer</w:t>
      </w:r>
      <w:r>
        <w:t xml:space="preserve"> </w:t>
      </w:r>
      <w:r>
        <w:t xml:space="preserve">(Liu и др. 2024 г.)</w:t>
      </w:r>
      <w:r>
        <w:t xml:space="preserve">, TimesNet</w:t>
      </w:r>
      <w:r>
        <w:t xml:space="preserve"> </w:t>
      </w:r>
      <w:r>
        <w:t xml:space="preserve">(Wu и др. 2023 г.)</w:t>
      </w:r>
      <w:r>
        <w:t xml:space="preserve">, существенно расширили инструментарий долгосрочного прогнозирования. Фундаментальные модели временных рядов, такие как TimesFM</w:t>
      </w:r>
      <w:r>
        <w:t xml:space="preserve"> </w:t>
      </w:r>
      <w:r>
        <w:t xml:space="preserve">(Das и др. 2024 г.)</w:t>
      </w:r>
      <w:r>
        <w:t xml:space="preserve"> </w:t>
      </w:r>
      <w:r>
        <w:t xml:space="preserve">и семейство Chronos</w:t>
      </w:r>
      <w:r>
        <w:t xml:space="preserve"> </w:t>
      </w:r>
      <w:r>
        <w:t xml:space="preserve">(Ansari и др. 2024 г.)</w:t>
      </w:r>
      <w:r>
        <w:t xml:space="preserve">, мотивируют новую ось оценки: безобучаемое инференс-время против полноценного обучения на целевом наборе.</w:t>
      </w:r>
    </w:p>
    <w:p>
      <w:pPr>
        <w:pStyle w:val="BodyText"/>
      </w:pPr>
      <w:r>
        <w:t xml:space="preserve">Корректное сравнение должно учитывать риск того, что открытые бенчмарки могли быть включены в претрейнинговые корпуса. Поэтому zero-shot результаты на ECL или ETT нельзя интерпретировать как гарантированную обобщающую способность на невиданных данных. Узкое и воспроизводимое утверждение в этой работе: Chronos-Bolt и TimesFM запускались без обучения на целевом наборе в рамках данного репозитория.</w:t>
      </w:r>
    </w:p>
    <w:bookmarkEnd w:id="14"/>
    <w:bookmarkStart w:id="15" w:name="методология"/>
    <w:p>
      <w:pPr>
        <w:pStyle w:val="Heading1"/>
      </w:pPr>
      <w:r>
        <w:t xml:space="preserve">3. Методология</w:t>
      </w:r>
    </w:p>
    <w:p>
      <w:pPr>
        <w:pStyle w:val="FirstParagraph"/>
      </w:pPr>
      <w:r>
        <w:t xml:space="preserve">При заданном одномерном контекстном окне задача состоит в предсказании следующих H наблюдений для горизонтов H из множества {24, 96, 168}. Эксперименты используют фиксированную длину контекста L = 336 часов, что включает суточную и недельную сезонные компоненты и допускает использование лага 168.</w:t>
      </w:r>
    </w:p>
    <w:p>
      <w:pPr>
        <w:pStyle w:val="BodyText"/>
      </w:pPr>
      <w:r>
        <w:t xml:space="preserve">Базовая модель SeasonalNaive повторяет последний наблюдённый суточный сезонный паттерн. Базовая модель SARIMA использует выбор порядков по AICc на обучающей выборке из фиксированного грида, после чего выбранная модель применяется к тестовым окнам через фильтрацию состояния, без переподгонки на каждом окне. XGBoost обучается как прямой многошаговый регрессор на лагах 1, 24, 168, скользящих средних по 24 и 168 часам и циклических календарных признаках. DLinear, PatchTST и iTransformer обучаются через NeuralForecast в той же одноцелевой постановке, с коротким validation-only перебором learning-rate по 1e-3 и 5e-4 и ранним остановом. Chronos-Bolt-Small и TimesFM 2.5 оцениваются в zero-shot режиме без обучения на целевом ряду.</w:t>
      </w:r>
    </w:p>
    <w:p>
      <w:pPr>
        <w:pStyle w:val="BodyText"/>
      </w:pPr>
      <w:r>
        <w:t xml:space="preserve">Все процедуры предобработки для обучаемых моделей подгоняются только на тренировочной части, а метрики считаются после обратного преобразования предсказаний на исходную шкалу целевой переменной. Фундаментальные модели и SARIMA оцениваются непосредственно в исходной шкале.</w:t>
      </w:r>
    </w:p>
    <w:bookmarkEnd w:id="15"/>
    <w:bookmarkStart w:id="16" w:name="постановка-эксперимента"/>
    <w:p>
      <w:pPr>
        <w:pStyle w:val="Heading1"/>
      </w:pPr>
      <w:r>
        <w:t xml:space="preserve">4. Постановка эксперимента</w:t>
      </w:r>
    </w:p>
    <w:p>
      <w:pPr>
        <w:pStyle w:val="FirstParagraph"/>
      </w:pPr>
      <w:r>
        <w:t xml:space="preserve">Основной набор данных — ECL, обработанный как агрегированная часовая электрическая нагрузка по 321 клиенту. Вторичный набор — ETTh1, целевая переменная HUFL. Переменная OT в ETTh1 — температура масла и не рассматривается как электрическая нагрузка. ECL разбивается хронологически 70 % train, 10 % validation, 20 % test. ETTh1 использует стандартное хронологическое разбиение 12 / 4 / 4 месяца.</w:t>
      </w:r>
    </w:p>
    <w:p>
      <w:pPr>
        <w:pStyle w:val="BodyText"/>
      </w:pPr>
      <w:r>
        <w:t xml:space="preserve">Точность измеряется метриками MAE, RMSE, sMAPE и wMAPE. Эффективность измеряется временем обучения, single-window inference latency (batch size 1), числом обучаемых параметров и пиковым потреблением GPU-памяти. XGBoost, DLinear, PatchTST и iTransformer оцениваются по пяти сидам (42–46) и приводятся как среднее ± СКО. SeasonalNaive, SARIMA, Chronos-Bolt и TimesFM являются single-run детерминированными или zero-shot оценками и приводятся без межсидовой дисперсии.</w:t>
      </w:r>
    </w:p>
    <w:p>
      <w:pPr>
        <w:pStyle w:val="BodyText"/>
      </w:pPr>
      <w:r>
        <w:t xml:space="preserve">Тесты Дибольда–Мариано вычисляются по поокно-ошибкам для двух топ-моделей по MAE при сиде 42 для каждой пары (датасет, горизонт). Поскольку усреднение по окнам и плоский поточечный MAE взвешивают ошибки по-разному, ранжирование по статистическим тестам может слегка отличаться от ранжирования таблиц при близких моделях.</w:t>
      </w:r>
    </w:p>
    <w:bookmarkEnd w:id="16"/>
    <w:bookmarkStart w:id="39" w:name="результаты"/>
    <w:p>
      <w:pPr>
        <w:pStyle w:val="Heading1"/>
      </w:pPr>
      <w:r>
        <w:t xml:space="preserve">5. Результаты</w:t>
      </w:r>
    </w:p>
    <w:p>
      <w:pPr>
        <w:pStyle w:val="CaptionedFigure"/>
      </w:pPr>
      <w:r>
        <w:drawing>
          <wp:inline>
            <wp:extent cx="5334000" cy="2406947"/>
            <wp:effectExtent b="0" l="0" r="0" t="0"/>
            <wp:docPr descr="Рис. 2. Пример прогнозов на 168 часов для ECL у репрезентативных моделей." title="" id="18" name="Picture"/>
            <a:graphic>
              <a:graphicData uri="http://schemas.openxmlformats.org/drawingml/2006/picture">
                <pic:pic>
                  <pic:nvPicPr>
                    <pic:cNvPr descr="docx_figures/fig2_forecas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Пример прогнозов на 168 часов для ECL у репрезентативных моделей.</w:t>
      </w:r>
    </w:p>
    <w:bookmarkStart w:id="23" w:name="точность-на-ecl"/>
    <w:p>
      <w:pPr>
        <w:pStyle w:val="Heading2"/>
      </w:pPr>
      <w:r>
        <w:t xml:space="preserve">5.1 Точность на ECL</w:t>
      </w:r>
    </w:p>
    <w:p>
      <w:pPr>
        <w:pStyle w:val="FirstParagraph"/>
      </w:pPr>
      <w:r>
        <w:t xml:space="preserve">На ECL сильнейшую группу образуют XGBoost и две фундаментальные модели. TimesFM имеет наименьший поточечный MAE при H=24, но разрыв до XGBoost и Chronos-Bolt — менее 0.1 %, поэтому практическое ранжирование среди этих трёх по сути плоское на коротком горизонте. На H=96 и H=168 незначительно лучше XGBoost, при этом Chronos-Bolt близок на всех трёх горизонтах. Грид-настроенный SARIMA отстаёт от верхней группы на небольшой, но устойчивый разрыв и опережает обучаемые нейросетевые модели.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H=24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H=96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H=168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TimesFM 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259345.28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262766.32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265044.60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259546.11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262601.94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264268.27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259549.38 ± 13.62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261792.58 ± 9.36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264220.96 ± 24.77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263913.91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267033.48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271294.60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278309.93 ± 78.45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279227.54 ± 52.48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280272.56 ± 47.26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PatchTST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279295.35 ± 274.56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280109.77 ± 94.31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280876.20 ± 109.22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283321.32 ± 278.79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279842.21 ± 148.37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279476.02 ± 103.81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338935.90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340658.82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343510.17</w:t>
            </w:r>
          </w:p>
        </w:tc>
      </w:tr>
    </w:tbl>
    <w:p>
      <w:pPr>
        <w:pStyle w:val="CaptionedFigure"/>
      </w:pPr>
      <w:r>
        <w:drawing>
          <wp:inline>
            <wp:extent cx="5334000" cy="2888820"/>
            <wp:effectExtent b="0" l="0" r="0" t="0"/>
            <wp:docPr descr="Рис. 3. MAE по горизонтам прогноза на ECL." title="" id="21" name="Picture"/>
            <a:graphic>
              <a:graphicData uri="http://schemas.openxmlformats.org/drawingml/2006/picture">
                <pic:pic>
                  <pic:nvPicPr>
                    <pic:cNvPr descr="docx_figures/fig6_ecl_accurac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MAE по горизонтам прогноза на ECL.</w:t>
      </w:r>
    </w:p>
    <w:bookmarkEnd w:id="23"/>
    <w:bookmarkStart w:id="27" w:name="точность-на-etth1hufl"/>
    <w:p>
      <w:pPr>
        <w:pStyle w:val="Heading2"/>
      </w:pPr>
      <w:r>
        <w:t xml:space="preserve">5.2 Точность на ETTh1/HUFL</w:t>
      </w:r>
    </w:p>
    <w:p>
      <w:pPr>
        <w:pStyle w:val="FirstParagraph"/>
      </w:pPr>
      <w:r>
        <w:t xml:space="preserve">На ETTh1/HUFL Chronos-Bolt лучшая при H=24. PatchTST — сильнейшая обучаемая модель на том же горизонте, DLinear лидирует при H=96 и H=168. TimesFM конкурентен, но не лучший на этом бенчмарке. SARIMA близок к лучшему классическому базовому методу и опережает XGBoost на всех трёх горизонтах — обратная ситуация по сравнению с ECL, где XGBoost доминирует над SARIMA.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H=24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H=96 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H=168 MAE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Chronos-Bolt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PatchTST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 ± 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 ± 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 ± 0.07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 ± 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3.55 ± 0.00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3.70 ± 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TimesFM 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 ± 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 ± 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 ±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SeasonalNaive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 ± 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 ± 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 ± 0.01</w:t>
            </w:r>
          </w:p>
        </w:tc>
      </w:tr>
    </w:tbl>
    <w:p>
      <w:pPr>
        <w:pStyle w:val="CaptionedFigure"/>
      </w:pPr>
      <w:r>
        <w:drawing>
          <wp:inline>
            <wp:extent cx="5334000" cy="2890217"/>
            <wp:effectExtent b="0" l="0" r="0" t="0"/>
            <wp:docPr descr="Рис. 4. MAE по горизонтам прогноза на ETTh1/HUFL." title="" id="25" name="Picture"/>
            <a:graphic>
              <a:graphicData uri="http://schemas.openxmlformats.org/drawingml/2006/picture">
                <pic:pic>
                  <pic:nvPicPr>
                    <pic:cNvPr descr="docx_figures/fig7_etth1_accurac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MAE по горизонтам прогноза на ETTh1/HUFL.</w:t>
      </w:r>
    </w:p>
    <w:bookmarkEnd w:id="27"/>
    <w:bookmarkStart w:id="34" w:name="кросс-датасетный-взгляд"/>
    <w:p>
      <w:pPr>
        <w:pStyle w:val="Heading2"/>
      </w:pPr>
      <w:r>
        <w:t xml:space="preserve">5.3 Кросс-датасетный взгляд</w:t>
      </w:r>
    </w:p>
    <w:p>
      <w:pPr>
        <w:pStyle w:val="FirstParagraph"/>
      </w:pPr>
      <w:r>
        <w:t xml:space="preserve">Нормализованная тепловая карта подчёркивает, что лучшее семейство моделей меняется от датасета и горизонта. На ECL XGBoost и две фундаментальные модели образуют тесную группу. На ETTh1/HUFL Chronos-Bolt и DLinear доминируют на разных горизонтах. Сводка по победителям даёт тот же вывод в более компактной форме.</w:t>
      </w:r>
    </w:p>
    <w:p>
      <w:pPr>
        <w:pStyle w:val="CaptionedFigure"/>
      </w:pPr>
      <w:r>
        <w:drawing>
          <wp:inline>
            <wp:extent cx="5334000" cy="2406947"/>
            <wp:effectExtent b="0" l="0" r="0" t="0"/>
            <wp:docPr descr="Рис. 5. Тепловая карта относительного MAE по датасетам и горизонтам. Значения нормированы внутри пары (датасет, горизонт); лучшая модель равна 1.00." title="" id="29" name="Picture"/>
            <a:graphic>
              <a:graphicData uri="http://schemas.openxmlformats.org/drawingml/2006/picture">
                <pic:pic>
                  <pic:nvPicPr>
                    <pic:cNvPr descr="docx_figures/fig3_heatm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Тепловая карта относительного MAE по датасетам и горизонтам. Значения нормированы внутри пары (датасет, горизонт); лучшая модель равна 1.00.</w:t>
      </w:r>
    </w:p>
    <w:p>
      <w:pPr>
        <w:pStyle w:val="CaptionedFigure"/>
      </w:pPr>
      <w:r>
        <w:drawing>
          <wp:inline>
            <wp:extent cx="5303520" cy="2673927"/>
            <wp:effectExtent b="0" l="0" r="0" t="0"/>
            <wp:docPr descr="Рис. 6. Лучшая модель в каждой паре (датасет, горизонт)." title="" id="32" name="Picture"/>
            <a:graphic>
              <a:graphicData uri="http://schemas.openxmlformats.org/drawingml/2006/picture">
                <pic:pic>
                  <pic:nvPicPr>
                    <pic:cNvPr descr="docx_figures/fig5_horiz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7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Лучшая модель в каждой паре (датасет, горизонт).</w:t>
      </w:r>
    </w:p>
    <w:bookmarkEnd w:id="34"/>
    <w:bookmarkStart w:id="38" w:name="эффективность-и-статистические-тесты"/>
    <w:p>
      <w:pPr>
        <w:pStyle w:val="Heading2"/>
      </w:pPr>
      <w:r>
        <w:t xml:space="preserve">5.4 Эффективность и статистические тесты</w:t>
      </w:r>
    </w:p>
    <w:p>
      <w:pPr>
        <w:pStyle w:val="FirstParagraph"/>
      </w:pPr>
      <w:r>
        <w:t xml:space="preserve">Результаты по эффективности отражают компромисс при развёртывании. SeasonalNaive и SARIMA имеют наименьшую inference latency. XGBoost остаётся быстрее нейросетевых моделей и TimesFM и не требует GPU. Chronos-Bolt конкурентен по zero-shot инференсу, тогда как TimesFM имеет наибольшую latency и потребление GPU-памяти в этой реализации.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Датасет / H=96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Inference мс/окно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261792.58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</w:t>
            </w:r>
          </w:p>
        </w:tc>
        <w:tc>
          <w:tcPr/>
          <w:p>
            <w:pPr>
              <w:pStyle w:val="Compact"/>
            </w:pPr>
            <w:r>
              <w:t xml:space="preserve">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262601.94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</w:t>
            </w:r>
          </w:p>
        </w:tc>
        <w:tc>
          <w:tcPr/>
          <w:p>
            <w:pPr>
              <w:pStyle w:val="Compact"/>
            </w:pPr>
            <w:r>
              <w:t xml:space="preserve">TimesFM 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262766.32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ETTh1/HUFL</w:t>
            </w:r>
          </w:p>
        </w:tc>
        <w:tc>
          <w:tcPr/>
          <w:p>
            <w:pPr>
              <w:pStyle w:val="Compact"/>
            </w:pPr>
            <w:r>
              <w:t xml:space="preserve">DLinear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ETTh1/HUFL</w:t>
            </w:r>
          </w:p>
        </w:tc>
        <w:tc>
          <w:tcPr/>
          <w:p>
            <w:pPr>
              <w:pStyle w:val="Compact"/>
            </w:pPr>
            <w:r>
              <w:t xml:space="preserve">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ETTh1/HUFL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CaptionedFigure"/>
      </w:pPr>
      <w:r>
        <w:drawing>
          <wp:inline>
            <wp:extent cx="5334000" cy="2275186"/>
            <wp:effectExtent b="0" l="0" r="0" t="0"/>
            <wp:docPr descr="Рис. 7. Accuracy–latency при H=96." title="" id="36" name="Picture"/>
            <a:graphic>
              <a:graphicData uri="http://schemas.openxmlformats.org/drawingml/2006/picture">
                <pic:pic>
                  <pic:nvPicPr>
                    <pic:cNvPr descr="docx_figures/fig4_paret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Accuracy–latency при H=96.</w:t>
      </w:r>
    </w:p>
    <w:p>
      <w:pPr>
        <w:pStyle w:val="BodyText"/>
      </w:pPr>
      <w:r>
        <w:t xml:space="preserve">Тесты Дибольда–Мариано подтверждают, что верхние сравнения не сводятся к небольшим численным различиям в плоском MAE. На ECL результаты при H=96 и H=168 отдают предпочтение XGBoost над Chronos-Bolt. При H=24 TimesFM и XGBoost практически идентичны в операционном смысле, хотя тест отвергает гипотезу равной точности. На ETTh1/HUFL тесты подтверждают Chronos-Bolt при H=24 и DLinear на двух более длинных горизонтах.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Датасет / Горизонт</w:t>
            </w:r>
          </w:p>
        </w:tc>
        <w:tc>
          <w:tcPr/>
          <w:p>
            <w:pPr>
              <w:pStyle w:val="Compact"/>
            </w:pPr>
            <w:r>
              <w:t xml:space="preserve">Сравнение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Статистика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Значимо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 / H=24</w:t>
            </w:r>
          </w:p>
        </w:tc>
        <w:tc>
          <w:tcPr/>
          <w:p>
            <w:pPr>
              <w:pStyle w:val="Compact"/>
            </w:pPr>
            <w:r>
              <w:t xml:space="preserve">TimesFM vs 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 / H=96</w:t>
            </w:r>
          </w:p>
        </w:tc>
        <w:tc>
          <w:tcPr/>
          <w:p>
            <w:pPr>
              <w:pStyle w:val="Compact"/>
            </w:pPr>
            <w:r>
              <w:t xml:space="preserve">XGBoost vs 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ECL / H=168</w:t>
            </w:r>
          </w:p>
        </w:tc>
        <w:tc>
          <w:tcPr/>
          <w:p>
            <w:pPr>
              <w:pStyle w:val="Compact"/>
            </w:pPr>
            <w:r>
              <w:t xml:space="preserve">XGBoost vs 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 / H=24</w:t>
            </w:r>
          </w:p>
        </w:tc>
        <w:tc>
          <w:tcPr/>
          <w:p>
            <w:pPr>
              <w:pStyle w:val="Compact"/>
            </w:pPr>
            <w:r>
              <w:t xml:space="preserve">Chronos-Bolt vs PatchTST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 / H=96</w:t>
            </w:r>
          </w:p>
        </w:tc>
        <w:tc>
          <w:tcPr/>
          <w:p>
            <w:pPr>
              <w:pStyle w:val="Compact"/>
            </w:pPr>
            <w:r>
              <w:t xml:space="preserve">DLinear vs 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ETTh1 / H=168</w:t>
            </w:r>
          </w:p>
        </w:tc>
        <w:tc>
          <w:tcPr/>
          <w:p>
            <w:pPr>
              <w:pStyle w:val="Compact"/>
            </w:pPr>
            <w:r>
              <w:t xml:space="preserve">DLinear vs Chronos-Bolt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bookmarkEnd w:id="38"/>
    <w:bookmarkEnd w:id="39"/>
    <w:bookmarkStart w:id="40" w:name="обсуждение"/>
    <w:p>
      <w:pPr>
        <w:pStyle w:val="Heading1"/>
      </w:pPr>
      <w:r>
        <w:t xml:space="preserve">6. Обсуждение</w:t>
      </w:r>
    </w:p>
    <w:p>
      <w:pPr>
        <w:pStyle w:val="FirstParagraph"/>
      </w:pPr>
      <w:r>
        <w:t xml:space="preserve">Результаты показывают, что выбор модели зависит от датасета. На агрегированной нагрузке ECL инженерия лагов в комбинации с XGBoost остаётся крайне сильным и недорогим решением. Грид-настроенный SARIMA также конкурентен и опережает обучаемые нейросетевые архитектуры в этом сравнении. Фундаментальные модели привлекательны, когда отказ от обучения на целевом ряду имеет ценность: Chronos-Bolt близок к XGBoost на ECL и лучший на коротком горизонте ETTh1/HUFL. DLinear — сильнейшая обучаемая нейросетевая модель в этом бенчмарке и доминирует на длинных горизонтах ETTh1/HUFL.</w:t>
      </w:r>
    </w:p>
    <w:p>
      <w:pPr>
        <w:pStyle w:val="BodyText"/>
      </w:pPr>
      <w:r>
        <w:t xml:space="preserve">С точки зрения развёртывания модели занимают разные операционные режимы. XGBoost — наиболее привлекательный выбор при допустимости стандартного supervised-пайплайна: точен на ECL, имеет малую single-window latency, не требует GPU. SARIMA — конкурентный недорогой запасной вариант без обучаемых признаков и с миллисекундной инференсной задержкой. Chronos-Bolt полезен, когда обучение на целевом ряду нежелательно, например в сценариях cold-start промышленного мониторинга, быстрой прототипизации или когда данные нельзя объединять для обучения. TimesFM показывает сильную точечную точность на коротком горизонте ECL, но имеет существенно более высокую latency в этой реализации.</w:t>
      </w:r>
    </w:p>
    <w:p>
      <w:pPr>
        <w:pStyle w:val="BodyText"/>
      </w:pPr>
      <w:r>
        <w:t xml:space="preserve">Результаты трансформеров стоит читать осторожно. PatchTST и iTransformer — содержательные архитектуры, однако данный бенчмарк использует компактную одноцелевую конфигурацию и фиксированный бюджет обучения. Их относительная слабость здесь не означает общей непригодности трансформеров для прогноза нагрузки; она лишь показывает, что они не превосходят более простые методы автоматически в условиях ограниченного и воспроизводимого протокола.</w:t>
      </w:r>
    </w:p>
    <w:bookmarkEnd w:id="40"/>
    <w:bookmarkStart w:id="41" w:name="ограничения"/>
    <w:p>
      <w:pPr>
        <w:pStyle w:val="Heading1"/>
      </w:pPr>
      <w:r>
        <w:t xml:space="preserve">7. Ограничения</w:t>
      </w:r>
    </w:p>
    <w:p>
      <w:pPr>
        <w:pStyle w:val="FirstParagraph"/>
      </w:pPr>
      <w:r>
        <w:t xml:space="preserve">Основные ограничения связаны с риском контаминации фундаментальных моделей при претрейне на открытых бенчмарках, ограниченным перебором гиперпараметров, одноцелевым моделированием и отсутствием закрытых промышленных данных развёртывания. Скользящий AutoARIMA как базовая модель пробовался, но полный per-origin grid search оказался непомерно дорогим в этом протоколе. Частичный запуск сохранён в логах репозитория, но исключён из основных таблиц сравнения. Грид-настроенный SARIMA в этой работе — практическая замена: порядки выбираются на тренировочной выборке по AICc, и параметры повторно используются для окон прогноза, давая быстрый и чётко определённый ARIMA-базовый метод.</w:t>
      </w:r>
    </w:p>
    <w:p>
      <w:pPr>
        <w:pStyle w:val="BodyText"/>
      </w:pPr>
      <w:r>
        <w:t xml:space="preserve">Chronos-Bolt также выдаёт предупреждение о том, что длины прогноза свыше 64 находятся вне рекомендованного диапазона. Поэтому результаты Chronos при H=96 и H=168 следует интерпретировать как практический стресс-тест, а не оптимальное использование модели. Результаты фундаментальных моделей не следует чрезмерно интерпретировать как гарантированную zero-shot обобщающую способность на невиданных данных. ECL и ETT — открытые бенчмарки, и они могут пересекаться с претрейнинговыми или оценочными корпусами, использовавшимися при разработке этих моделей.</w:t>
      </w:r>
    </w:p>
    <w:bookmarkEnd w:id="41"/>
    <w:bookmarkStart w:id="42" w:name="заключение"/>
    <w:p>
      <w:pPr>
        <w:pStyle w:val="Heading1"/>
      </w:pPr>
      <w:r>
        <w:t xml:space="preserve">8. Заключение</w:t>
      </w:r>
    </w:p>
    <w:p>
      <w:pPr>
        <w:pStyle w:val="FirstParagraph"/>
      </w:pPr>
      <w:r>
        <w:t xml:space="preserve">Построен и исполнен воспроизводимый пайплайн STLF-бенчмарка на ECL и ETTh1/HUFL. На ECL XGBoost, Chronos-Bolt и TimesFM операционно близки друг к другу по горизонтам: TimesFM лучший при H=24, XGBoost — при H=96 и H=168. На ETTh1/HUFL Chronos-Bolt лидирует при H=24, PatchTST — лучшая обучаемая модель на H=24, DLinear — при H=96 и H=168. Эти выводы поддерживают прагматичную рекомендацию: сравнивайте сначала с сильными простыми базовыми методами, используйте DLinear и PatchTST как нейросетевые референсы, а фундаментальные модели рассматривайте как ценный инструмент для cold-start, а не как универсально доминирующую замену supervised-прогнозированию.</w:t>
      </w:r>
    </w:p>
    <w:bookmarkEnd w:id="42"/>
    <w:bookmarkStart w:id="66" w:name="литература"/>
    <w:p>
      <w:pPr>
        <w:pStyle w:val="Heading1"/>
      </w:pPr>
      <w:r>
        <w:t xml:space="preserve">Литература</w:t>
      </w:r>
    </w:p>
    <w:bookmarkStart w:id="65" w:name="refs"/>
    <w:bookmarkStart w:id="44" w:name="ref-ansari2024chronos"/>
    <w:p>
      <w:pPr>
        <w:pStyle w:val="Bibliography"/>
      </w:pPr>
      <w:r>
        <w:t xml:space="preserve">Ansari, Abdul Fatir, Lorenzo Stella, Caner Turkmen, и др. 2024 г.</w:t>
      </w:r>
      <w:r>
        <w:t xml:space="preserve"> </w:t>
      </w:r>
      <w:r>
        <w:t xml:space="preserve">«Chronos: Learning the Language of Time Series»</w:t>
      </w:r>
      <w:r>
        <w:t xml:space="preserve">.</w:t>
      </w:r>
      <w:r>
        <w:t xml:space="preserve"> </w:t>
      </w:r>
      <w:r>
        <w:rPr>
          <w:i/>
          <w:iCs/>
        </w:rPr>
        <w:t xml:space="preserve">Transactions on Machine Learning Research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https://arxiv.org/abs/2403.07815</w:t>
        </w:r>
      </w:hyperlink>
      <w:r>
        <w:t xml:space="preserve">.</w:t>
      </w:r>
    </w:p>
    <w:bookmarkEnd w:id="44"/>
    <w:bookmarkStart w:id="46" w:name="ref-chen2016xgboost"/>
    <w:p>
      <w:pPr>
        <w:pStyle w:val="Bibliography"/>
      </w:pPr>
      <w:r>
        <w:t xml:space="preserve">Chen, Tianqi, и Carlos Guestrin. 2016 г.</w:t>
      </w:r>
      <w:r>
        <w:t xml:space="preserve"> </w:t>
      </w:r>
      <w:r>
        <w:t xml:space="preserve">«XGBoost: A Scalable Tree Boosting System»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, 785–94.</w:t>
      </w:r>
      <w:r>
        <w:t xml:space="preserve"> </w:t>
      </w:r>
      <w:hyperlink r:id="rId45">
        <w:r>
          <w:rPr>
            <w:rStyle w:val="Hyperlink"/>
          </w:rPr>
          <w:t xml:space="preserve">https://doi.org/10.1145/2939672.2939785</w:t>
        </w:r>
      </w:hyperlink>
      <w:r>
        <w:t xml:space="preserve">.</w:t>
      </w:r>
    </w:p>
    <w:bookmarkEnd w:id="46"/>
    <w:bookmarkStart w:id="48" w:name="ref-das2024timesfm"/>
    <w:p>
      <w:pPr>
        <w:pStyle w:val="Bibliography"/>
      </w:pPr>
      <w:r>
        <w:t xml:space="preserve">Das, Abhimanyu, Weihao Kong, Rajat Sen, и Yichen Zhou. 2024 г.</w:t>
      </w:r>
      <w:r>
        <w:t xml:space="preserve"> </w:t>
      </w:r>
      <w:r>
        <w:t xml:space="preserve">«A Decoder-Only Foundation Model for Time-Series Forecasting»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https://arxiv.org/abs/2310.10688</w:t>
        </w:r>
      </w:hyperlink>
      <w:r>
        <w:t xml:space="preserve">.</w:t>
      </w:r>
    </w:p>
    <w:bookmarkEnd w:id="48"/>
    <w:bookmarkStart w:id="50" w:name="ref-hochreiter1997lstm"/>
    <w:p>
      <w:pPr>
        <w:pStyle w:val="Bibliography"/>
      </w:pPr>
      <w:r>
        <w:t xml:space="preserve">Hochreiter, Sepp, и Jürgen Schmidhuber. 1997 г.</w:t>
      </w:r>
      <w:r>
        <w:t xml:space="preserve"> </w:t>
      </w:r>
      <w:r>
        <w:t xml:space="preserve">«Long Short-Term Memory»</w:t>
      </w:r>
      <w:r>
        <w:t xml:space="preserve">.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 </w:t>
      </w:r>
      <w:r>
        <w:t xml:space="preserve">9 (8): 1735–80.</w:t>
      </w:r>
      <w:r>
        <w:t xml:space="preserve"> </w:t>
      </w:r>
      <w:hyperlink r:id="rId49">
        <w:r>
          <w:rPr>
            <w:rStyle w:val="Hyperlink"/>
          </w:rPr>
          <w:t xml:space="preserve">https://doi.org/10.1162/neco.1997.9.8.1735</w:t>
        </w:r>
      </w:hyperlink>
      <w:r>
        <w:t xml:space="preserve">.</w:t>
      </w:r>
    </w:p>
    <w:bookmarkEnd w:id="50"/>
    <w:bookmarkStart w:id="52" w:name="ref-hyndman2008automatic"/>
    <w:p>
      <w:pPr>
        <w:pStyle w:val="Bibliography"/>
      </w:pPr>
      <w:r>
        <w:t xml:space="preserve">Hyndman, Rob J., и Yeasmin Khandakar. 2008 г.</w:t>
      </w:r>
      <w:r>
        <w:t xml:space="preserve"> </w:t>
      </w:r>
      <w:r>
        <w:t xml:space="preserve">«Automatic Time Series Forecasting: The forecast Package for R»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27 (3): 1–22.</w:t>
      </w:r>
      <w:r>
        <w:t xml:space="preserve"> </w:t>
      </w:r>
      <w:hyperlink r:id="rId51">
        <w:r>
          <w:rPr>
            <w:rStyle w:val="Hyperlink"/>
          </w:rPr>
          <w:t xml:space="preserve">https://doi.org/10.18637/jss.v027.i03</w:t>
        </w:r>
      </w:hyperlink>
      <w:r>
        <w:t xml:space="preserve">.</w:t>
      </w:r>
    </w:p>
    <w:bookmarkEnd w:id="52"/>
    <w:bookmarkStart w:id="54" w:name="ref-liu2024itransformer"/>
    <w:p>
      <w:pPr>
        <w:pStyle w:val="Bibliography"/>
      </w:pPr>
      <w:r>
        <w:t xml:space="preserve">Liu, Yong, Tengge Hu, Haoran Zhang, и др. 2024 г.</w:t>
      </w:r>
      <w:r>
        <w:t xml:space="preserve"> </w:t>
      </w:r>
      <w:r>
        <w:t xml:space="preserve">«iTransformer: Inverted Transformers Are Effective for Time Series Forecasting»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https://arxiv.org/abs/2310.06625</w:t>
        </w:r>
      </w:hyperlink>
      <w:r>
        <w:t xml:space="preserve">.</w:t>
      </w:r>
    </w:p>
    <w:bookmarkEnd w:id="54"/>
    <w:bookmarkStart w:id="56" w:name="ref-nie2023patchtst"/>
    <w:p>
      <w:pPr>
        <w:pStyle w:val="Bibliography"/>
      </w:pPr>
      <w:r>
        <w:t xml:space="preserve">Nie, Yuqi, Nam H. Nguyen, Phanwadee Sinthong, и Jayant Kalagnanam. 2023 г.</w:t>
      </w:r>
      <w:r>
        <w:t xml:space="preserve"> </w:t>
      </w:r>
      <w:r>
        <w:t xml:space="preserve">«A Time Series is Worth 64 Words: Long-term Forecasting with Transformers»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https://arxiv.org/abs/2211.14730</w:t>
        </w:r>
      </w:hyperlink>
      <w:r>
        <w:t xml:space="preserve">.</w:t>
      </w:r>
    </w:p>
    <w:bookmarkEnd w:id="56"/>
    <w:bookmarkStart w:id="58" w:name="ref-vaswani2017attention"/>
    <w:p>
      <w:pPr>
        <w:pStyle w:val="Bibliography"/>
      </w:pPr>
      <w:r>
        <w:t xml:space="preserve">Vaswani, Ashish, Noam Shazeer, Niki Parmar, и др. 2017 г.</w:t>
      </w:r>
      <w:r>
        <w:t xml:space="preserve"> </w:t>
      </w:r>
      <w:r>
        <w:t xml:space="preserve">«Attention Is All You Need»</w:t>
      </w:r>
      <w:r>
        <w:t xml:space="preserve">.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https://arxiv.org/abs/1706.03762</w:t>
        </w:r>
      </w:hyperlink>
      <w:r>
        <w:t xml:space="preserve">.</w:t>
      </w:r>
    </w:p>
    <w:bookmarkEnd w:id="58"/>
    <w:bookmarkStart w:id="60" w:name="ref-wu2023timesnet"/>
    <w:p>
      <w:pPr>
        <w:pStyle w:val="Bibliography"/>
      </w:pPr>
      <w:r>
        <w:t xml:space="preserve">Wu, Haixu, Tengge Hu, Yong Liu, Hang Zhou, Jianmin Wang, и Mingsheng Long. 2023 г.</w:t>
      </w:r>
      <w:r>
        <w:t xml:space="preserve"> </w:t>
      </w:r>
      <w:r>
        <w:t xml:space="preserve">«TimesNet: Temporal 2D-Variation Modeling for General Time Series Analysis»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https://arxiv.org/abs/2210.02186</w:t>
        </w:r>
      </w:hyperlink>
      <w:r>
        <w:t xml:space="preserve">.</w:t>
      </w:r>
    </w:p>
    <w:bookmarkEnd w:id="60"/>
    <w:bookmarkStart w:id="62" w:name="ref-zeng2023dlinear"/>
    <w:p>
      <w:pPr>
        <w:pStyle w:val="Bibliography"/>
      </w:pPr>
      <w:r>
        <w:t xml:space="preserve">Zeng, Ailing, Muxi Chen, Lei Zhang, и Qiang Xu. 2023 г.</w:t>
      </w:r>
      <w:r>
        <w:t xml:space="preserve"> </w:t>
      </w:r>
      <w:r>
        <w:t xml:space="preserve">«Are Transformers Effective for Time Series Forecasting?»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https://arxiv.org/abs/2205.13504</w:t>
        </w:r>
      </w:hyperlink>
      <w:r>
        <w:t xml:space="preserve">.</w:t>
      </w:r>
    </w:p>
    <w:bookmarkEnd w:id="62"/>
    <w:bookmarkStart w:id="64" w:name="ref-zhou2021informer"/>
    <w:p>
      <w:pPr>
        <w:pStyle w:val="Bibliography"/>
      </w:pPr>
      <w:r>
        <w:t xml:space="preserve">Zhou, Haoyi, Shanghang Zhang, Jieqi Peng, и др. 2021 г.</w:t>
      </w:r>
      <w:r>
        <w:t xml:space="preserve"> </w:t>
      </w:r>
      <w:r>
        <w:t xml:space="preserve">«Informer: Beyond Efficient Transformer for Long Sequence Time-Series Forecasting»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AAAI Conference on Artificial Intelligence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https://arxiv.org/abs/2012.07436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57" Target="https://arxiv.org/abs/1706.03762" TargetMode="External" /><Relationship Type="http://schemas.openxmlformats.org/officeDocument/2006/relationships/hyperlink" Id="rId63" Target="https://arxiv.org/abs/2012.07436" TargetMode="External" /><Relationship Type="http://schemas.openxmlformats.org/officeDocument/2006/relationships/hyperlink" Id="rId61" Target="https://arxiv.org/abs/2205.13504" TargetMode="External" /><Relationship Type="http://schemas.openxmlformats.org/officeDocument/2006/relationships/hyperlink" Id="rId59" Target="https://arxiv.org/abs/2210.02186" TargetMode="External" /><Relationship Type="http://schemas.openxmlformats.org/officeDocument/2006/relationships/hyperlink" Id="rId55" Target="https://arxiv.org/abs/2211.14730" TargetMode="External" /><Relationship Type="http://schemas.openxmlformats.org/officeDocument/2006/relationships/hyperlink" Id="rId53" Target="https://arxiv.org/abs/2310.06625" TargetMode="External" /><Relationship Type="http://schemas.openxmlformats.org/officeDocument/2006/relationships/hyperlink" Id="rId47" Target="https://arxiv.org/abs/2310.10688" TargetMode="External" /><Relationship Type="http://schemas.openxmlformats.org/officeDocument/2006/relationships/hyperlink" Id="rId43" Target="https://arxiv.org/abs/2403.07815" TargetMode="External" /><Relationship Type="http://schemas.openxmlformats.org/officeDocument/2006/relationships/hyperlink" Id="rId45" Target="https://doi.org/10.1145/2939672.2939785" TargetMode="External" /><Relationship Type="http://schemas.openxmlformats.org/officeDocument/2006/relationships/hyperlink" Id="rId49" Target="https://doi.org/10.1162/neco.1997.9.8.1735" TargetMode="External" /><Relationship Type="http://schemas.openxmlformats.org/officeDocument/2006/relationships/hyperlink" Id="rId51" Target="https://doi.org/10.18637/jss.v027.i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rxiv.org/abs/1706.03762" TargetMode="External" /><Relationship Type="http://schemas.openxmlformats.org/officeDocument/2006/relationships/hyperlink" Id="rId63" Target="https://arxiv.org/abs/2012.07436" TargetMode="External" /><Relationship Type="http://schemas.openxmlformats.org/officeDocument/2006/relationships/hyperlink" Id="rId61" Target="https://arxiv.org/abs/2205.13504" TargetMode="External" /><Relationship Type="http://schemas.openxmlformats.org/officeDocument/2006/relationships/hyperlink" Id="rId59" Target="https://arxiv.org/abs/2210.02186" TargetMode="External" /><Relationship Type="http://schemas.openxmlformats.org/officeDocument/2006/relationships/hyperlink" Id="rId55" Target="https://arxiv.org/abs/2211.14730" TargetMode="External" /><Relationship Type="http://schemas.openxmlformats.org/officeDocument/2006/relationships/hyperlink" Id="rId53" Target="https://arxiv.org/abs/2310.06625" TargetMode="External" /><Relationship Type="http://schemas.openxmlformats.org/officeDocument/2006/relationships/hyperlink" Id="rId47" Target="https://arxiv.org/abs/2310.10688" TargetMode="External" /><Relationship Type="http://schemas.openxmlformats.org/officeDocument/2006/relationships/hyperlink" Id="rId43" Target="https://arxiv.org/abs/2403.07815" TargetMode="External" /><Relationship Type="http://schemas.openxmlformats.org/officeDocument/2006/relationships/hyperlink" Id="rId45" Target="https://doi.org/10.1145/2939672.2939785" TargetMode="External" /><Relationship Type="http://schemas.openxmlformats.org/officeDocument/2006/relationships/hyperlink" Id="rId49" Target="https://doi.org/10.1162/neco.1997.9.8.1735" TargetMode="External" /><Relationship Type="http://schemas.openxmlformats.org/officeDocument/2006/relationships/hyperlink" Id="rId51" Target="https://doi.org/10.18637/jss.v027.i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Сравнительное исследование методов машинного обучения, глубокого обучения и фундаментальных моделей для краткосрочного прогнозирования электрической нагрузки</dc:title>
  <dc:creator>Автор Один, Аффилиация Один, Город, Страна; Автор Два, Аффилиация Два, Город, Страна</dc:creator>
  <dc:language>ru</dc:language>
  <cp:keywords/>
  <dcterms:created xsi:type="dcterms:W3CDTF">2026-05-05T13:49:01Z</dcterms:created>
  <dcterms:modified xsi:type="dcterms:W3CDTF">2026-05-05T13:49:01Z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Май 2026</vt:lpwstr>
  </property>
</Properties>
</file>