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0A7239D" w14:textId="409EBFD4" w:rsidR="009303D9" w:rsidRPr="00C3745B" w:rsidRDefault="00FE070F" w:rsidP="002347BE">
      <w:pPr>
        <w:pStyle w:val="papertitle"/>
        <w:spacing w:before="100" w:beforeAutospacing="1" w:after="100" w:afterAutospacing="1"/>
        <w:rPr>
          <w:highlight w:val="yellow"/>
        </w:rPr>
      </w:pPr>
      <w:r w:rsidRPr="00FE070F">
        <w:t>Method of Structural-Functional Design of Intelligent Industrial IoT Systems</w:t>
      </w:r>
    </w:p>
    <w:p w14:paraId="170E0931" w14:textId="77777777" w:rsidR="00D7522C" w:rsidRPr="00C3745B" w:rsidRDefault="00D7522C" w:rsidP="00CA4392">
      <w:pPr>
        <w:pStyle w:val="Author"/>
        <w:spacing w:after="100" w:afterAutospacing="1" w:line="120" w:lineRule="auto"/>
        <w:rPr>
          <w:sz w:val="16"/>
          <w:szCs w:val="16"/>
          <w:highlight w:val="yellow"/>
        </w:rPr>
        <w:sectPr w:rsidR="00D7522C" w:rsidRPr="00C3745B" w:rsidSect="002720FC">
          <w:headerReference w:type="default" r:id="rId8"/>
          <w:footerReference w:type="first" r:id="rId9"/>
          <w:pgSz w:w="12240" w:h="15840" w:code="1"/>
          <w:pgMar w:top="1080" w:right="893" w:bottom="1440" w:left="893" w:header="720" w:footer="720" w:gutter="0"/>
          <w:cols w:space="720"/>
          <w:titlePg/>
          <w:docGrid w:linePitch="360"/>
        </w:sectPr>
      </w:pPr>
    </w:p>
    <w:p w14:paraId="4C53F3DA" w14:textId="2070E65E" w:rsidR="006F00FA" w:rsidRPr="006F00FA" w:rsidRDefault="00A05A6C" w:rsidP="006F00FA">
      <w:pPr>
        <w:pStyle w:val="Author"/>
        <w:spacing w:before="0" w:beforeAutospacing="0" w:after="0"/>
        <w:rPr>
          <w:szCs w:val="18"/>
        </w:rPr>
      </w:pPr>
      <w:bookmarkStart w:id="0" w:name="_GoBack"/>
      <w:bookmarkEnd w:id="0"/>
      <w:r w:rsidRPr="00C3745B">
        <w:rPr>
          <w:szCs w:val="18"/>
          <w:highlight w:val="yellow"/>
        </w:rPr>
        <w:lastRenderedPageBreak/>
        <w:br/>
      </w:r>
      <w:r w:rsidR="006F00FA" w:rsidRPr="006F00FA">
        <w:rPr>
          <w:szCs w:val="18"/>
        </w:rPr>
        <w:t>Department of Processes and Apparatuses of Processing Industries</w:t>
      </w:r>
    </w:p>
    <w:p w14:paraId="4BBED46D" w14:textId="77777777" w:rsidR="006F00FA" w:rsidRPr="006F00FA" w:rsidRDefault="006F00FA" w:rsidP="006F00FA">
      <w:pPr>
        <w:pStyle w:val="Author"/>
        <w:spacing w:before="0" w:beforeAutospacing="0" w:after="0"/>
        <w:rPr>
          <w:szCs w:val="18"/>
        </w:rPr>
      </w:pPr>
      <w:r w:rsidRPr="006F00FA">
        <w:rPr>
          <w:szCs w:val="18"/>
        </w:rPr>
        <w:t>Russian State Agrarian University of the Ministry of Agriculture named after K.A. Timiryazev</w:t>
      </w:r>
    </w:p>
    <w:p w14:paraId="774C083F" w14:textId="51CAB8B2" w:rsidR="00A05A6C" w:rsidRPr="00C3745B" w:rsidRDefault="006F00FA" w:rsidP="006F00FA">
      <w:pPr>
        <w:pStyle w:val="Author"/>
        <w:spacing w:before="0" w:beforeAutospacing="0" w:after="0"/>
        <w:rPr>
          <w:szCs w:val="18"/>
          <w:highlight w:val="yellow"/>
          <w:lang w:val="en-GB"/>
        </w:rPr>
      </w:pPr>
      <w:r w:rsidRPr="006F00FA">
        <w:rPr>
          <w:szCs w:val="18"/>
        </w:rPr>
        <w:t>Moscow, Russian Federation</w:t>
      </w:r>
      <w:r w:rsidR="00A05A6C" w:rsidRPr="00C3745B">
        <w:rPr>
          <w:szCs w:val="18"/>
          <w:highlight w:val="yellow"/>
        </w:rPr>
        <w:br/>
      </w:r>
    </w:p>
    <w:p w14:paraId="0B191ECC" w14:textId="509535B7" w:rsidR="00721514" w:rsidRPr="00C3745B" w:rsidRDefault="006F00FA" w:rsidP="00721514">
      <w:pPr>
        <w:pStyle w:val="Author"/>
        <w:spacing w:before="0" w:beforeAutospacing="0" w:after="0"/>
        <w:rPr>
          <w:szCs w:val="18"/>
          <w:highlight w:val="yellow"/>
        </w:rPr>
      </w:pPr>
      <w:r w:rsidRPr="006F00FA">
        <w:rPr>
          <w:szCs w:val="18"/>
        </w:rPr>
        <w:lastRenderedPageBreak/>
        <w:t>A</w:t>
      </w:r>
      <w:r w:rsidR="00A05A6C" w:rsidRPr="006F00FA">
        <w:rPr>
          <w:szCs w:val="18"/>
        </w:rPr>
        <w:t>.</w:t>
      </w:r>
      <w:r w:rsidRPr="006F00FA">
        <w:rPr>
          <w:szCs w:val="18"/>
        </w:rPr>
        <w:t>V</w:t>
      </w:r>
      <w:r w:rsidR="00A05A6C" w:rsidRPr="006F00FA">
        <w:rPr>
          <w:szCs w:val="18"/>
        </w:rPr>
        <w:t xml:space="preserve">. </w:t>
      </w:r>
      <w:r w:rsidRPr="006F00FA">
        <w:rPr>
          <w:szCs w:val="18"/>
        </w:rPr>
        <w:t>Marchenko</w:t>
      </w:r>
      <w:r w:rsidR="001A3B3D" w:rsidRPr="00C3745B">
        <w:rPr>
          <w:szCs w:val="18"/>
          <w:highlight w:val="yellow"/>
        </w:rPr>
        <w:br/>
      </w:r>
      <w:r w:rsidRPr="006F00FA">
        <w:rPr>
          <w:szCs w:val="18"/>
        </w:rPr>
        <w:t>Department of System Analysis and Operations Research</w:t>
      </w:r>
    </w:p>
    <w:p w14:paraId="5DBF279D" w14:textId="5FA56316" w:rsidR="00721514" w:rsidRPr="00C3745B" w:rsidRDefault="006F00FA" w:rsidP="00721514">
      <w:pPr>
        <w:pStyle w:val="Author"/>
        <w:spacing w:before="0" w:beforeAutospacing="0" w:after="0"/>
        <w:rPr>
          <w:szCs w:val="18"/>
          <w:highlight w:val="yellow"/>
        </w:rPr>
      </w:pPr>
      <w:r w:rsidRPr="006F00FA">
        <w:rPr>
          <w:szCs w:val="18"/>
        </w:rPr>
        <w:t>Reshetnev Siberian State University of Science and Technology</w:t>
      </w:r>
    </w:p>
    <w:p w14:paraId="095F9206" w14:textId="2698FC1D" w:rsidR="001A3B3D" w:rsidRPr="00C3745B" w:rsidRDefault="006F00FA" w:rsidP="00721514">
      <w:pPr>
        <w:pStyle w:val="Author"/>
        <w:spacing w:before="0" w:beforeAutospacing="0" w:after="0"/>
        <w:rPr>
          <w:szCs w:val="18"/>
          <w:highlight w:val="yellow"/>
        </w:rPr>
      </w:pPr>
      <w:r w:rsidRPr="006F00FA">
        <w:rPr>
          <w:szCs w:val="18"/>
        </w:rPr>
        <w:t>Krasnoyarsk, Russian Federation</w:t>
      </w:r>
      <w:r w:rsidR="001A3B3D" w:rsidRPr="00C3745B">
        <w:rPr>
          <w:szCs w:val="18"/>
          <w:highlight w:val="yellow"/>
        </w:rPr>
        <w:br/>
      </w:r>
      <w:r w:rsidRPr="006F00FA">
        <w:rPr>
          <w:szCs w:val="18"/>
        </w:rPr>
        <w:t>rostgein@gmail.com</w:t>
      </w:r>
    </w:p>
    <w:p w14:paraId="32719771" w14:textId="77777777" w:rsidR="00721514" w:rsidRPr="00C3745B" w:rsidRDefault="00721514" w:rsidP="00721514">
      <w:pPr>
        <w:pStyle w:val="Author"/>
        <w:spacing w:before="0" w:beforeAutospacing="0" w:after="0"/>
        <w:rPr>
          <w:szCs w:val="18"/>
          <w:highlight w:val="yellow"/>
        </w:rPr>
      </w:pPr>
    </w:p>
    <w:p w14:paraId="21E81BD0" w14:textId="77777777" w:rsidR="006F00FA" w:rsidRPr="006F00FA" w:rsidRDefault="006F00FA" w:rsidP="006F00FA">
      <w:pPr>
        <w:pStyle w:val="Author"/>
        <w:spacing w:before="0" w:beforeAutospacing="0" w:after="0"/>
        <w:rPr>
          <w:szCs w:val="18"/>
        </w:rPr>
      </w:pPr>
      <w:r w:rsidRPr="006F00FA">
        <w:rPr>
          <w:szCs w:val="18"/>
        </w:rPr>
        <w:lastRenderedPageBreak/>
        <w:t>T</w:t>
      </w:r>
      <w:r w:rsidR="00A05A6C" w:rsidRPr="006F00FA">
        <w:rPr>
          <w:szCs w:val="18"/>
        </w:rPr>
        <w:t>.</w:t>
      </w:r>
      <w:r w:rsidRPr="006F00FA">
        <w:rPr>
          <w:szCs w:val="18"/>
        </w:rPr>
        <w:t>I</w:t>
      </w:r>
      <w:r w:rsidR="00A05A6C" w:rsidRPr="006F00FA">
        <w:rPr>
          <w:szCs w:val="18"/>
        </w:rPr>
        <w:t xml:space="preserve">. </w:t>
      </w:r>
      <w:r w:rsidRPr="006F00FA">
        <w:rPr>
          <w:szCs w:val="18"/>
        </w:rPr>
        <w:t>Mariupolskiy</w:t>
      </w:r>
      <w:r w:rsidR="001A3B3D" w:rsidRPr="00C3745B">
        <w:rPr>
          <w:szCs w:val="18"/>
          <w:highlight w:val="yellow"/>
        </w:rPr>
        <w:br/>
      </w:r>
      <w:r w:rsidRPr="006F00FA">
        <w:rPr>
          <w:szCs w:val="18"/>
        </w:rPr>
        <w:t>Department of System Analysis and Operations Research</w:t>
      </w:r>
    </w:p>
    <w:p w14:paraId="607FCA0F" w14:textId="77777777" w:rsidR="006F00FA" w:rsidRPr="006F00FA" w:rsidRDefault="006F00FA" w:rsidP="006F00FA">
      <w:pPr>
        <w:pStyle w:val="Author"/>
        <w:spacing w:before="0" w:beforeAutospacing="0" w:after="0"/>
        <w:rPr>
          <w:szCs w:val="18"/>
        </w:rPr>
      </w:pPr>
      <w:r w:rsidRPr="006F00FA">
        <w:rPr>
          <w:szCs w:val="18"/>
        </w:rPr>
        <w:t>Reshetnev Siberian State University of Science and Technology</w:t>
      </w:r>
    </w:p>
    <w:p w14:paraId="4ACBAAC8" w14:textId="10A57582" w:rsidR="001A3B3D" w:rsidRPr="00F847A6" w:rsidRDefault="006F00FA" w:rsidP="006F00FA">
      <w:pPr>
        <w:pStyle w:val="Author"/>
        <w:spacing w:before="0" w:beforeAutospacing="0" w:after="0"/>
        <w:rPr>
          <w:szCs w:val="18"/>
        </w:rPr>
      </w:pPr>
      <w:r w:rsidRPr="006F00FA">
        <w:rPr>
          <w:szCs w:val="18"/>
        </w:rPr>
        <w:t>Krasnoyarsk, Russian Federation</w:t>
      </w:r>
      <w:r w:rsidR="00A05A6C" w:rsidRPr="00C3745B">
        <w:rPr>
          <w:szCs w:val="18"/>
          <w:highlight w:val="yellow"/>
        </w:rPr>
        <w:br/>
      </w:r>
      <w:r w:rsidRPr="006F00FA">
        <w:rPr>
          <w:szCs w:val="18"/>
        </w:rPr>
        <w:t>timmariupolskiy@gmail.com</w:t>
      </w:r>
    </w:p>
    <w:p w14:paraId="0263A79B" w14:textId="77777777" w:rsidR="001A3B3D" w:rsidRDefault="001A3B3D" w:rsidP="007E4793">
      <w:pPr>
        <w:pStyle w:val="Author"/>
        <w:rPr>
          <w:szCs w:val="18"/>
        </w:rPr>
      </w:pPr>
    </w:p>
    <w:p w14:paraId="44219CD5" w14:textId="77777777" w:rsidR="007E4793" w:rsidRDefault="007E4793" w:rsidP="00F847A6">
      <w:pPr>
        <w:pStyle w:val="Author"/>
        <w:rPr>
          <w:szCs w:val="18"/>
        </w:rPr>
        <w:sectPr w:rsidR="007E4793" w:rsidSect="007E4793">
          <w:type w:val="continuous"/>
          <w:pgSz w:w="12240" w:h="15840" w:code="1"/>
          <w:pgMar w:top="1080" w:right="893" w:bottom="1440" w:left="893" w:header="720" w:footer="720" w:gutter="0"/>
          <w:cols w:num="3" w:space="215"/>
          <w:docGrid w:linePitch="360"/>
        </w:sectPr>
      </w:pPr>
    </w:p>
    <w:p w14:paraId="588A61B5" w14:textId="77777777" w:rsidR="007E4793" w:rsidRDefault="007E4793" w:rsidP="00F847A6">
      <w:pPr>
        <w:pStyle w:val="Author"/>
        <w:rPr>
          <w:szCs w:val="18"/>
        </w:rPr>
      </w:pPr>
    </w:p>
    <w:p w14:paraId="4FD354CA" w14:textId="77777777" w:rsidR="007E4793" w:rsidRPr="00F847A6" w:rsidRDefault="007E4793" w:rsidP="00F847A6">
      <w:pPr>
        <w:pStyle w:val="Author"/>
        <w:rPr>
          <w:sz w:val="16"/>
          <w:szCs w:val="16"/>
        </w:rPr>
        <w:sectPr w:rsidR="007E4793" w:rsidRPr="00F847A6" w:rsidSect="00F847A6">
          <w:type w:val="continuous"/>
          <w:pgSz w:w="12240" w:h="15840" w:code="1"/>
          <w:pgMar w:top="1080" w:right="893" w:bottom="1440" w:left="893" w:header="720" w:footer="720" w:gutter="0"/>
          <w:cols w:num="4" w:space="216"/>
          <w:docGrid w:linePitch="360"/>
        </w:sectPr>
      </w:pPr>
    </w:p>
    <w:p w14:paraId="7968A2C5" w14:textId="77777777" w:rsidR="003E7492" w:rsidRDefault="003E7492" w:rsidP="003E7492"/>
    <w:p w14:paraId="1ECBEB97" w14:textId="77777777" w:rsidR="00FE070F" w:rsidRDefault="009303D9" w:rsidP="00FE070F">
      <w:pPr>
        <w:pStyle w:val="Abstract"/>
      </w:pPr>
      <w:r>
        <w:rPr>
          <w:i/>
          <w:iCs/>
        </w:rPr>
        <w:t>Abstract</w:t>
      </w:r>
      <w:r w:rsidR="005D68EE">
        <w:rPr>
          <w:i/>
          <w:iCs/>
        </w:rPr>
        <w:t xml:space="preserve"> </w:t>
      </w:r>
      <w:r>
        <w:t>—</w:t>
      </w:r>
      <w:r w:rsidR="00A132EE" w:rsidRPr="00A132EE">
        <w:t xml:space="preserve"> </w:t>
      </w:r>
      <w:proofErr w:type="gramStart"/>
      <w:r w:rsidR="00FE070F">
        <w:t>The</w:t>
      </w:r>
      <w:proofErr w:type="gramEnd"/>
      <w:r w:rsidR="00FE070F">
        <w:t xml:space="preserve"> rapid deployment of Industrial Internet of Things technologies in manufacturing enterprises requires systematic approaches to the design of distributed intelligent architectures. Existing solutions primarily focus on technological implementation aspects, while formalized methods for structural and functional synthesis of intelligent systems remain insufficiently developed. This paper proposes a structural-functional design method for intelligent Industrial Internet of Things systems operating in distributed industrial environments.</w:t>
      </w:r>
    </w:p>
    <w:p w14:paraId="4820B199" w14:textId="77777777" w:rsidR="00FE070F" w:rsidRDefault="00FE070F" w:rsidP="00FE070F">
      <w:pPr>
        <w:pStyle w:val="Abstract"/>
      </w:pPr>
      <w:r>
        <w:t xml:space="preserve">The method </w:t>
      </w:r>
      <w:proofErr w:type="gramStart"/>
      <w:r>
        <w:t>is based</w:t>
      </w:r>
      <w:proofErr w:type="gramEnd"/>
      <w:r>
        <w:t xml:space="preserve"> on staged decomposition of the industrial object, structured allocation of data processing tasks, and rational distribution of computational resources between Edge and Cloud levels. A layered architectural model integrating sensing devices, communication infrastructure, distributed computational nodes, machine learning modules, and application-level services is developed. The proposed approach ensures systematic integration of intelligent analytics at the architectural design stage and supports scalability, modularity, and adaptability of industrial systems.</w:t>
      </w:r>
    </w:p>
    <w:p w14:paraId="14EE1280" w14:textId="5C40CAAC" w:rsidR="004D72B5" w:rsidRDefault="00FE070F" w:rsidP="00FE070F">
      <w:pPr>
        <w:pStyle w:val="Abstract"/>
        <w:rPr>
          <w:i/>
          <w:iCs/>
        </w:rPr>
      </w:pPr>
      <w:r>
        <w:t>The presented method formalizes design decisions under latency and resource constraints and provides criteria for functional allocation across distributed levels. The proposed framework can serve as a methodological basis for the development of intelligent, resource-aware, and scalable Industrial Internet of Things systems in smart manufacturing environments.</w:t>
      </w:r>
      <w:r w:rsidR="001A42EA">
        <w:rPr>
          <w:iCs/>
        </w:rPr>
        <w:t xml:space="preserve"> </w:t>
      </w:r>
    </w:p>
    <w:p w14:paraId="0C487306" w14:textId="5EF889A5" w:rsidR="009303D9" w:rsidRPr="004D72B5" w:rsidRDefault="004D72B5" w:rsidP="00972203">
      <w:pPr>
        <w:pStyle w:val="Keywords"/>
      </w:pPr>
      <w:r w:rsidRPr="004D72B5">
        <w:t>Keywords</w:t>
      </w:r>
      <w:r w:rsidR="005D68EE">
        <w:t xml:space="preserve"> </w:t>
      </w:r>
      <w:r w:rsidRPr="004D72B5">
        <w:t>—</w:t>
      </w:r>
      <w:r w:rsidR="00A132EE" w:rsidRPr="00A132EE">
        <w:t xml:space="preserve"> </w:t>
      </w:r>
      <w:r w:rsidR="00FE070F" w:rsidRPr="00FE070F">
        <w:t>Industrial Internet of Things, IIoT architecture, structural-functional design, distributed computing, Edge computing, Cloud computing, machine learning integration, smart manufacturing</w:t>
      </w:r>
    </w:p>
    <w:p w14:paraId="52715B56" w14:textId="77777777" w:rsidR="009303D9" w:rsidRPr="00D632BE" w:rsidRDefault="009303D9" w:rsidP="006B6B66">
      <w:pPr>
        <w:pStyle w:val="1"/>
      </w:pPr>
      <w:r w:rsidRPr="00D632BE">
        <w:t>Introduction</w:t>
      </w:r>
    </w:p>
    <w:p w14:paraId="64EC1A28" w14:textId="77777777" w:rsidR="00A6628C" w:rsidRDefault="00A6628C" w:rsidP="00A6628C">
      <w:pPr>
        <w:pStyle w:val="a3"/>
      </w:pPr>
      <w:r>
        <w:t>The rapid evolution of Industry 4.0 technologies has significantly transformed traditional manufacturing systems into interconnected, intelligent environments. The Industrial Internet of Things (IIoT) plays a central role in this transformation by integrating distributed sensors, cyber-physical systems, and artificial intelligence to enable real-time monitoring, process optimization, and predictive maintenance [4–6, 14, 19, 24].</w:t>
      </w:r>
    </w:p>
    <w:p w14:paraId="50B46DE3" w14:textId="77777777" w:rsidR="00A6628C" w:rsidRDefault="00A6628C" w:rsidP="00A6628C">
      <w:pPr>
        <w:pStyle w:val="a3"/>
      </w:pPr>
    </w:p>
    <w:p w14:paraId="34E872E2" w14:textId="77777777" w:rsidR="00A6628C" w:rsidRDefault="00A6628C" w:rsidP="00A6628C">
      <w:pPr>
        <w:pStyle w:val="a3"/>
      </w:pPr>
      <w:r>
        <w:lastRenderedPageBreak/>
        <w:t>Modern industrial environments generate large volumes of heterogeneous data — sensor readings, diagnostic logs, and process parameters — which require scalable analytical frameworks and machine learning (ML) algorithms for effective analysis [3, 7, 9, 18, 20, 21, 25–27]. ML supports tasks such as fault detection, predictive maintenance, and reliability assessment, thereby enhancing the resilience and adaptability of industrial systems [8, 10, 16, 22, 23, 30].</w:t>
      </w:r>
    </w:p>
    <w:p w14:paraId="1F666792" w14:textId="77777777" w:rsidR="00A6628C" w:rsidRDefault="00A6628C" w:rsidP="00A6628C">
      <w:pPr>
        <w:pStyle w:val="a3"/>
      </w:pPr>
      <w:r>
        <w:t>Recent developments emphasize the use of edge-cloud architectures, distributed hardware platforms, and lightweight ML models to improve system efficiency and reduce latency in IIoT networks [4, 9, 19, 21]. In addition, intelligent monitoring and anomaly detection mechanisms based on ML are becoming essential components of resilient industrial infrastructures [12, 14, 30].</w:t>
      </w:r>
    </w:p>
    <w:p w14:paraId="33CC749C" w14:textId="77777777" w:rsidR="00A6628C" w:rsidRDefault="00A6628C" w:rsidP="00A6628C">
      <w:pPr>
        <w:pStyle w:val="a3"/>
      </w:pPr>
      <w:r>
        <w:t>However, while existing architectural and system design approaches provide structural guidance for industrial digitalization [7, 24], they often lack formalized methodologies for system-level design and intelligent function allocation [9, 16, 25].</w:t>
      </w:r>
    </w:p>
    <w:p w14:paraId="5F2C14A7" w14:textId="7D33C5BF" w:rsidR="009303D9" w:rsidRDefault="00A6628C" w:rsidP="00A6628C">
      <w:pPr>
        <w:pStyle w:val="a3"/>
        <w:rPr>
          <w:lang w:val="en-GB"/>
        </w:rPr>
      </w:pPr>
      <w:r>
        <w:t>Consequently, the development of intelligent IIoT systems still depends on ad hoc engineering decisions, which complicates scalability and optimal resource distribution [11, 17, 23]. Therefore, there is a growing need for a formalized method that integrates structural-functional decomposition, intelligent module placement, and analytical task mapping across architectural layers [9, 16, 21]. Such an approach can ensure scalability, adaptability, and performance efficiency in next-generation IIoT systems.</w:t>
      </w:r>
    </w:p>
    <w:p w14:paraId="3921422E" w14:textId="77777777" w:rsidR="00B01BD0" w:rsidRPr="00D632BE" w:rsidRDefault="00B01BD0" w:rsidP="00B01BD0">
      <w:pPr>
        <w:pStyle w:val="1"/>
      </w:pPr>
      <w:r w:rsidRPr="00B01BD0">
        <w:t xml:space="preserve">Problem Statement </w:t>
      </w:r>
    </w:p>
    <w:p w14:paraId="4BF4ADAF" w14:textId="77777777" w:rsidR="00E84B54" w:rsidRPr="00E84B54" w:rsidRDefault="00E84B54" w:rsidP="00E84B54">
      <w:pPr>
        <w:pStyle w:val="a3"/>
        <w:rPr>
          <w:lang w:val="en-GB"/>
        </w:rPr>
      </w:pPr>
      <w:r w:rsidRPr="00E84B54">
        <w:rPr>
          <w:lang w:val="en-GB"/>
        </w:rPr>
        <w:t>An intelligent Industrial Internet of Things (IIoT) system of a manufacturing enterprise represents a distributed cyber-physical infrastructure integrating sensing devices, communication networks, computational nodes, and intelligent data processing modules. The system operates in real time and must satisfy constraints related to latency, computational resources, scalability, and reliability.</w:t>
      </w:r>
    </w:p>
    <w:p w14:paraId="04B7FDA7" w14:textId="77777777" w:rsidR="002B440F" w:rsidRDefault="00E84B54" w:rsidP="00E84B54">
      <w:pPr>
        <w:pStyle w:val="a3"/>
        <w:rPr>
          <w:lang w:val="en-GB"/>
        </w:rPr>
      </w:pPr>
      <w:r w:rsidRPr="00E84B54">
        <w:rPr>
          <w:lang w:val="en-GB"/>
        </w:rPr>
        <w:t xml:space="preserve">Let the intelligent IIoT system </w:t>
      </w:r>
      <w:proofErr w:type="gramStart"/>
      <w:r w:rsidRPr="00E84B54">
        <w:rPr>
          <w:lang w:val="en-GB"/>
        </w:rPr>
        <w:t>be defined</w:t>
      </w:r>
      <w:proofErr w:type="gramEnd"/>
      <w:r w:rsidRPr="00E84B54">
        <w:rPr>
          <w:lang w:val="en-GB"/>
        </w:rPr>
        <w:t xml:space="preserve"> as a structured set:</w:t>
      </w:r>
    </w:p>
    <w:p w14:paraId="218A9270" w14:textId="454B9C85" w:rsidR="00E84B54" w:rsidRPr="0063703C" w:rsidRDefault="00E55790" w:rsidP="00E84B54">
      <w:pPr>
        <w:pStyle w:val="a3"/>
        <w:rPr>
          <w:lang w:val="ru-RU"/>
        </w:rPr>
      </w:pPr>
      <m:oMathPara>
        <m:oMath>
          <m:r>
            <w:rPr>
              <w:rFonts w:ascii="Cambria Math" w:hAnsi="Cambria Math"/>
              <w:lang w:val="en-GB"/>
            </w:rPr>
            <m:t>S=</m:t>
          </m:r>
          <m:d>
            <m:dPr>
              <m:begChr m:val="⟨"/>
              <m:endChr m:val="⟩"/>
              <m:ctrlPr>
                <w:rPr>
                  <w:rFonts w:ascii="Cambria Math" w:hAnsi="Cambria Math"/>
                  <w:i/>
                  <w:lang w:val="en-GB"/>
                </w:rPr>
              </m:ctrlPr>
            </m:dPr>
            <m:e>
              <m:r>
                <w:rPr>
                  <w:rFonts w:ascii="Cambria Math" w:hAnsi="Cambria Math"/>
                  <w:lang w:val="en-GB"/>
                </w:rPr>
                <m:t>D,N,E,C,M,U</m:t>
              </m:r>
            </m:e>
          </m:d>
          <m:r>
            <w:rPr>
              <w:rFonts w:ascii="Cambria Math" w:hAnsi="Cambria Math"/>
              <w:lang w:val="en-GB"/>
            </w:rPr>
            <m:t>,</m:t>
          </m:r>
        </m:oMath>
      </m:oMathPara>
    </w:p>
    <w:p w14:paraId="645B18D3" w14:textId="77777777" w:rsidR="00E55790" w:rsidRPr="00E55790" w:rsidRDefault="00E55790" w:rsidP="00E55790">
      <w:pPr>
        <w:pStyle w:val="a3"/>
        <w:rPr>
          <w:lang w:val="en-GB"/>
        </w:rPr>
      </w:pPr>
      <w:proofErr w:type="gramStart"/>
      <w:r w:rsidRPr="00E55790">
        <w:rPr>
          <w:lang w:val="en-GB"/>
        </w:rPr>
        <w:lastRenderedPageBreak/>
        <w:t>where</w:t>
      </w:r>
      <w:proofErr w:type="gramEnd"/>
      <w:r w:rsidRPr="00E55790">
        <w:rPr>
          <w:lang w:val="en-GB"/>
        </w:rPr>
        <w:t>:</w:t>
      </w:r>
    </w:p>
    <w:p w14:paraId="15D439C9" w14:textId="37870380" w:rsidR="00E55790" w:rsidRPr="00E55790" w:rsidRDefault="00E55790" w:rsidP="00E55790">
      <w:pPr>
        <w:pStyle w:val="bulletlist"/>
        <w:tabs>
          <w:tab w:val="clear" w:pos="648"/>
        </w:tabs>
        <w:ind w:left="576" w:hanging="288"/>
      </w:pPr>
      <m:oMath>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oMath>
      <w:r w:rsidRPr="00E55790">
        <w:t xml:space="preserve"> is a set of industrial sensing devices generating primary data;</w:t>
      </w:r>
    </w:p>
    <w:p w14:paraId="09B9936A" w14:textId="3BFDABD1" w:rsidR="00E55790" w:rsidRPr="00E55790" w:rsidRDefault="00E55790" w:rsidP="00E55790">
      <w:pPr>
        <w:pStyle w:val="bulletlist"/>
        <w:tabs>
          <w:tab w:val="clear" w:pos="648"/>
        </w:tabs>
        <w:ind w:left="576" w:hanging="288"/>
      </w:pPr>
      <m:oMath>
        <m:r>
          <w:rPr>
            <w:rFonts w:ascii="Cambria Math" w:hAnsi="Cambria Math"/>
          </w:rPr>
          <m:t>N</m:t>
        </m:r>
      </m:oMath>
      <w:r w:rsidRPr="00E55790">
        <w:t xml:space="preserve"> denotes the communication infrastructure;</w:t>
      </w:r>
    </w:p>
    <w:p w14:paraId="2F58F03F" w14:textId="29D2480F" w:rsidR="00E55790" w:rsidRPr="00E55790" w:rsidRDefault="00E55790" w:rsidP="00E55790">
      <w:pPr>
        <w:pStyle w:val="bulletlist"/>
        <w:tabs>
          <w:tab w:val="clear" w:pos="648"/>
        </w:tabs>
        <w:ind w:left="576" w:hanging="288"/>
      </w:pP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oMath>
      <w:r w:rsidRPr="00E55790">
        <w:t xml:space="preserve"> represents Edge-level computational nodes;</w:t>
      </w:r>
    </w:p>
    <w:p w14:paraId="02057735" w14:textId="0C9A6E49" w:rsidR="00E55790" w:rsidRPr="00E55790" w:rsidRDefault="00E55790" w:rsidP="00E55790">
      <w:pPr>
        <w:pStyle w:val="bulletlist"/>
        <w:tabs>
          <w:tab w:val="clear" w:pos="648"/>
        </w:tabs>
        <w:ind w:left="576" w:hanging="288"/>
      </w:pPr>
      <m:oMath>
        <m:r>
          <w:rPr>
            <w:rFonts w:ascii="Cambria Math" w:hAnsi="Cambria Math"/>
          </w:rPr>
          <m:t>C</m:t>
        </m:r>
      </m:oMath>
      <w:r w:rsidRPr="00E55790">
        <w:t xml:space="preserve"> is the Cloud-level computational environment;</w:t>
      </w:r>
    </w:p>
    <w:p w14:paraId="26BAE953" w14:textId="74AC07A3" w:rsidR="00E55790" w:rsidRPr="00E55790" w:rsidRDefault="00E55790" w:rsidP="00E55790">
      <w:pPr>
        <w:pStyle w:val="bulletlist"/>
        <w:tabs>
          <w:tab w:val="clear" w:pos="648"/>
        </w:tabs>
        <w:ind w:left="576" w:hanging="288"/>
      </w:pPr>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p</m:t>
            </m:r>
          </m:sub>
        </m:sSub>
        <m:r>
          <m:rPr>
            <m:sty m:val="p"/>
          </m:rPr>
          <w:rPr>
            <w:rFonts w:ascii="Cambria Math" w:hAnsi="Cambria Math"/>
          </w:rPr>
          <m:t>}</m:t>
        </m:r>
      </m:oMath>
      <w:r w:rsidRPr="00E55790">
        <w:t>​ is a set of machine learning modules;</w:t>
      </w:r>
    </w:p>
    <w:p w14:paraId="6B95CA0D" w14:textId="0B5A269C" w:rsidR="00E55790" w:rsidRPr="00E55790" w:rsidRDefault="00E55790" w:rsidP="00E55790">
      <w:pPr>
        <w:pStyle w:val="bulletlist"/>
        <w:tabs>
          <w:tab w:val="clear" w:pos="648"/>
        </w:tabs>
        <w:ind w:left="576" w:hanging="288"/>
        <w:rPr>
          <w:lang w:val="en-GB"/>
        </w:rPr>
      </w:pPr>
      <m:oMath>
        <m:r>
          <w:rPr>
            <w:rFonts w:ascii="Cambria Math" w:hAnsi="Cambria Math"/>
          </w:rPr>
          <m:t>U</m:t>
        </m:r>
      </m:oMath>
      <w:r w:rsidRPr="00E55790">
        <w:t xml:space="preserve"> denotes application-level services and decision-support interfaces</w:t>
      </w:r>
      <w:r w:rsidRPr="00E55790">
        <w:rPr>
          <w:lang w:val="en-GB"/>
        </w:rPr>
        <w:t>.</w:t>
      </w:r>
    </w:p>
    <w:p w14:paraId="6AB9763C" w14:textId="33588176" w:rsidR="00E55790" w:rsidRDefault="00E55790" w:rsidP="00E84B54">
      <w:pPr>
        <w:pStyle w:val="a3"/>
      </w:pPr>
      <w:r>
        <w:t xml:space="preserve">Each sensing device </w:t>
      </w:r>
      <m:oMath>
        <m:sSub>
          <m:sSubPr>
            <m:ctrlPr>
              <w:rPr>
                <w:rStyle w:val="katex-mathml"/>
                <w:rFonts w:ascii="Cambria Math" w:hAnsi="Cambria Math"/>
              </w:rPr>
            </m:ctrlPr>
          </m:sSubPr>
          <m:e>
            <m:r>
              <w:rPr>
                <w:rStyle w:val="katex-mathml"/>
                <w:rFonts w:ascii="Cambria Math" w:hAnsi="Cambria Math"/>
              </w:rPr>
              <m:t>d</m:t>
            </m:r>
          </m:e>
          <m:sub>
            <m:r>
              <w:rPr>
                <w:rStyle w:val="katex-mathml"/>
                <w:rFonts w:ascii="Cambria Math" w:hAnsi="Cambria Math"/>
              </w:rPr>
              <m:t>i</m:t>
            </m:r>
          </m:sub>
        </m:sSub>
      </m:oMath>
      <w:r>
        <w:rPr>
          <w:rStyle w:val="vlist-s"/>
        </w:rPr>
        <w:t>​</w:t>
      </w:r>
      <w:r>
        <w:t xml:space="preserve"> generates a time-dependent data flow </w:t>
      </w:r>
      <m:oMath>
        <m:sSub>
          <m:sSubPr>
            <m:ctrlPr>
              <w:rPr>
                <w:rStyle w:val="katex-mathml"/>
                <w:rFonts w:ascii="Cambria Math" w:hAnsi="Cambria Math"/>
              </w:rPr>
            </m:ctrlPr>
          </m:sSubPr>
          <m:e>
            <m:r>
              <w:rPr>
                <w:rStyle w:val="katex-mathml"/>
                <w:rFonts w:ascii="Cambria Math" w:hAnsi="Cambria Math"/>
              </w:rPr>
              <m:t>f</m:t>
            </m:r>
          </m:e>
          <m:sub>
            <m:r>
              <w:rPr>
                <w:rStyle w:val="katex-mathml"/>
                <w:rFonts w:ascii="Cambria Math" w:hAnsi="Cambria Math"/>
              </w:rPr>
              <m:t>i</m:t>
            </m:r>
          </m:sub>
        </m:sSub>
        <m:r>
          <w:rPr>
            <w:rStyle w:val="katex-mathml"/>
            <w:rFonts w:ascii="Cambria Math" w:hAnsi="Cambria Math"/>
          </w:rPr>
          <m:t>(t)</m:t>
        </m:r>
      </m:oMath>
      <w:r>
        <w:t>. The total set of data flows is defined as</w:t>
      </w:r>
    </w:p>
    <w:p w14:paraId="656B5359" w14:textId="7D27B6D9" w:rsidR="00E55790" w:rsidRPr="00E55790" w:rsidRDefault="00E55790" w:rsidP="00E84B54">
      <w:pPr>
        <w:pStyle w:val="a3"/>
      </w:pPr>
      <m:oMathPara>
        <m:oMath>
          <m:r>
            <w:rPr>
              <w:rFonts w:ascii="Cambria Math" w:hAnsi="Cambria Math"/>
            </w:rPr>
            <m:t>F={</m:t>
          </m:r>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m:t>
              </m:r>
            </m:sub>
          </m:sSub>
          <m:r>
            <w:rPr>
              <w:rFonts w:ascii="Cambria Math" w:hAnsi="Cambria Math"/>
            </w:rPr>
            <m:t>}</m:t>
          </m:r>
          <m:r>
            <m:rPr>
              <m:sty m:val="p"/>
            </m:rPr>
            <w:rPr>
              <w:rFonts w:ascii="Cambria Math" w:hAnsi="Cambria Math"/>
            </w:rPr>
            <m:t>.</m:t>
          </m:r>
        </m:oMath>
      </m:oMathPara>
    </w:p>
    <w:p w14:paraId="623A9E01" w14:textId="7956AA35" w:rsidR="00E55790" w:rsidRPr="00E55790" w:rsidRDefault="00E55790" w:rsidP="00E55790">
      <w:pPr>
        <w:pStyle w:val="a3"/>
      </w:pPr>
      <w:r w:rsidRPr="00E55790">
        <w:t xml:space="preserve">Each flow is characterized by data volume </w:t>
      </w:r>
      <m:oMath>
        <m:sSub>
          <m:sSubPr>
            <m:ctrlPr>
              <w:rPr>
                <w:rFonts w:ascii="Cambria Math" w:hAnsi="Cambria Math"/>
              </w:rPr>
            </m:ctrlPr>
          </m:sSubPr>
          <m:e>
            <m:r>
              <w:rPr>
                <w:rFonts w:ascii="Cambria Math" w:hAnsi="Cambria Math"/>
              </w:rPr>
              <m:t>V</m:t>
            </m:r>
          </m:e>
          <m:sub>
            <m:r>
              <w:rPr>
                <w:rFonts w:ascii="Cambria Math" w:hAnsi="Cambria Math"/>
              </w:rPr>
              <m:t>i</m:t>
            </m:r>
          </m:sub>
        </m:sSub>
      </m:oMath>
      <w:r w:rsidRPr="00E55790">
        <w:t xml:space="preserve">​, transmission rate </w:t>
      </w:r>
      <m:oMath>
        <m:sSub>
          <m:sSubPr>
            <m:ctrlPr>
              <w:rPr>
                <w:rFonts w:ascii="Cambria Math" w:hAnsi="Cambria Math"/>
              </w:rPr>
            </m:ctrlPr>
          </m:sSubPr>
          <m:e>
            <m:r>
              <w:rPr>
                <w:rFonts w:ascii="Cambria Math" w:hAnsi="Cambria Math"/>
              </w:rPr>
              <m:t>R</m:t>
            </m:r>
          </m:e>
          <m:sub>
            <m:r>
              <w:rPr>
                <w:rFonts w:ascii="Cambria Math" w:hAnsi="Cambria Math"/>
              </w:rPr>
              <m:t>i</m:t>
            </m:r>
          </m:sub>
        </m:sSub>
      </m:oMath>
      <w:r w:rsidRPr="00E55790">
        <w:t xml:space="preserve">, and admissible maximum latency </w:t>
      </w:r>
      <m:oMath>
        <m:sSubSup>
          <m:sSubSupPr>
            <m:ctrlPr>
              <w:rPr>
                <w:rFonts w:ascii="Cambria Math" w:hAnsi="Cambria Math"/>
              </w:rPr>
            </m:ctrlPr>
          </m:sSubSupPr>
          <m:e>
            <m:r>
              <w:rPr>
                <w:rFonts w:ascii="Cambria Math" w:hAnsi="Cambria Math"/>
              </w:rPr>
              <m:t>T</m:t>
            </m:r>
          </m:e>
          <m:sub>
            <m:r>
              <w:rPr>
                <w:rFonts w:ascii="Cambria Math" w:hAnsi="Cambria Math"/>
              </w:rPr>
              <m:t>i</m:t>
            </m:r>
          </m:sub>
          <m:sup>
            <m:r>
              <m:rPr>
                <m:sty m:val="p"/>
              </m:rPr>
              <w:rPr>
                <w:rFonts w:ascii="Cambria Math" w:hAnsi="Cambria Math"/>
              </w:rPr>
              <m:t>max</m:t>
            </m:r>
          </m:sup>
        </m:sSubSup>
      </m:oMath>
      <w:r w:rsidRPr="00E55790">
        <w:t>​.</w:t>
      </w:r>
    </w:p>
    <w:p w14:paraId="7DCC6E11" w14:textId="4AF4AF0B" w:rsidR="00E55790" w:rsidRDefault="00E55790" w:rsidP="00E55790">
      <w:pPr>
        <w:pStyle w:val="a3"/>
      </w:pPr>
      <w:r w:rsidRPr="00E55790">
        <w:t xml:space="preserve">For each data flow, a processing task must be assigned. </w:t>
      </w:r>
      <w:r>
        <w:t>Let</w:t>
      </w:r>
    </w:p>
    <w:p w14:paraId="27EC1F80" w14:textId="11F0BEC0" w:rsidR="00E55790" w:rsidRPr="001F2901" w:rsidRDefault="00E55790" w:rsidP="00E55790">
      <w:pPr>
        <w:pStyle w:val="a3"/>
        <w:rPr>
          <w:lang w:val="en-US"/>
        </w:rPr>
      </w:pPr>
      <m:oMathPara>
        <m:oMath>
          <m:r>
            <w:rPr>
              <w:rFonts w:ascii="Cambria Math" w:hAnsi="Cambria Math"/>
            </w:rPr>
            <m:t>ϕ:F→P,</m:t>
          </m:r>
        </m:oMath>
      </m:oMathPara>
    </w:p>
    <w:p w14:paraId="17496073" w14:textId="5FA34344" w:rsidR="00E55790" w:rsidRDefault="00E55790" w:rsidP="00E55790">
      <w:pPr>
        <w:pStyle w:val="a3"/>
      </w:pPr>
      <w:r>
        <w:t xml:space="preserve">be a mapping from the set of data flows </w:t>
      </w:r>
      <m:oMath>
        <m:r>
          <w:rPr>
            <w:rStyle w:val="katex-mathml"/>
            <w:rFonts w:ascii="Cambria Math" w:hAnsi="Cambria Math"/>
          </w:rPr>
          <m:t>F</m:t>
        </m:r>
      </m:oMath>
      <w:r>
        <w:t xml:space="preserve"> to the set of processing tasks </w:t>
      </w:r>
      <m:oMath>
        <m:r>
          <w:rPr>
            <w:rStyle w:val="katex-mathml"/>
            <w:rFonts w:ascii="Cambria Math" w:hAnsi="Cambria Math"/>
          </w:rPr>
          <m:t>P</m:t>
        </m:r>
      </m:oMath>
      <w:r>
        <w:t>, which may include filtering, aggregation, anomaly detection, classification, or predictive analytics.</w:t>
      </w:r>
    </w:p>
    <w:p w14:paraId="22590874" w14:textId="77777777" w:rsidR="00E55790" w:rsidRDefault="00E55790" w:rsidP="00E55790">
      <w:pPr>
        <w:pStyle w:val="a3"/>
      </w:pPr>
      <w:r>
        <w:t>The structural-functional design problem consists in determining:</w:t>
      </w:r>
    </w:p>
    <w:p w14:paraId="1738E57D" w14:textId="77777777" w:rsidR="00E55790" w:rsidRPr="00E55790" w:rsidRDefault="00E55790" w:rsidP="00E55790">
      <w:pPr>
        <w:pStyle w:val="bulletlist"/>
        <w:tabs>
          <w:tab w:val="clear" w:pos="648"/>
        </w:tabs>
        <w:ind w:left="576" w:hanging="288"/>
        <w:rPr>
          <w:rFonts w:ascii="Cambria Math" w:hAnsi="Cambria Math"/>
        </w:rPr>
      </w:pPr>
      <w:r w:rsidRPr="00E55790">
        <w:rPr>
          <w:rFonts w:ascii="Cambria Math" w:hAnsi="Cambria Math"/>
        </w:rPr>
        <w:t>the decomposition of the industrial system into structural components;</w:t>
      </w:r>
    </w:p>
    <w:p w14:paraId="36BEE3BE" w14:textId="77777777" w:rsidR="00E55790" w:rsidRPr="00E55790" w:rsidRDefault="00E55790" w:rsidP="00E55790">
      <w:pPr>
        <w:pStyle w:val="bulletlist"/>
        <w:tabs>
          <w:tab w:val="clear" w:pos="648"/>
        </w:tabs>
        <w:ind w:left="576" w:hanging="288"/>
        <w:rPr>
          <w:rFonts w:ascii="Cambria Math" w:hAnsi="Cambria Math"/>
        </w:rPr>
      </w:pPr>
      <w:r w:rsidRPr="00E55790">
        <w:rPr>
          <w:rFonts w:ascii="Cambria Math" w:hAnsi="Cambria Math"/>
        </w:rPr>
        <w:t>the allocation of processing functions between Edge and Cloud levels;</w:t>
      </w:r>
    </w:p>
    <w:p w14:paraId="60A90268" w14:textId="77777777" w:rsidR="00E55790" w:rsidRPr="00E55790" w:rsidRDefault="00E55790" w:rsidP="00E55790">
      <w:pPr>
        <w:pStyle w:val="bulletlist"/>
        <w:tabs>
          <w:tab w:val="clear" w:pos="648"/>
        </w:tabs>
        <w:ind w:left="576" w:hanging="288"/>
        <w:rPr>
          <w:rFonts w:ascii="Cambria Math" w:hAnsi="Cambria Math"/>
        </w:rPr>
      </w:pPr>
      <w:r w:rsidRPr="00E55790">
        <w:rPr>
          <w:rFonts w:ascii="Cambria Math" w:hAnsi="Cambria Math"/>
        </w:rPr>
        <w:t>the placement of machine learning modules within the distributed architecture;</w:t>
      </w:r>
    </w:p>
    <w:p w14:paraId="570B3FD4" w14:textId="77777777" w:rsidR="00E55790" w:rsidRPr="00E55790" w:rsidRDefault="00E55790" w:rsidP="00E55790">
      <w:pPr>
        <w:pStyle w:val="bulletlist"/>
        <w:tabs>
          <w:tab w:val="clear" w:pos="648"/>
        </w:tabs>
        <w:ind w:left="576" w:hanging="288"/>
      </w:pPr>
      <w:r w:rsidRPr="00E55790">
        <w:rPr>
          <w:rFonts w:ascii="Cambria Math" w:hAnsi="Cambria Math"/>
        </w:rPr>
        <w:t>the configuration of communication links ensuring performance requirements</w:t>
      </w:r>
      <w:r w:rsidRPr="00E55790">
        <w:t>.</w:t>
      </w:r>
    </w:p>
    <w:p w14:paraId="15586CEF" w14:textId="4F4FCFA8" w:rsidR="00E55790" w:rsidRDefault="00E55790" w:rsidP="00E55790">
      <w:pPr>
        <w:pStyle w:val="a3"/>
      </w:pPr>
      <w:r>
        <w:t>The allocation of computational tasks must satisfy the latency constraint</w:t>
      </w:r>
    </w:p>
    <w:p w14:paraId="43DE414A" w14:textId="5BD27F39" w:rsidR="00E55790" w:rsidRPr="00E55790" w:rsidRDefault="001D560C" w:rsidP="00E55790">
      <w:pPr>
        <w:pStyle w:val="a3"/>
      </w:pPr>
      <m:oMathPara>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sub>
            <m:sup>
              <m:r>
                <m:rPr>
                  <m:sty m:val="p"/>
                </m:rPr>
                <w:rPr>
                  <w:rFonts w:ascii="Cambria Math" w:hAnsi="Cambria Math"/>
                </w:rPr>
                <m:t>max</m:t>
              </m:r>
            </m:sup>
          </m:sSubSup>
          <m:r>
            <w:rPr>
              <w:rFonts w:ascii="Cambria Math" w:hAnsi="Cambria Math"/>
            </w:rPr>
            <m:t>,</m:t>
          </m:r>
        </m:oMath>
      </m:oMathPara>
    </w:p>
    <w:p w14:paraId="2A629DCB" w14:textId="6E32FDAB" w:rsidR="00E55790" w:rsidRDefault="00E55790" w:rsidP="00E55790">
      <w:pPr>
        <w:pStyle w:val="a3"/>
      </w:pPr>
      <w:r>
        <w:t xml:space="preserve">where </w:t>
      </w:r>
      <m:oMath>
        <m:sSub>
          <m:sSubPr>
            <m:ctrlPr>
              <w:rPr>
                <w:rStyle w:val="katex-mathml"/>
                <w:rFonts w:ascii="Cambria Math" w:hAnsi="Cambria Math"/>
              </w:rPr>
            </m:ctrlPr>
          </m:sSubPr>
          <m:e>
            <m:r>
              <w:rPr>
                <w:rStyle w:val="katex-mathml"/>
                <w:rFonts w:ascii="Cambria Math" w:hAnsi="Cambria Math"/>
              </w:rPr>
              <m:t>T</m:t>
            </m:r>
          </m:e>
          <m:sub>
            <m:r>
              <w:rPr>
                <w:rStyle w:val="katex-mathml"/>
                <w:rFonts w:ascii="Cambria Math" w:hAnsi="Cambria Math"/>
              </w:rPr>
              <m:t>i</m:t>
            </m:r>
          </m:sub>
        </m:sSub>
      </m:oMath>
      <w:r>
        <w:rPr>
          <w:rStyle w:val="vlist-s"/>
        </w:rPr>
        <w:t>​</w:t>
      </w:r>
      <w:r>
        <w:t xml:space="preserve"> is the actual end-to-end delay of processing flow </w:t>
      </w:r>
      <m:oMath>
        <m:sSub>
          <m:sSubPr>
            <m:ctrlPr>
              <w:rPr>
                <w:rStyle w:val="katex-mathml"/>
                <w:rFonts w:ascii="Cambria Math" w:hAnsi="Cambria Math"/>
              </w:rPr>
            </m:ctrlPr>
          </m:sSubPr>
          <m:e>
            <m:r>
              <w:rPr>
                <w:rStyle w:val="katex-mathml"/>
                <w:rFonts w:ascii="Cambria Math" w:hAnsi="Cambria Math"/>
              </w:rPr>
              <m:t>f</m:t>
            </m:r>
          </m:e>
          <m:sub>
            <m:r>
              <w:rPr>
                <w:rStyle w:val="katex-mathml"/>
                <w:rFonts w:ascii="Cambria Math" w:hAnsi="Cambria Math"/>
              </w:rPr>
              <m:t>i</m:t>
            </m:r>
          </m:sub>
        </m:sSub>
      </m:oMath>
      <w:r>
        <w:t>, as well as the resource constraint</w:t>
      </w:r>
    </w:p>
    <w:p w14:paraId="353A68A8" w14:textId="281655B4" w:rsidR="00E55790" w:rsidRDefault="001D560C" w:rsidP="00E55790">
      <w:pPr>
        <w:pStyle w:val="a3"/>
      </w:pPr>
      <m:oMathPara>
        <m:oMath>
          <m:sSub>
            <m:sSubPr>
              <m:ctrlPr>
                <w:rPr>
                  <w:rFonts w:ascii="Cambria Math" w:hAnsi="Cambria Math"/>
                </w:rPr>
              </m:ctrlPr>
            </m:sSubPr>
            <m:e>
              <m:r>
                <w:rPr>
                  <w:rFonts w:ascii="Cambria Math" w:hAnsi="Cambria Math"/>
                </w:rPr>
                <m:t>C</m:t>
              </m:r>
            </m:e>
            <m:sub>
              <m:r>
                <w:rPr>
                  <w:rFonts w:ascii="Cambria Math" w:hAnsi="Cambria Math"/>
                </w:rPr>
                <m:t>r</m:t>
              </m:r>
            </m:sub>
          </m:sSub>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r</m:t>
              </m:r>
            </m:sub>
            <m:sup>
              <m:r>
                <m:rPr>
                  <m:sty m:val="p"/>
                </m:rPr>
                <w:rPr>
                  <w:rFonts w:ascii="Cambria Math" w:hAnsi="Cambria Math"/>
                </w:rPr>
                <m:t>max</m:t>
              </m:r>
            </m:sup>
          </m:sSubSup>
          <m:r>
            <w:rPr>
              <w:rFonts w:ascii="Cambria Math" w:hAnsi="Cambria Math"/>
            </w:rPr>
            <m:t>,</m:t>
          </m:r>
        </m:oMath>
      </m:oMathPara>
    </w:p>
    <w:p w14:paraId="4FC0A164" w14:textId="09A0CC63" w:rsidR="00E55790" w:rsidRDefault="00E55790" w:rsidP="00E55790">
      <w:pPr>
        <w:pStyle w:val="a3"/>
      </w:pPr>
      <w:r>
        <w:t>where</w:t>
      </w:r>
      <w:r w:rsidRPr="00E55790">
        <w:rPr>
          <w:lang w:val="en-US"/>
        </w:rPr>
        <w:t xml:space="preserve"> </w:t>
      </w:r>
      <m:oMath>
        <m:sSub>
          <m:sSubPr>
            <m:ctrlPr>
              <w:rPr>
                <w:rStyle w:val="katex-mathml"/>
                <w:rFonts w:ascii="Cambria Math" w:hAnsi="Cambria Math"/>
              </w:rPr>
            </m:ctrlPr>
          </m:sSubPr>
          <m:e>
            <m:r>
              <w:rPr>
                <w:rStyle w:val="katex-mathml"/>
                <w:rFonts w:ascii="Cambria Math" w:hAnsi="Cambria Math"/>
              </w:rPr>
              <m:t>C</m:t>
            </m:r>
          </m:e>
          <m:sub>
            <m:r>
              <w:rPr>
                <w:rStyle w:val="katex-mathml"/>
                <w:rFonts w:ascii="Cambria Math" w:hAnsi="Cambria Math"/>
              </w:rPr>
              <m:t>r</m:t>
            </m:r>
          </m:sub>
        </m:sSub>
      </m:oMath>
      <w:r>
        <w:rPr>
          <w:rStyle w:val="vlist-s"/>
        </w:rPr>
        <w:t>​</w:t>
      </w:r>
      <w:r w:rsidRPr="00E55790">
        <w:rPr>
          <w:rStyle w:val="vlist-s"/>
          <w:lang w:val="en-US"/>
        </w:rPr>
        <w:t xml:space="preserve"> </w:t>
      </w:r>
      <w:r>
        <w:t>denotes total computational resource consumption.</w:t>
      </w:r>
    </w:p>
    <w:p w14:paraId="0B1D9E24" w14:textId="6CE533CF" w:rsidR="00E55790" w:rsidRDefault="00E55790" w:rsidP="00E55790">
      <w:pPr>
        <w:pStyle w:val="a3"/>
      </w:pPr>
      <w:r>
        <w:t>Thus, the structural-functional synthesis of an intelligent IIoT system can be formulated as an optimization problem aimed at minimizing a composite objective function</w:t>
      </w:r>
    </w:p>
    <w:p w14:paraId="30018E80" w14:textId="552D87A0" w:rsidR="00E55790" w:rsidRPr="00E55790" w:rsidRDefault="00E55790" w:rsidP="00E55790">
      <w:pPr>
        <w:pStyle w:val="a3"/>
      </w:pPr>
      <m:oMathPara>
        <m:oMath>
          <m:r>
            <w:rPr>
              <w:rFonts w:ascii="Cambria Math" w:hAnsi="Cambria Math"/>
            </w:rPr>
            <m:t>L=αT+β</m:t>
          </m:r>
          <m:sSub>
            <m:sSubPr>
              <m:ctrlPr>
                <w:rPr>
                  <w:rFonts w:ascii="Cambria Math" w:hAnsi="Cambria Math"/>
                </w:rPr>
              </m:ctrlPr>
            </m:sSubPr>
            <m:e>
              <m:r>
                <w:rPr>
                  <w:rFonts w:ascii="Cambria Math" w:hAnsi="Cambria Math"/>
                </w:rPr>
                <m:t>C</m:t>
              </m:r>
            </m:e>
            <m:sub>
              <m:r>
                <w:rPr>
                  <w:rFonts w:ascii="Cambria Math" w:hAnsi="Cambria Math"/>
                </w:rPr>
                <m:t>r,</m:t>
              </m:r>
            </m:sub>
          </m:sSub>
        </m:oMath>
      </m:oMathPara>
    </w:p>
    <w:p w14:paraId="6884778F" w14:textId="5594A42E" w:rsidR="00E55790" w:rsidRDefault="00E55790" w:rsidP="00E55790">
      <w:pPr>
        <w:pStyle w:val="a3"/>
      </w:pPr>
      <w:r>
        <w:lastRenderedPageBreak/>
        <w:t xml:space="preserve">where </w:t>
      </w:r>
      <m:oMath>
        <m:r>
          <w:rPr>
            <w:rStyle w:val="katex-mathml"/>
            <w:rFonts w:ascii="Cambria Math" w:hAnsi="Cambria Math"/>
          </w:rPr>
          <m:t>T</m:t>
        </m:r>
      </m:oMath>
      <w:r>
        <w:t xml:space="preserve"> represents aggregated system latency, </w:t>
      </w:r>
      <m:oMath>
        <m:sSub>
          <m:sSubPr>
            <m:ctrlPr>
              <w:rPr>
                <w:rStyle w:val="katex-mathml"/>
                <w:rFonts w:ascii="Cambria Math" w:hAnsi="Cambria Math"/>
              </w:rPr>
            </m:ctrlPr>
          </m:sSubPr>
          <m:e>
            <m:r>
              <w:rPr>
                <w:rStyle w:val="katex-mathml"/>
                <w:rFonts w:ascii="Cambria Math" w:hAnsi="Cambria Math"/>
              </w:rPr>
              <m:t>C</m:t>
            </m:r>
          </m:e>
          <m:sub>
            <m:r>
              <w:rPr>
                <w:rStyle w:val="katex-mathml"/>
                <w:rFonts w:ascii="Cambria Math" w:hAnsi="Cambria Math"/>
              </w:rPr>
              <m:t>r</m:t>
            </m:r>
          </m:sub>
        </m:sSub>
      </m:oMath>
      <w:r>
        <w:rPr>
          <w:rStyle w:val="vlist-s"/>
        </w:rPr>
        <w:t>​</w:t>
      </w:r>
      <w:r>
        <w:t xml:space="preserve"> represents computational cost, and </w:t>
      </w:r>
      <m:oMath>
        <m:r>
          <w:rPr>
            <w:rStyle w:val="katex-mathml"/>
            <w:rFonts w:ascii="Cambria Math" w:hAnsi="Cambria Math"/>
          </w:rPr>
          <m:t>α</m:t>
        </m:r>
      </m:oMath>
      <w:r w:rsidR="00B2486A" w:rsidRPr="00B2486A">
        <w:rPr>
          <w:lang w:val="en-US"/>
        </w:rPr>
        <w:t>,</w:t>
      </w:r>
      <w:r>
        <w:t xml:space="preserve"> </w:t>
      </w:r>
      <m:oMath>
        <m:r>
          <w:rPr>
            <w:rStyle w:val="katex-mathml"/>
            <w:rFonts w:ascii="Cambria Math" w:hAnsi="Cambria Math"/>
          </w:rPr>
          <m:t>β</m:t>
        </m:r>
      </m:oMath>
      <w:r>
        <w:t>are weighting coefficients reflecting design priorities.</w:t>
      </w:r>
    </w:p>
    <w:p w14:paraId="681CB38A" w14:textId="2EFDCB9F" w:rsidR="00B01BD0" w:rsidRPr="00C4364C" w:rsidRDefault="00B2486A" w:rsidP="00C4364C">
      <w:pPr>
        <w:pStyle w:val="a3"/>
      </w:pPr>
      <w:r w:rsidRPr="00B2486A">
        <w:t>Therefore, the problem of structural-functional design consists in determining an optimal mapping of data flows and analytical functions across distributed computational levels while ensuring compliance with system constraints and enabling integration of intelligent processing modules.</w:t>
      </w:r>
    </w:p>
    <w:p w14:paraId="302091F8" w14:textId="7C519F7E" w:rsidR="00B01BD0" w:rsidRPr="00D632BE" w:rsidRDefault="00C4364C" w:rsidP="00B01BD0">
      <w:pPr>
        <w:pStyle w:val="1"/>
      </w:pPr>
      <w:r w:rsidRPr="00C4364C">
        <w:t>Proposed Structural-Functional Design Method</w:t>
      </w:r>
    </w:p>
    <w:p w14:paraId="6EC7CF07" w14:textId="77777777" w:rsidR="00C4364C" w:rsidRDefault="00C4364C" w:rsidP="00C4364C">
      <w:pPr>
        <w:pStyle w:val="a3"/>
      </w:pPr>
      <w:r>
        <w:t>The proposed structural-functional design method of an intelligent IIoT system is based on staged synthesis of system components, formal decomposition of data flows, and rational allocation of analytical functions across distributed computational levels. The method provides a systematic framework for integrating machine learning modules into the industrial architecture at the early design stage.</w:t>
      </w:r>
    </w:p>
    <w:p w14:paraId="721FB265" w14:textId="77777777" w:rsidR="00C4364C" w:rsidRDefault="00C4364C" w:rsidP="00C4364C">
      <w:pPr>
        <w:pStyle w:val="a3"/>
      </w:pPr>
      <w:r>
        <w:t>At the initial stage, the industrial object is analyzed as a set of technological units generating measurable parameters. For each unit, the type of monitored variables, sampling frequency, expected data volume, admissible latency, and criticality level are determined. This analysis results in the formation of a structured set of sensing components and associated data flows.</w:t>
      </w:r>
    </w:p>
    <w:p w14:paraId="6CC3E3D9" w14:textId="77777777" w:rsidR="00C4364C" w:rsidRDefault="00C4364C" w:rsidP="00C4364C">
      <w:pPr>
        <w:pStyle w:val="a3"/>
      </w:pPr>
      <w:r>
        <w:t>Based on the obtained data, structural decomposition of the IIoT system is performed. The architecture is synthesized as a hierarchy of interconnected layers including sensing devices, communication infrastructure, Edge computational nodes, Cloud computing environment, and application-level services. Each structural component is characterized by computational capacity, communication bandwidth, and reliability requirements. The decomposition ensures modularity, scalability, and adaptability of the overall system.</w:t>
      </w:r>
    </w:p>
    <w:p w14:paraId="6C8CB2F4" w14:textId="30D8A515" w:rsidR="00AA0279" w:rsidRDefault="00C4364C" w:rsidP="00C4364C">
      <w:pPr>
        <w:pStyle w:val="a3"/>
        <w:rPr>
          <w:lang w:val="en-US"/>
        </w:rPr>
      </w:pPr>
      <w:r>
        <w:t>After defining the structural components, functional allocation of processing tasks is performed. Each data flow is associated with a processing function through the mapping</w:t>
      </w:r>
    </w:p>
    <w:p w14:paraId="0241DE6A" w14:textId="2E36F01E" w:rsidR="00C4364C" w:rsidRPr="00C4364C" w:rsidRDefault="00C4364C" w:rsidP="00C4364C">
      <w:pPr>
        <w:pStyle w:val="a3"/>
        <w:rPr>
          <w:lang w:val="en-US"/>
        </w:rPr>
      </w:pPr>
      <m:oMathPara>
        <m:oMath>
          <m:r>
            <w:rPr>
              <w:rFonts w:ascii="Cambria Math" w:hAnsi="Cambria Math"/>
              <w:lang w:val="en-US"/>
            </w:rPr>
            <m:t>ϕ:F→P,</m:t>
          </m:r>
        </m:oMath>
      </m:oMathPara>
    </w:p>
    <w:p w14:paraId="4AE5CE1A" w14:textId="77777777" w:rsidR="00C4364C" w:rsidRPr="00C4364C" w:rsidRDefault="00C4364C" w:rsidP="00C4364C">
      <w:pPr>
        <w:pStyle w:val="a3"/>
        <w:rPr>
          <w:lang w:val="en-US"/>
        </w:rPr>
      </w:pPr>
      <w:proofErr w:type="gramStart"/>
      <w:r w:rsidRPr="00C4364C">
        <w:rPr>
          <w:lang w:val="en-US"/>
        </w:rPr>
        <w:t>where</w:t>
      </w:r>
      <w:proofErr w:type="gramEnd"/>
      <w:r w:rsidRPr="00C4364C">
        <w:rPr>
          <w:lang w:val="en-US"/>
        </w:rPr>
        <w:t xml:space="preserve"> processing tasks may include filtering, aggregation, anomaly detection, classification, and predictive analytics. The allocation of tasks between Edge and Cloud levels is determined according to latency requirements, computational complexity, and network constraints. Low-latency and time-critical operations are assigned to Edge nodes, while resource-intensive analytical tasks and model training procedures are deployed in the Cloud environment.</w:t>
      </w:r>
    </w:p>
    <w:p w14:paraId="0CA668F9" w14:textId="6C8100B9" w:rsidR="00C4364C" w:rsidRDefault="00C4364C" w:rsidP="00C4364C">
      <w:pPr>
        <w:pStyle w:val="a3"/>
        <w:rPr>
          <w:lang w:val="en-US"/>
        </w:rPr>
      </w:pPr>
      <w:r w:rsidRPr="00C4364C">
        <w:rPr>
          <w:lang w:val="en-US"/>
        </w:rPr>
        <w:t xml:space="preserve">To ensure efficient system operation, computational resource distribution </w:t>
      </w:r>
      <w:proofErr w:type="gramStart"/>
      <w:r w:rsidRPr="00C4364C">
        <w:rPr>
          <w:lang w:val="en-US"/>
        </w:rPr>
        <w:t>is optimized</w:t>
      </w:r>
      <w:proofErr w:type="gramEnd"/>
      <w:r w:rsidRPr="00C4364C">
        <w:rPr>
          <w:lang w:val="en-US"/>
        </w:rPr>
        <w:t xml:space="preserve"> under performance constraints. The design objective is to minimize the composite performance indicator</w:t>
      </w:r>
    </w:p>
    <w:p w14:paraId="2C059991" w14:textId="06956027" w:rsidR="00C4364C" w:rsidRPr="00C4364C" w:rsidRDefault="00C4364C" w:rsidP="00C4364C">
      <w:pPr>
        <w:pStyle w:val="a3"/>
        <w:rPr>
          <w:lang w:val="en-US"/>
        </w:rPr>
      </w:pPr>
      <m:oMathPara>
        <m:oMath>
          <m:r>
            <w:rPr>
              <w:rFonts w:ascii="Cambria Math" w:hAnsi="Cambria Math"/>
              <w:lang w:val="en-US"/>
            </w:rPr>
            <m:t>L=αT+β</m:t>
          </m:r>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r</m:t>
              </m:r>
            </m:sub>
          </m:sSub>
          <m:r>
            <w:rPr>
              <w:rFonts w:ascii="Cambria Math" w:hAnsi="Cambria Math"/>
              <w:lang w:val="en-US"/>
            </w:rPr>
            <m:t>,</m:t>
          </m:r>
        </m:oMath>
      </m:oMathPara>
    </w:p>
    <w:p w14:paraId="6347C35D" w14:textId="14E01F83" w:rsidR="00C4364C" w:rsidRPr="00C4364C" w:rsidRDefault="00C4364C" w:rsidP="00C4364C">
      <w:pPr>
        <w:pStyle w:val="a3"/>
        <w:rPr>
          <w:lang w:val="en-US"/>
        </w:rPr>
      </w:pPr>
      <w:r>
        <w:t xml:space="preserve">where aggregated latency </w:t>
      </w:r>
      <m:oMath>
        <m:r>
          <w:rPr>
            <w:rStyle w:val="katex-mathml"/>
            <w:rFonts w:ascii="Cambria Math" w:hAnsi="Cambria Math"/>
          </w:rPr>
          <m:t>T</m:t>
        </m:r>
      </m:oMath>
      <w:r>
        <w:t xml:space="preserve"> depends on communication and processing delays, and </w:t>
      </w:r>
      <m:oMath>
        <m:sSub>
          <m:sSubPr>
            <m:ctrlPr>
              <w:rPr>
                <w:rStyle w:val="katex-mathml"/>
                <w:rFonts w:ascii="Cambria Math" w:hAnsi="Cambria Math"/>
              </w:rPr>
            </m:ctrlPr>
          </m:sSubPr>
          <m:e>
            <m:r>
              <w:rPr>
                <w:rStyle w:val="katex-mathml"/>
                <w:rFonts w:ascii="Cambria Math" w:hAnsi="Cambria Math"/>
              </w:rPr>
              <m:t>C</m:t>
            </m:r>
          </m:e>
          <m:sub>
            <m:r>
              <w:rPr>
                <w:rStyle w:val="katex-mathml"/>
                <w:rFonts w:ascii="Cambria Math" w:hAnsi="Cambria Math"/>
              </w:rPr>
              <m:t>r</m:t>
            </m:r>
          </m:sub>
        </m:sSub>
      </m:oMath>
      <w:r>
        <w:rPr>
          <w:rStyle w:val="vlist-s"/>
        </w:rPr>
        <w:t>​</w:t>
      </w:r>
      <w:r>
        <w:t xml:space="preserve"> represents total computational resource consumption. Weighting coefficients reflect design priorities and allow balancing between responsiveness and resource efficiency.</w:t>
      </w:r>
    </w:p>
    <w:p w14:paraId="080241E9" w14:textId="77777777" w:rsidR="00C4364C" w:rsidRPr="00C4364C" w:rsidRDefault="00C4364C" w:rsidP="00C4364C">
      <w:pPr>
        <w:pStyle w:val="a3"/>
        <w:rPr>
          <w:lang w:val="en-US"/>
        </w:rPr>
      </w:pPr>
      <w:r w:rsidRPr="00C4364C">
        <w:rPr>
          <w:lang w:val="en-US"/>
        </w:rPr>
        <w:lastRenderedPageBreak/>
        <w:t xml:space="preserve">The final stage of the method involves integration of machine learning modules into the distributed architecture. For each intelligent module, deployment level, input data sources, update strategy, and interaction mechanisms with decision-support subsystems </w:t>
      </w:r>
      <w:proofErr w:type="gramStart"/>
      <w:r w:rsidRPr="00C4364C">
        <w:rPr>
          <w:lang w:val="en-US"/>
        </w:rPr>
        <w:t>are defined</w:t>
      </w:r>
      <w:proofErr w:type="gramEnd"/>
      <w:r w:rsidRPr="00C4364C">
        <w:rPr>
          <w:lang w:val="en-US"/>
        </w:rPr>
        <w:t>. This approach ensures that intelligent analytics becomes an intrinsic architectural component rather than an externally attached module.</w:t>
      </w:r>
    </w:p>
    <w:p w14:paraId="5CCAC058" w14:textId="7D5ABF89" w:rsidR="00C4364C" w:rsidRDefault="00C4364C" w:rsidP="00C4364C">
      <w:pPr>
        <w:pStyle w:val="a3"/>
        <w:rPr>
          <w:lang w:val="en-US"/>
        </w:rPr>
      </w:pPr>
      <w:r w:rsidRPr="00C4364C">
        <w:rPr>
          <w:lang w:val="en-US"/>
        </w:rPr>
        <w:t>Thus, the proposed method formalizes the sequence of structural and functional design decisions and provides criteria for rational placement of analytical functions within a distributed industrial IIoT system.</w:t>
      </w:r>
    </w:p>
    <w:p w14:paraId="6CA71C0B" w14:textId="2D5CD06E" w:rsidR="009303D9" w:rsidRPr="006B6B66" w:rsidRDefault="00FE070F" w:rsidP="006B6B66">
      <w:pPr>
        <w:pStyle w:val="1"/>
      </w:pPr>
      <w:r w:rsidRPr="00FE070F">
        <w:t>Architectural Model of the Proposed IIoT System</w:t>
      </w:r>
    </w:p>
    <w:p w14:paraId="10EAB096" w14:textId="77777777" w:rsidR="00FE070F" w:rsidRDefault="00FE070F" w:rsidP="00FE070F">
      <w:pPr>
        <w:pStyle w:val="a3"/>
      </w:pPr>
      <w:r>
        <w:t>Based on the proposed structural-functional design method, an architectural model of the intelligent IIoT system is synthesized as a layered distributed structure that ensures scalability, functional modularity, and rational allocation of analytical tasks. The generalized architecture reflecting the results of the structural-functional synthesis is presented in Fig. 1.</w:t>
      </w:r>
    </w:p>
    <w:p w14:paraId="1FB76D05" w14:textId="540AD36C" w:rsidR="00FE070F" w:rsidRDefault="00FE070F" w:rsidP="00FE070F">
      <w:pPr>
        <w:pStyle w:val="ab"/>
      </w:pPr>
      <w:r w:rsidRPr="00FE070F">
        <w:rPr>
          <w:noProof/>
        </w:rPr>
        <w:drawing>
          <wp:inline distT="0" distB="0" distL="0" distR="0" wp14:anchorId="3E5DAD74" wp14:editId="288B414C">
            <wp:extent cx="3195955" cy="3714115"/>
            <wp:effectExtent l="0" t="0" r="4445" b="63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95955" cy="3714115"/>
                    </a:xfrm>
                    <a:prstGeom prst="rect">
                      <a:avLst/>
                    </a:prstGeom>
                  </pic:spPr>
                </pic:pic>
              </a:graphicData>
            </a:graphic>
          </wp:inline>
        </w:drawing>
      </w:r>
    </w:p>
    <w:p w14:paraId="5ADE2D8F" w14:textId="036DE14F" w:rsidR="00FE070F" w:rsidRPr="00903080" w:rsidRDefault="00FE070F" w:rsidP="00FE070F">
      <w:pPr>
        <w:pStyle w:val="figurecaption"/>
      </w:pPr>
      <w:r w:rsidRPr="00903080">
        <w:t xml:space="preserve"> </w:t>
      </w:r>
      <w:r w:rsidRPr="00FE070F">
        <w:t>Structural-functional architecture of the proposed intelligent IIoT system.</w:t>
      </w:r>
    </w:p>
    <w:p w14:paraId="0E7666C4" w14:textId="77777777" w:rsidR="00FE070F" w:rsidRDefault="00FE070F" w:rsidP="00FE070F">
      <w:pPr>
        <w:pStyle w:val="a3"/>
      </w:pPr>
      <w:r>
        <w:t>As shown in Fig. 1, the proposed architecture is organized into five logically interconnected layers: sensing, communication, Edge computing, Cloud computing, and application layer. Each layer performs a specific set of functions while maintaining clearly defined interfaces with adjacent levels.</w:t>
      </w:r>
    </w:p>
    <w:p w14:paraId="16C1407D" w14:textId="77777777" w:rsidR="00FE070F" w:rsidRDefault="00FE070F" w:rsidP="00FE070F">
      <w:pPr>
        <w:pStyle w:val="a3"/>
      </w:pPr>
      <w:r>
        <w:lastRenderedPageBreak/>
        <w:t>The sensing layer includes industrial sensors, embedded controllers, and data acquisition modules installed on technological equipment. These devices continuously generate primary data streams representing physical and operational parameters such as temperature, vibration, pressure, electrical load, or production status indicators. The structure of this layer is determined during the initial stage of the design method, where monitored variables and data generation intensity are identified. The sensing subsystem forms the primary source of information for subsequent analytical processing.</w:t>
      </w:r>
    </w:p>
    <w:p w14:paraId="6BD775E4" w14:textId="77777777" w:rsidR="00FE070F" w:rsidRDefault="00FE070F" w:rsidP="00FE070F">
      <w:pPr>
        <w:pStyle w:val="a3"/>
      </w:pPr>
      <w:r>
        <w:t>The communication layer provides reliable and secure transmission of data between distributed system components. It includes industrial gateways, routing devices, and protocol converters that aggregate data flows and forward them to higher architectural levels. This layer is responsible for ensuring compliance with latency and bandwidth constraints defined in the problem statement. Secure data exchange mechanisms and segmentation of industrial networks are also implemented at this level to guarantee operational stability.</w:t>
      </w:r>
    </w:p>
    <w:p w14:paraId="014FE0FD" w14:textId="77777777" w:rsidR="00FE070F" w:rsidRDefault="00FE070F" w:rsidP="00FE070F">
      <w:pPr>
        <w:pStyle w:val="a3"/>
      </w:pPr>
      <w:r>
        <w:t>The Edge computing layer represents a distributed set of computational nodes located in proximity to production equipment. According to the proposed design method, this layer performs time-critical processing tasks, including signal filtering, normalization, feature extraction, and primary anomaly detection. The proximity of Edge nodes to data sources reduces end-to-end delay and decreases network load. In the architectural model (Fig. 1), machine learning modules deployed at the Edge level are responsible for real-time inference, enabling rapid detection of abnormal states and local decision-making.</w:t>
      </w:r>
    </w:p>
    <w:p w14:paraId="2008EEF5" w14:textId="77777777" w:rsidR="00FE070F" w:rsidRDefault="00FE070F" w:rsidP="00FE070F">
      <w:pPr>
        <w:pStyle w:val="a3"/>
      </w:pPr>
      <w:r>
        <w:t>The Cloud computing layer provides scalable computational resources for storage of historical data, global system monitoring, large-scale analytics, and training of machine learning models. Resource-intensive tasks that do not require immediate response are executed at this level. The Cloud layer supports centralized data repositories and model management services. As illustrated in Fig. 1, trained models may be periodically transferred from the Cloud environment to Edge nodes to support distributed inference and ensure adaptive system behavior.</w:t>
      </w:r>
    </w:p>
    <w:p w14:paraId="27AC2520" w14:textId="77777777" w:rsidR="00FE070F" w:rsidRDefault="00FE070F" w:rsidP="00FE070F">
      <w:pPr>
        <w:pStyle w:val="a3"/>
      </w:pPr>
      <w:r>
        <w:t>The application layer integrates visualization tools, operator dashboards, reporting systems, and decision-support subsystems. This layer enables interaction between human operators and intelligent analytical modules embedded within the IIoT infrastructure. Analytical results generated at the Edge and Cloud levels are transformed into actionable information supporting operational and strategic decisions.</w:t>
      </w:r>
    </w:p>
    <w:p w14:paraId="664932DE" w14:textId="77777777" w:rsidR="00FE070F" w:rsidRDefault="00FE070F" w:rsidP="00FE070F">
      <w:pPr>
        <w:pStyle w:val="a3"/>
      </w:pPr>
      <w:r>
        <w:t>The interaction between architectural layers is organized through structured data flows and feedback loops. Primary sensor data are transmitted to Edge nodes for preprocessing and real-time analysis. Aggregated or feature-enriched data are forwarded to the Cloud environment for deeper analytical processing and long-term storage. Model updates and optimization parameters are subsequently redistributed across the system, forming a closed-loop intelligent control architecture.</w:t>
      </w:r>
    </w:p>
    <w:p w14:paraId="7E1ACE06" w14:textId="77777777" w:rsidR="00FE070F" w:rsidRDefault="00FE070F" w:rsidP="00FE070F">
      <w:pPr>
        <w:pStyle w:val="a3"/>
      </w:pPr>
      <w:r>
        <w:lastRenderedPageBreak/>
        <w:t>The proposed architectural model ensures modular extensibility and adaptability. Additional sensing devices, computational nodes, or analytical modules can be integrated without fundamental restructuring of the system. Furthermore, the separation of structural components and functional assignments enables flexible redistribution of processing tasks between Edge and Cloud levels in response to changing production requirements or resource constraints.</w:t>
      </w:r>
    </w:p>
    <w:p w14:paraId="22173484" w14:textId="29693C63" w:rsidR="00FE070F" w:rsidRPr="00FE070F" w:rsidRDefault="00FE070F" w:rsidP="00FE070F">
      <w:pPr>
        <w:pStyle w:val="a3"/>
        <w:rPr>
          <w:lang w:val="en-US"/>
        </w:rPr>
      </w:pPr>
      <w:r>
        <w:t>Thus, the architectural model presented in Fig. 1 represents a practical realization of the structural-functional design principles formulated in the proposed method and provides a scalable framework for constructing intelligent industrial IIoT systems</w:t>
      </w:r>
      <w:r w:rsidRPr="00FE070F">
        <w:rPr>
          <w:lang w:val="en-US"/>
        </w:rPr>
        <w:t>.</w:t>
      </w:r>
    </w:p>
    <w:p w14:paraId="328EE574" w14:textId="662FE62A" w:rsidR="009303D9" w:rsidRDefault="00FE070F" w:rsidP="006B6B66">
      <w:pPr>
        <w:pStyle w:val="1"/>
      </w:pPr>
      <w:r w:rsidRPr="00FE070F">
        <w:t>Discussion</w:t>
      </w:r>
    </w:p>
    <w:p w14:paraId="1E1EB4D3" w14:textId="77777777" w:rsidR="00FE070F" w:rsidRDefault="00FE070F" w:rsidP="00FE070F">
      <w:pPr>
        <w:pStyle w:val="a3"/>
      </w:pPr>
      <w:r>
        <w:t>The proposed structural-functional design method provides a systematic framework for synthesizing intelligent IIoT systems under distributed computational conditions. In contrast to purely technological implementation approaches, the method formalizes architectural decision-making and establishes clear criteria for allocation of analytical functions across system levels.</w:t>
      </w:r>
    </w:p>
    <w:p w14:paraId="2CDAF034" w14:textId="77777777" w:rsidR="00FE070F" w:rsidRDefault="00FE070F" w:rsidP="00FE070F">
      <w:pPr>
        <w:pStyle w:val="a3"/>
      </w:pPr>
      <w:r>
        <w:t>One of the key advantages of the proposed approach is the integration of machine learning modules at the architectural design stage rather than at the implementation stage. This ensures that intelligent analytics is considered as an inherent component of the system structure. As a result, the placement of ML modules is determined based on latency requirements, computational constraints, and data flow characteristics, which improves overall system consistency and resource efficiency.</w:t>
      </w:r>
    </w:p>
    <w:p w14:paraId="6A22DD9E" w14:textId="77777777" w:rsidR="00FE070F" w:rsidRDefault="00FE070F" w:rsidP="00FE070F">
      <w:pPr>
        <w:pStyle w:val="a3"/>
      </w:pPr>
      <w:r>
        <w:t>Another important feature of the method is the explicit separation between structural and functional decomposition. Structural synthesis defines the physical and logical components of the system, while functional allocation determines how analytical tasks are distributed. This separation enables flexible redistribution of processing tasks between Edge and Cloud levels in response to evolving production requirements or resource limitations.</w:t>
      </w:r>
    </w:p>
    <w:p w14:paraId="5A4F15EC" w14:textId="77777777" w:rsidR="00FE070F" w:rsidRDefault="00FE070F" w:rsidP="00FE070F">
      <w:pPr>
        <w:pStyle w:val="a3"/>
      </w:pPr>
      <w:r>
        <w:t>The optimization-based allocation of computational functions allows balancing between responsiveness and computational cost. By introducing a composite performance indicator that accounts for latency and resource consumption, the method supports rational trade-offs during system configuration.</w:t>
      </w:r>
    </w:p>
    <w:p w14:paraId="1DDE7DBC" w14:textId="77777777" w:rsidR="00FE070F" w:rsidRDefault="00FE070F" w:rsidP="00FE070F">
      <w:pPr>
        <w:pStyle w:val="a3"/>
      </w:pPr>
      <w:r>
        <w:t>At the same time, the proposed approach has certain limitations. The effectiveness of structural-functional synthesis depends on accurate estimation of data generation rates, communication delays, and computational loads. In real industrial environments, these parameters may vary over time, requiring periodic reconfiguration of the system. Additionally, the method does not explicitly address cybersecurity mechanisms, which should be incorporated as a complementary design dimension in practical implementations.</w:t>
      </w:r>
    </w:p>
    <w:p w14:paraId="2F055887" w14:textId="78FE4146" w:rsidR="00AA0279" w:rsidRDefault="00FE070F" w:rsidP="00FE070F">
      <w:pPr>
        <w:pStyle w:val="a3"/>
      </w:pPr>
      <w:r>
        <w:t xml:space="preserve">Despite these limitations, the proposed architectural framework provides a scalable basis for constructing intelligent industrial IIoT systems and can serve as a methodological </w:t>
      </w:r>
      <w:r>
        <w:lastRenderedPageBreak/>
        <w:t>foundation for further research in adaptive and self-optimizing industrial infrastructures.</w:t>
      </w:r>
    </w:p>
    <w:p w14:paraId="2BB4CA77" w14:textId="77777777" w:rsidR="00A132EE" w:rsidRPr="006B6B66" w:rsidRDefault="00A132EE" w:rsidP="00A132EE">
      <w:pPr>
        <w:pStyle w:val="1"/>
      </w:pPr>
      <w:r w:rsidRPr="00A132EE">
        <w:t>Conclusion</w:t>
      </w:r>
    </w:p>
    <w:p w14:paraId="13D069B0" w14:textId="77777777" w:rsidR="00FE070F" w:rsidRPr="00FE070F" w:rsidRDefault="00FE070F" w:rsidP="00FE070F">
      <w:pPr>
        <w:pStyle w:val="a3"/>
        <w:rPr>
          <w:lang w:val="en-US"/>
        </w:rPr>
      </w:pPr>
      <w:r w:rsidRPr="00FE070F">
        <w:rPr>
          <w:lang w:val="en-US"/>
        </w:rPr>
        <w:t>This paper presents a structural-functional design method for intelligent Industrial Internet of Things systems applied to manufacturing enterprises. The proposed approach formalizes the process of architectural synthesis through systematic decomposition of industrial objects, allocation of data processing functions, and rational distribution of computational resources between Edge and Cloud levels.</w:t>
      </w:r>
    </w:p>
    <w:p w14:paraId="0C1F1FF4" w14:textId="77777777" w:rsidR="00FE070F" w:rsidRPr="00FE070F" w:rsidRDefault="00FE070F" w:rsidP="00FE070F">
      <w:pPr>
        <w:pStyle w:val="a3"/>
        <w:rPr>
          <w:lang w:val="en-US"/>
        </w:rPr>
      </w:pPr>
      <w:r w:rsidRPr="00FE070F">
        <w:rPr>
          <w:lang w:val="en-US"/>
        </w:rPr>
        <w:t xml:space="preserve">A layered architectural model reflecting the results of structural-functional synthesis </w:t>
      </w:r>
      <w:proofErr w:type="gramStart"/>
      <w:r w:rsidRPr="00FE070F">
        <w:rPr>
          <w:lang w:val="en-US"/>
        </w:rPr>
        <w:t>has been developed</w:t>
      </w:r>
      <w:proofErr w:type="gramEnd"/>
      <w:r w:rsidRPr="00FE070F">
        <w:rPr>
          <w:lang w:val="en-US"/>
        </w:rPr>
        <w:t>. The model integrates sensing subsystems, communication infrastructure, distributed computational nodes, machine learning modules, and application-level services within a unified framework. The integration of intelligent analytics at the design stage ensures consistency of architectural decisions and supports scalable system development.</w:t>
      </w:r>
    </w:p>
    <w:p w14:paraId="6CD14B04" w14:textId="77777777" w:rsidR="00FE070F" w:rsidRPr="00FE070F" w:rsidRDefault="00FE070F" w:rsidP="00FE070F">
      <w:pPr>
        <w:pStyle w:val="a3"/>
        <w:rPr>
          <w:lang w:val="en-US"/>
        </w:rPr>
      </w:pPr>
      <w:r w:rsidRPr="00FE070F">
        <w:rPr>
          <w:lang w:val="en-US"/>
        </w:rPr>
        <w:t>The proposed method introduces a structured sequence of design stages and establishes criteria for functional allocation under latency and resource constraints. This enables balanced trade-offs between responsiveness and computational efficiency in distributed industrial environments.</w:t>
      </w:r>
    </w:p>
    <w:p w14:paraId="05A1B978" w14:textId="7EB73F4A" w:rsidR="00A132EE" w:rsidRDefault="00FE070F" w:rsidP="00FE070F">
      <w:pPr>
        <w:pStyle w:val="a3"/>
        <w:rPr>
          <w:lang w:val="en-US"/>
        </w:rPr>
      </w:pPr>
      <w:r w:rsidRPr="00FE070F">
        <w:rPr>
          <w:lang w:val="en-US"/>
        </w:rPr>
        <w:t>The presented approach can serve as a methodological foundation for further research in adaptive, self-optimizing, and resource-aware IIoT architectures. Future work may focus on experimental validation, incorporation of cybersecurity mechanisms, and development of dynamic reconfiguration strategies for industrial systems operating under changing conditions.</w:t>
      </w:r>
    </w:p>
    <w:p w14:paraId="2854D1DD" w14:textId="77777777" w:rsidR="009303D9" w:rsidRDefault="009303D9" w:rsidP="00903080">
      <w:pPr>
        <w:pStyle w:val="5"/>
      </w:pPr>
      <w:r w:rsidRPr="005B520E">
        <w:t>References</w:t>
      </w:r>
    </w:p>
    <w:p w14:paraId="3D7EEC2E" w14:textId="77777777" w:rsidR="00A6628C" w:rsidRDefault="00A6628C" w:rsidP="00A6628C">
      <w:pPr>
        <w:pStyle w:val="references"/>
      </w:pPr>
      <w:r>
        <w:t>A. Kozlova, S. Kurashkin, and A. Boyko, “Optimization of Warehouse Processes Using Machine Learning and Linear Programming,” 2025 International Russian Smart Industry Conference (SmartIndustryCon), IEEE, 2025, pp. 1111–1116.</w:t>
      </w:r>
    </w:p>
    <w:p w14:paraId="71AFD605" w14:textId="77777777" w:rsidR="00A6628C" w:rsidRDefault="00A6628C" w:rsidP="00A6628C">
      <w:pPr>
        <w:pStyle w:val="references"/>
      </w:pPr>
      <w:r>
        <w:t>A. G. et al., “Implementation of Automated Information System at a Textile Enterprise,” 2025 24th International Symposium INFOTEH-JAHORINA (INFOTEH), IEEE, 2025, pp. 1–5.</w:t>
      </w:r>
    </w:p>
    <w:p w14:paraId="357FCFAC" w14:textId="77777777" w:rsidR="00A6628C" w:rsidRDefault="00A6628C" w:rsidP="00A6628C">
      <w:pPr>
        <w:pStyle w:val="references"/>
      </w:pPr>
      <w:r>
        <w:t>T. Toriya et al., “Estimation of Atmospheric Pollution During the Operation of a Seaport on the Example of the Port of Novorossiysk,” Ecology and Industry of Russia, vol. 29, no. 4, pp. 66–71, 2025.</w:t>
      </w:r>
    </w:p>
    <w:p w14:paraId="027E1ACA" w14:textId="77777777" w:rsidR="00A6628C" w:rsidRDefault="00A6628C" w:rsidP="00A6628C">
      <w:pPr>
        <w:pStyle w:val="references"/>
      </w:pPr>
      <w:r>
        <w:t>L. V. Krasovskaya et al., “Designing a Scalable Real-Time IoT Architecture for Smart Agriculture Monitoring and Control,” 2025 13th International Conference on Smart Grid (icSmartGrid), IEEE, 2025, pp. 244–248.</w:t>
      </w:r>
    </w:p>
    <w:p w14:paraId="4C4A7F90" w14:textId="77777777" w:rsidR="00A6628C" w:rsidRDefault="00A6628C" w:rsidP="00A6628C">
      <w:pPr>
        <w:pStyle w:val="references"/>
      </w:pPr>
      <w:r>
        <w:t>D. Evsyukov et al., “IoT-based Farm Management Systems for Modern Agronomy,” INFOTEH 2025, IEEE, 2025, pp. 1–4.</w:t>
      </w:r>
    </w:p>
    <w:p w14:paraId="37F31051" w14:textId="77777777" w:rsidR="00A6628C" w:rsidRDefault="00A6628C" w:rsidP="00A6628C">
      <w:pPr>
        <w:pStyle w:val="references"/>
      </w:pPr>
      <w:r>
        <w:t>D. E. et al., “Application of Intelligent Modeling Techniques for Optimizing Coal Mining Operations,” INFOTEH 2025, IEEE, 2025, pp. 1–5.</w:t>
      </w:r>
    </w:p>
    <w:p w14:paraId="7A3DD16A" w14:textId="77777777" w:rsidR="00A6628C" w:rsidRDefault="00A6628C" w:rsidP="00A6628C">
      <w:pPr>
        <w:pStyle w:val="references"/>
      </w:pPr>
      <w:r>
        <w:t>I. A. Panfilov et al., “Designing an Automated System to Optimize Warehouse Operations,” Computational Methods in Systems and Software, Springer, 2024, pp. 17–27.</w:t>
      </w:r>
    </w:p>
    <w:p w14:paraId="4967949E" w14:textId="77777777" w:rsidR="00A6628C" w:rsidRDefault="00A6628C" w:rsidP="00A6628C">
      <w:pPr>
        <w:pStyle w:val="references"/>
      </w:pPr>
      <w:r>
        <w:t>V. Tynchenko et al., “Development of a Neural Network Model for Forecasting Energy Consumption in Energy Management Systems,” INFOTEH 2025, IEEE, 2025.</w:t>
      </w:r>
    </w:p>
    <w:p w14:paraId="6CEA7313" w14:textId="77777777" w:rsidR="00A6628C" w:rsidRDefault="00A6628C" w:rsidP="00A6628C">
      <w:pPr>
        <w:pStyle w:val="references"/>
      </w:pPr>
      <w:r>
        <w:t>V. Kukartsev et al., “Analysis of Multivariate Data Using Machine Learning Techniques Such as Self-organizing Kohonen Maps, Decision Tree and Neural Network,” Recent Innovations in Computing, Springer, 2024, pp. 3–11.</w:t>
      </w:r>
    </w:p>
    <w:p w14:paraId="31BC20DD" w14:textId="77777777" w:rsidR="00A6628C" w:rsidRDefault="00A6628C" w:rsidP="00A6628C">
      <w:pPr>
        <w:pStyle w:val="references"/>
      </w:pPr>
      <w:r>
        <w:lastRenderedPageBreak/>
        <w:t>V. Kukartsev and K. Degtyareva, “Analysis of Forecasting Accuracy Depending on Various Hyperparameters of Neural Network Training,” Computational Methods in Systems and Software, Springer, 2024, pp. 95–102.</w:t>
      </w:r>
    </w:p>
    <w:p w14:paraId="1E2352B6" w14:textId="77777777" w:rsidR="00A6628C" w:rsidRDefault="00A6628C" w:rsidP="00A6628C">
      <w:pPr>
        <w:pStyle w:val="references"/>
      </w:pPr>
      <w:r>
        <w:t>K. Kravtsov and V. Kukartsev, “Algorithmic Optimization of Coal-Fired Boilers Using Energy Consumption Models,” INFOTEH 2025, IEEE, 2025.</w:t>
      </w:r>
    </w:p>
    <w:p w14:paraId="57B87848" w14:textId="77777777" w:rsidR="00A6628C" w:rsidRDefault="00A6628C" w:rsidP="00A6628C">
      <w:pPr>
        <w:pStyle w:val="references"/>
      </w:pPr>
      <w:r>
        <w:t>S. V. Kukartseva et al., “Evaluation of the Effectiveness of Supervised Learning Methods for the Classification Task,” Recent Innovations in Computing, Springer, 2024.</w:t>
      </w:r>
    </w:p>
    <w:p w14:paraId="0C3E84C3" w14:textId="77777777" w:rsidR="00A6628C" w:rsidRDefault="00A6628C" w:rsidP="00A6628C">
      <w:pPr>
        <w:pStyle w:val="references"/>
      </w:pPr>
      <w:r>
        <w:t>A. R. Glinscaya et al., “Using Machine Learning to Identify Dependencies in Statistical Data Based on Retrospective Information,” Computational Methods in Systems and Software, Springer, 2024.</w:t>
      </w:r>
    </w:p>
    <w:p w14:paraId="73D10A7D" w14:textId="77777777" w:rsidR="00A6628C" w:rsidRDefault="00A6628C" w:rsidP="00A6628C">
      <w:pPr>
        <w:pStyle w:val="references"/>
      </w:pPr>
      <w:r>
        <w:t>Y. Tynchenko et al., “Intelligent Model for Assessing the Suitability of Water Based on its Chemical and Biological Parameters,” INFOTEH 2025, IEEE, 2025.</w:t>
      </w:r>
    </w:p>
    <w:p w14:paraId="0EE46FBB" w14:textId="25B2A395" w:rsidR="009303D9" w:rsidRDefault="00A6628C" w:rsidP="00A6628C">
      <w:pPr>
        <w:pStyle w:val="references"/>
      </w:pPr>
      <w:r>
        <w:t>I. I. Kleshko et al., “Analysis of Temporal and Geographical Data to Improve Travel Time Forecasting,” Computational Methods in Systems and Software, Springer, 2024.</w:t>
      </w:r>
    </w:p>
    <w:p w14:paraId="65FA874C" w14:textId="77777777" w:rsidR="00A6628C" w:rsidRDefault="00A6628C" w:rsidP="00A6628C">
      <w:pPr>
        <w:pStyle w:val="references"/>
      </w:pPr>
      <w:r>
        <w:t>D. Lusiyanti, S. Anam, W. F. Mahmudy, and U. Saʽdah, “A Novel Hyperparameter Tuning Strategy Using Spider Monkey Optimization for Deep Neural Networks in Water Quality Prediction,” 2025 International Electronics Symposium (IES), IEEE, 2025. DOI: 10.1109/IES67184.2025.11160714.</w:t>
      </w:r>
    </w:p>
    <w:p w14:paraId="4E645DE9" w14:textId="77777777" w:rsidR="00A6628C" w:rsidRDefault="00A6628C" w:rsidP="00A6628C">
      <w:pPr>
        <w:pStyle w:val="references"/>
      </w:pPr>
      <w:r>
        <w:t>S. Ishak, L. Djakfar, A. Wicaksono, and M. A. Nafis, “Development a Predictive Optimization Model to Minimize Delays and Inefficiencies at Special Ports,” Eastern-European Journal of Enterprise Technologies, vol. 2, no. 13(134), pp. 91–98, 2025. DOI: 10.15587/1729-4061.2025.323188.</w:t>
      </w:r>
    </w:p>
    <w:p w14:paraId="1D8B82C1" w14:textId="77777777" w:rsidR="00A6628C" w:rsidRDefault="00A6628C" w:rsidP="00A6628C">
      <w:pPr>
        <w:pStyle w:val="references"/>
      </w:pPr>
      <w:r>
        <w:t>M. R. Ngabu, S. Anam, and W. Firdaus Mahmudy, “Groundwater Quality Prediction Using Deep Neural Networks with PCA and K-Fold Cross Validation,” 2025 International Electronics Symposium (IES), IEEE, 2025. DOI: 10.1109/IES67184.2025.11161827.</w:t>
      </w:r>
    </w:p>
    <w:p w14:paraId="55F7CC2F" w14:textId="77777777" w:rsidR="00A6628C" w:rsidRDefault="00A6628C" w:rsidP="00A6628C">
      <w:pPr>
        <w:pStyle w:val="references"/>
      </w:pPr>
      <w:r>
        <w:t>P. J. Basford, S. Johnson, C. Perkins, T. Garnock-Jones, F. P. Tso, D. Pezaros, R. Mullins, E. Yoneki, J. Singer, and S. Cox, “Performance Analysis of Single Board Computer Clusters,” Future Generation Computer Systems, vol. 102, pp. 278–291, 2020. DOI: 10.1016/j.future.2019.07.040.</w:t>
      </w:r>
    </w:p>
    <w:p w14:paraId="09982C41" w14:textId="77777777" w:rsidR="00A6628C" w:rsidRDefault="00A6628C" w:rsidP="00A6628C">
      <w:pPr>
        <w:pStyle w:val="references"/>
      </w:pPr>
      <w:r>
        <w:t xml:space="preserve">G. Radhika and N. Radhika, “An Optimized Reinforcement Learning Based Routing Protocol Using Spider Monkey Optimization Algorithm,” </w:t>
      </w:r>
      <w:r>
        <w:lastRenderedPageBreak/>
        <w:t>Journal of Physics: Conference Series, vol. 2571, no. 1, p. 012033, 2023. DOI: 10.1088/1742-6596/2571/1/012033.</w:t>
      </w:r>
    </w:p>
    <w:p w14:paraId="7B97E12A" w14:textId="77777777" w:rsidR="00A6628C" w:rsidRDefault="00A6628C" w:rsidP="00A6628C">
      <w:pPr>
        <w:pStyle w:val="references"/>
      </w:pPr>
      <w:r>
        <w:t>Z. Y. Fang, Z. W. Xiao, and C.-W. Tsai, “An Effective Multi-Swarm Algorithm for Optimizing Hyperparameters of Deep Neural Networks,” in Proc. ACM International Conference on Intelligent Computing and Its Emerging Applications (ICEA), 2020. DOI: 10.1145/3440943.3444722.</w:t>
      </w:r>
    </w:p>
    <w:p w14:paraId="55524EA3" w14:textId="77777777" w:rsidR="00A6628C" w:rsidRDefault="00A6628C" w:rsidP="00A6628C">
      <w:pPr>
        <w:pStyle w:val="references"/>
      </w:pPr>
      <w:r>
        <w:t>F. Abbas, Z. Cai, M. Shoaib, and A. Ullah, “Machine Learning Models for Water Quality Prediction: A Comprehensive Analysis and Uncertainty Assessment in Mirpurkhas, Sindh, Pakistan,” Water, vol. 16, no. 7, p. 941, 2024. DOI: 10.3390/w16070941.</w:t>
      </w:r>
    </w:p>
    <w:p w14:paraId="71EBE42E" w14:textId="77777777" w:rsidR="00A6628C" w:rsidRDefault="00A6628C" w:rsidP="00A6628C">
      <w:pPr>
        <w:pStyle w:val="references"/>
      </w:pPr>
      <w:r>
        <w:t>J. Xu, Y. Hou, S. Zhu, and L. Li, “Assessing and Predicting Water Quality Index With Key Water Parameters by Machine Learning Models in Coastal Cities, China,” Heliyon, vol. 10, p. e33695, 2024. DOI: 10.1016/j.heliyon.2024.e33695.</w:t>
      </w:r>
    </w:p>
    <w:p w14:paraId="18AC7346" w14:textId="77777777" w:rsidR="00A6628C" w:rsidRDefault="00A6628C" w:rsidP="00A6628C">
      <w:pPr>
        <w:pStyle w:val="references"/>
      </w:pPr>
      <w:r>
        <w:t>Z. Wei, et al., “Water Quality Grade Identification for Lakes in Middle Reaches of Yangtze River Using Landsat-8 Data with Deep Neural Networks Model,” Remote Sensing, vol. 14, p. 6238, 2022. DOI: 10.3390/rs14246238.</w:t>
      </w:r>
    </w:p>
    <w:p w14:paraId="64CC5121" w14:textId="77777777" w:rsidR="00A6628C" w:rsidRDefault="00A6628C" w:rsidP="00A6628C">
      <w:pPr>
        <w:pStyle w:val="references"/>
      </w:pPr>
      <w:r>
        <w:t>V. Sze, Y. Chen, T.-J. Yang, and J. Emer, “Efficient Processing of Deep Neural Networks: A Tutorial and Survey,” Proceedings of the IEEE, vol. 105, no. 12, pp. 2295–2329, 2017. DOI: 10.1109/JPROC.2017.2761740.</w:t>
      </w:r>
    </w:p>
    <w:p w14:paraId="0232C53E" w14:textId="77777777" w:rsidR="00A6628C" w:rsidRDefault="00A6628C" w:rsidP="00A6628C">
      <w:pPr>
        <w:pStyle w:val="references"/>
      </w:pPr>
      <w:r>
        <w:t>A. Najah, A. El-Shafie, O. A. Karim, and A. H. El-Shafie, “Application of Artificial Neural Networks for Water Quality Prediction,” Neural Computing and Applications, vol. 22, no. 1, pp. 187–201, 2013. DOI: 10.1007/s00521-012-0940-3.</w:t>
      </w:r>
    </w:p>
    <w:p w14:paraId="64D552A4" w14:textId="77777777" w:rsidR="00A6628C" w:rsidRDefault="00A6628C" w:rsidP="00A6628C">
      <w:pPr>
        <w:pStyle w:val="references"/>
      </w:pPr>
      <w:r>
        <w:t>S. F. Ahmed et al., “Deep Learning Modelling Techniques: Current Progress, Applications, Advantages, and Challenges,” Artificial Intelligence Review, vol. 56, no. 11, pp. 13521–13617, 2023. DOI: 10.1007/s10462-023-10466-8.</w:t>
      </w:r>
    </w:p>
    <w:p w14:paraId="5E0488DE" w14:textId="77777777" w:rsidR="00A6628C" w:rsidRDefault="00A6628C" w:rsidP="00A6628C">
      <w:pPr>
        <w:pStyle w:val="references"/>
      </w:pPr>
      <w:r>
        <w:t>J. Snoek, H. Larochelle, and R. P. Adams, “Practical Bayesian Optimization of Machine Learning Algorithms,” in Proc. 26th Neural Information Processing Systems (NIPS), Curran Associates, 2012, pp. 2951–2959.</w:t>
      </w:r>
    </w:p>
    <w:p w14:paraId="77F19C8F" w14:textId="77777777" w:rsidR="00A6628C" w:rsidRDefault="00A6628C" w:rsidP="00A6628C">
      <w:pPr>
        <w:pStyle w:val="references"/>
      </w:pPr>
      <w:r>
        <w:t>X. Wang, Y. Jin, S. Schmitt, and M. Olhofer, “Recent Advances in Bayesian Optimization,” ACM Computing Surveys, vol. 55, no. 13s, 2023. DOI: 10.1145/3582078.</w:t>
      </w:r>
    </w:p>
    <w:p w14:paraId="513A5C33" w14:textId="01B733B7" w:rsidR="00A6628C" w:rsidRPr="00AA0279" w:rsidRDefault="00A6628C" w:rsidP="00A6628C">
      <w:pPr>
        <w:pStyle w:val="references"/>
      </w:pPr>
      <w:r>
        <w:t>J. C. Bansal, H. Sharma, S. S. Jadon, and M. Clerc, “Spider Monkey Optimization Algorithm for Numerical Optimization,” Memetic Computing, vol. 6, no. 1, pp. 31–47, 2014. DOI: 10.1007/s12293-013-0128-0.</w:t>
      </w:r>
    </w:p>
    <w:p w14:paraId="6C9F0FDB" w14:textId="77777777" w:rsidR="009303D9" w:rsidRPr="00F96569" w:rsidRDefault="009303D9" w:rsidP="00F96569">
      <w:pPr>
        <w:pStyle w:val="references"/>
        <w:numPr>
          <w:ilvl w:val="0"/>
          <w:numId w:val="0"/>
        </w:numPr>
        <w:ind w:left="360" w:hanging="360"/>
        <w:jc w:val="center"/>
        <w:rPr>
          <w:rFonts w:eastAsia="SimSun"/>
          <w:b/>
          <w:noProof w:val="0"/>
          <w:color w:val="FF0000"/>
          <w:spacing w:val="-1"/>
          <w:sz w:val="20"/>
          <w:szCs w:val="20"/>
          <w:lang w:val="x-none" w:eastAsia="x-none"/>
        </w:rPr>
        <w:sectPr w:rsidR="009303D9" w:rsidRPr="00F96569" w:rsidSect="00C919A4">
          <w:type w:val="continuous"/>
          <w:pgSz w:w="12240" w:h="15840" w:code="1"/>
          <w:pgMar w:top="1080" w:right="907" w:bottom="1440" w:left="907" w:header="720" w:footer="720" w:gutter="0"/>
          <w:cols w:num="2" w:space="360"/>
          <w:docGrid w:linePitch="360"/>
        </w:sectPr>
      </w:pPr>
    </w:p>
    <w:p w14:paraId="2D3023DE" w14:textId="77777777" w:rsidR="009303D9" w:rsidRPr="00F96569" w:rsidRDefault="009303D9" w:rsidP="00F96569">
      <w:pPr>
        <w:rPr>
          <w:color w:val="FF0000"/>
        </w:rPr>
      </w:pPr>
    </w:p>
    <w:sectPr w:rsidR="009303D9" w:rsidRPr="00F96569">
      <w:type w:val="continuous"/>
      <w:pgSz w:w="12240" w:h="15840" w:code="1"/>
      <w:pgMar w:top="1080" w:right="893" w:bottom="1440" w:left="893"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9DD00EC" w14:textId="77777777" w:rsidR="001D560C" w:rsidRDefault="001D560C" w:rsidP="001A3B3D">
      <w:r>
        <w:separator/>
      </w:r>
    </w:p>
  </w:endnote>
  <w:endnote w:type="continuationSeparator" w:id="0">
    <w:p w14:paraId="6CD702BE" w14:textId="77777777" w:rsidR="001D560C" w:rsidRDefault="001D560C"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A00002BF" w:usb1="68C7FCFB" w:usb2="00000010" w:usb3="00000000" w:csb0="0002009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AF4E6A" w14:textId="77777777" w:rsidR="00583BD0" w:rsidRPr="006F6D3D" w:rsidRDefault="00583BD0" w:rsidP="00583BD0">
    <w:pPr>
      <w:pStyle w:val="a7"/>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75AB6FF" w14:textId="77777777" w:rsidR="001D560C" w:rsidRDefault="001D560C" w:rsidP="001A3B3D">
      <w:r>
        <w:separator/>
      </w:r>
    </w:p>
  </w:footnote>
  <w:footnote w:type="continuationSeparator" w:id="0">
    <w:p w14:paraId="68949C26" w14:textId="77777777" w:rsidR="001D560C" w:rsidRDefault="001D560C" w:rsidP="001A3B3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F2AAD4" w14:textId="77777777" w:rsidR="002347BE" w:rsidRDefault="002347BE" w:rsidP="002347BE">
    <w:pPr>
      <w:pStyle w:val="a5"/>
    </w:pPr>
    <w:r w:rsidRPr="00AE36F2">
      <w:t xml:space="preserve">International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76668F30"/>
    <w:lvl w:ilvl="0">
      <w:start w:val="1"/>
      <w:numFmt w:val="decimal"/>
      <w:lvlText w:val="%1."/>
      <w:lvlJc w:val="left"/>
      <w:pPr>
        <w:tabs>
          <w:tab w:val="num" w:pos="1492"/>
        </w:tabs>
        <w:ind w:left="1492" w:hanging="360"/>
      </w:pPr>
    </w:lvl>
  </w:abstractNum>
  <w:abstractNum w:abstractNumId="2">
    <w:nsid w:val="FFFFFF7D"/>
    <w:multiLevelType w:val="singleLevel"/>
    <w:tmpl w:val="9F36799A"/>
    <w:lvl w:ilvl="0">
      <w:start w:val="1"/>
      <w:numFmt w:val="decimal"/>
      <w:lvlText w:val="%1."/>
      <w:lvlJc w:val="left"/>
      <w:pPr>
        <w:tabs>
          <w:tab w:val="num" w:pos="1209"/>
        </w:tabs>
        <w:ind w:left="1209" w:hanging="360"/>
      </w:pPr>
    </w:lvl>
  </w:abstractNum>
  <w:abstractNum w:abstractNumId="3">
    <w:nsid w:val="FFFFFF7E"/>
    <w:multiLevelType w:val="singleLevel"/>
    <w:tmpl w:val="E8B85734"/>
    <w:lvl w:ilvl="0">
      <w:start w:val="1"/>
      <w:numFmt w:val="decimal"/>
      <w:lvlText w:val="%1."/>
      <w:lvlJc w:val="left"/>
      <w:pPr>
        <w:tabs>
          <w:tab w:val="num" w:pos="926"/>
        </w:tabs>
        <w:ind w:left="926" w:hanging="360"/>
      </w:pPr>
    </w:lvl>
  </w:abstractNum>
  <w:abstractNum w:abstractNumId="4">
    <w:nsid w:val="FFFFFF7F"/>
    <w:multiLevelType w:val="singleLevel"/>
    <w:tmpl w:val="C130D18E"/>
    <w:lvl w:ilvl="0">
      <w:start w:val="1"/>
      <w:numFmt w:val="decimal"/>
      <w:lvlText w:val="%1."/>
      <w:lvlJc w:val="left"/>
      <w:pPr>
        <w:tabs>
          <w:tab w:val="num" w:pos="643"/>
        </w:tabs>
        <w:ind w:left="643" w:hanging="360"/>
      </w:pPr>
    </w:lvl>
  </w:abstractNum>
  <w:abstractNum w:abstractNumId="5">
    <w:nsid w:val="FFFFFF80"/>
    <w:multiLevelType w:val="singleLevel"/>
    <w:tmpl w:val="B6DED4FA"/>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96CCA176"/>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26D2B28E"/>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BA8C2E9C"/>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C3041EE8"/>
    <w:lvl w:ilvl="0">
      <w:start w:val="1"/>
      <w:numFmt w:val="decimal"/>
      <w:lvlText w:val="%1."/>
      <w:lvlJc w:val="left"/>
      <w:pPr>
        <w:tabs>
          <w:tab w:val="num" w:pos="360"/>
        </w:tabs>
        <w:ind w:left="360" w:hanging="360"/>
      </w:pPr>
    </w:lvl>
  </w:abstractNum>
  <w:abstractNum w:abstractNumId="10">
    <w:nsid w:val="FFFFFF89"/>
    <w:multiLevelType w:val="singleLevel"/>
    <w:tmpl w:val="335CD720"/>
    <w:lvl w:ilvl="0">
      <w:start w:val="1"/>
      <w:numFmt w:val="bullet"/>
      <w:lvlText w:val=""/>
      <w:lvlJc w:val="left"/>
      <w:pPr>
        <w:tabs>
          <w:tab w:val="num" w:pos="360"/>
        </w:tabs>
        <w:ind w:left="360" w:hanging="360"/>
      </w:pPr>
      <w:rPr>
        <w:rFonts w:ascii="Symbol" w:hAnsi="Symbol" w:hint="default"/>
      </w:rPr>
    </w:lvl>
  </w:abstractNum>
  <w:abstractNum w:abstractNumId="11">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nsid w:val="4189603E"/>
    <w:multiLevelType w:val="multilevel"/>
    <w:tmpl w:val="0AB06E12"/>
    <w:lvl w:ilvl="0">
      <w:start w:val="1"/>
      <w:numFmt w:val="upperRoman"/>
      <w:pStyle w:val="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1">
    <w:nsid w:val="754474F7"/>
    <w:multiLevelType w:val="singleLevel"/>
    <w:tmpl w:val="0EA0939C"/>
    <w:lvl w:ilvl="0">
      <w:start w:val="1"/>
      <w:numFmt w:val="decimal"/>
      <w:lvlText w:val="%1."/>
      <w:legacy w:legacy="1" w:legacySpace="0" w:legacyIndent="227"/>
      <w:lvlJc w:val="left"/>
      <w:pPr>
        <w:ind w:left="227" w:hanging="227"/>
      </w:pPr>
    </w:lvl>
  </w:abstractNum>
  <w:abstractNum w:abstractNumId="22">
    <w:nsid w:val="7F2E567E"/>
    <w:multiLevelType w:val="multilevel"/>
    <w:tmpl w:val="EC54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 w:numId="25">
    <w:abstractNumId w:val="21"/>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4"/>
  </w:num>
  <w:num w:numId="34">
    <w:abstractNumId w:val="22"/>
  </w:num>
  <w:num w:numId="35">
    <w:abstractNumId w:val="14"/>
  </w:num>
  <w:num w:numId="3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grammar="clean"/>
  <w:defaultTabStop w:val="720"/>
  <w:doNotHyphenateCaps/>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A088E"/>
    <w:rsid w:val="000A47F9"/>
    <w:rsid w:val="000C1E68"/>
    <w:rsid w:val="000E7FDC"/>
    <w:rsid w:val="00140ED1"/>
    <w:rsid w:val="001515DA"/>
    <w:rsid w:val="0016145E"/>
    <w:rsid w:val="001A2EFD"/>
    <w:rsid w:val="001A3B3D"/>
    <w:rsid w:val="001A42EA"/>
    <w:rsid w:val="001B67DC"/>
    <w:rsid w:val="001D560C"/>
    <w:rsid w:val="001D7BCF"/>
    <w:rsid w:val="001F2901"/>
    <w:rsid w:val="002254A9"/>
    <w:rsid w:val="00233D97"/>
    <w:rsid w:val="002347BE"/>
    <w:rsid w:val="002720FC"/>
    <w:rsid w:val="002850E3"/>
    <w:rsid w:val="002B440F"/>
    <w:rsid w:val="002D3477"/>
    <w:rsid w:val="00322145"/>
    <w:rsid w:val="003433EC"/>
    <w:rsid w:val="00354FCF"/>
    <w:rsid w:val="003A19E2"/>
    <w:rsid w:val="003C747C"/>
    <w:rsid w:val="003E7492"/>
    <w:rsid w:val="004325FB"/>
    <w:rsid w:val="004432BA"/>
    <w:rsid w:val="0044407E"/>
    <w:rsid w:val="004848D9"/>
    <w:rsid w:val="004D72B5"/>
    <w:rsid w:val="004E7CAD"/>
    <w:rsid w:val="005519FA"/>
    <w:rsid w:val="00551B7F"/>
    <w:rsid w:val="0056610F"/>
    <w:rsid w:val="00575BCA"/>
    <w:rsid w:val="00583BD0"/>
    <w:rsid w:val="005B0344"/>
    <w:rsid w:val="005B520E"/>
    <w:rsid w:val="005D68EE"/>
    <w:rsid w:val="005E2800"/>
    <w:rsid w:val="005F0250"/>
    <w:rsid w:val="006134C8"/>
    <w:rsid w:val="0063703C"/>
    <w:rsid w:val="00645D22"/>
    <w:rsid w:val="00651A08"/>
    <w:rsid w:val="00654204"/>
    <w:rsid w:val="00670434"/>
    <w:rsid w:val="00675A61"/>
    <w:rsid w:val="006B6B66"/>
    <w:rsid w:val="006C0090"/>
    <w:rsid w:val="006C2F52"/>
    <w:rsid w:val="006F00FA"/>
    <w:rsid w:val="006F6D3D"/>
    <w:rsid w:val="00715BEA"/>
    <w:rsid w:val="00721514"/>
    <w:rsid w:val="00740EEA"/>
    <w:rsid w:val="00774378"/>
    <w:rsid w:val="00781D30"/>
    <w:rsid w:val="00794804"/>
    <w:rsid w:val="007B33F1"/>
    <w:rsid w:val="007B766B"/>
    <w:rsid w:val="007C0308"/>
    <w:rsid w:val="007C2FF2"/>
    <w:rsid w:val="007D6232"/>
    <w:rsid w:val="007E4793"/>
    <w:rsid w:val="007F1F99"/>
    <w:rsid w:val="007F768F"/>
    <w:rsid w:val="007F7D2E"/>
    <w:rsid w:val="0080791D"/>
    <w:rsid w:val="00873603"/>
    <w:rsid w:val="008819AE"/>
    <w:rsid w:val="00893053"/>
    <w:rsid w:val="008A2C7D"/>
    <w:rsid w:val="008C4B23"/>
    <w:rsid w:val="008F6E2C"/>
    <w:rsid w:val="00903080"/>
    <w:rsid w:val="009303D9"/>
    <w:rsid w:val="00933C64"/>
    <w:rsid w:val="00972203"/>
    <w:rsid w:val="009C38AD"/>
    <w:rsid w:val="00A02312"/>
    <w:rsid w:val="00A059B3"/>
    <w:rsid w:val="00A05A6C"/>
    <w:rsid w:val="00A132EE"/>
    <w:rsid w:val="00A35656"/>
    <w:rsid w:val="00A50071"/>
    <w:rsid w:val="00A6628C"/>
    <w:rsid w:val="00A83751"/>
    <w:rsid w:val="00A839D8"/>
    <w:rsid w:val="00AA0279"/>
    <w:rsid w:val="00AE3409"/>
    <w:rsid w:val="00B01BD0"/>
    <w:rsid w:val="00B103CB"/>
    <w:rsid w:val="00B109D8"/>
    <w:rsid w:val="00B11A60"/>
    <w:rsid w:val="00B22613"/>
    <w:rsid w:val="00B2486A"/>
    <w:rsid w:val="00BA1025"/>
    <w:rsid w:val="00BB48BD"/>
    <w:rsid w:val="00BC3420"/>
    <w:rsid w:val="00BE7D3C"/>
    <w:rsid w:val="00BF5FF6"/>
    <w:rsid w:val="00C0207F"/>
    <w:rsid w:val="00C16117"/>
    <w:rsid w:val="00C3075A"/>
    <w:rsid w:val="00C3745B"/>
    <w:rsid w:val="00C42765"/>
    <w:rsid w:val="00C4364C"/>
    <w:rsid w:val="00C76FFC"/>
    <w:rsid w:val="00C919A4"/>
    <w:rsid w:val="00CA4392"/>
    <w:rsid w:val="00CC393F"/>
    <w:rsid w:val="00CD6C7D"/>
    <w:rsid w:val="00D04A50"/>
    <w:rsid w:val="00D140F5"/>
    <w:rsid w:val="00D2176E"/>
    <w:rsid w:val="00D625FF"/>
    <w:rsid w:val="00D632BE"/>
    <w:rsid w:val="00D72D06"/>
    <w:rsid w:val="00D7522C"/>
    <w:rsid w:val="00D7536F"/>
    <w:rsid w:val="00D76668"/>
    <w:rsid w:val="00DF0305"/>
    <w:rsid w:val="00E0608F"/>
    <w:rsid w:val="00E24E82"/>
    <w:rsid w:val="00E55790"/>
    <w:rsid w:val="00E61E12"/>
    <w:rsid w:val="00E7596C"/>
    <w:rsid w:val="00E84B54"/>
    <w:rsid w:val="00E878F2"/>
    <w:rsid w:val="00ED0149"/>
    <w:rsid w:val="00EF7DE3"/>
    <w:rsid w:val="00F03103"/>
    <w:rsid w:val="00F1117C"/>
    <w:rsid w:val="00F271DE"/>
    <w:rsid w:val="00F32488"/>
    <w:rsid w:val="00F36080"/>
    <w:rsid w:val="00F627DA"/>
    <w:rsid w:val="00F7288F"/>
    <w:rsid w:val="00F847A6"/>
    <w:rsid w:val="00F9441B"/>
    <w:rsid w:val="00F96569"/>
    <w:rsid w:val="00F97313"/>
    <w:rsid w:val="00FA4C32"/>
    <w:rsid w:val="00FC739A"/>
    <w:rsid w:val="00FE070F"/>
    <w:rsid w:val="00FE7114"/>
    <w:rsid w:val="00FF1B10"/>
    <w:rsid w:val="00FF704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8C30010"/>
  <w15:chartTrackingRefBased/>
  <w15:docId w15:val="{70A4E05C-14E2-480D-9B1E-117D50E04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jc w:val="center"/>
    </w:pPr>
    <w:rPr>
      <w:lang w:val="en-US" w:eastAsia="en-US"/>
    </w:rPr>
  </w:style>
  <w:style w:type="paragraph" w:styleId="1">
    <w:name w:val="heading 1"/>
    <w:basedOn w:val="a"/>
    <w:next w:val="a"/>
    <w:qFormat/>
    <w:rsid w:val="006B6B66"/>
    <w:pPr>
      <w:keepNext/>
      <w:keepLines/>
      <w:numPr>
        <w:numId w:val="4"/>
      </w:numPr>
      <w:tabs>
        <w:tab w:val="left" w:pos="216"/>
      </w:tabs>
      <w:spacing w:before="160" w:after="80"/>
      <w:ind w:firstLine="0"/>
      <w:outlineLvl w:val="0"/>
    </w:pPr>
    <w:rPr>
      <w:smallCaps/>
      <w:noProof/>
    </w:rPr>
  </w:style>
  <w:style w:type="paragraph" w:styleId="2">
    <w:name w:val="heading 2"/>
    <w:basedOn w:val="a"/>
    <w:next w:val="a"/>
    <w:qFormat/>
    <w:rsid w:val="00ED0149"/>
    <w:pPr>
      <w:keepNext/>
      <w:keepLines/>
      <w:numPr>
        <w:ilvl w:val="1"/>
        <w:numId w:val="4"/>
      </w:numPr>
      <w:tabs>
        <w:tab w:val="clear" w:pos="360"/>
        <w:tab w:val="num" w:pos="288"/>
      </w:tabs>
      <w:spacing w:before="120" w:after="60"/>
      <w:jc w:val="left"/>
      <w:outlineLvl w:val="1"/>
    </w:pPr>
    <w:rPr>
      <w:i/>
      <w:iCs/>
      <w:noProof/>
    </w:rPr>
  </w:style>
  <w:style w:type="paragraph" w:styleId="3">
    <w:name w:val="heading 3"/>
    <w:basedOn w:val="a"/>
    <w:next w:val="a"/>
    <w:qFormat/>
    <w:rsid w:val="00794804"/>
    <w:pPr>
      <w:numPr>
        <w:ilvl w:val="2"/>
        <w:numId w:val="4"/>
      </w:numPr>
      <w:spacing w:line="240" w:lineRule="exact"/>
      <w:ind w:firstLine="288"/>
      <w:jc w:val="both"/>
      <w:outlineLvl w:val="2"/>
    </w:pPr>
    <w:rPr>
      <w:i/>
      <w:iCs/>
      <w:noProof/>
    </w:rPr>
  </w:style>
  <w:style w:type="paragraph" w:styleId="4">
    <w:name w:val="heading 4"/>
    <w:basedOn w:val="a"/>
    <w:next w:val="a"/>
    <w:qFormat/>
    <w:rsid w:val="00794804"/>
    <w:pPr>
      <w:numPr>
        <w:ilvl w:val="3"/>
        <w:numId w:val="4"/>
      </w:numPr>
      <w:tabs>
        <w:tab w:val="clear" w:pos="630"/>
        <w:tab w:val="left" w:pos="720"/>
      </w:tabs>
      <w:spacing w:before="40" w:after="40"/>
      <w:ind w:firstLine="504"/>
      <w:jc w:val="both"/>
      <w:outlineLvl w:val="3"/>
    </w:pPr>
    <w:rPr>
      <w:i/>
      <w:iCs/>
      <w:noProof/>
    </w:rPr>
  </w:style>
  <w:style w:type="paragraph" w:styleId="5">
    <w:name w:val="heading 5"/>
    <w:basedOn w:val="a"/>
    <w:next w:val="a"/>
    <w:qFormat/>
    <w:pPr>
      <w:tabs>
        <w:tab w:val="left" w:pos="360"/>
      </w:tabs>
      <w:spacing w:before="160" w:after="80"/>
      <w:outlineLvl w:val="4"/>
    </w:pPr>
    <w:rPr>
      <w:smallCaps/>
      <w:noProo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rsid w:val="00A02312"/>
    <w:pPr>
      <w:spacing w:before="100" w:beforeAutospacing="1" w:after="40"/>
      <w:jc w:val="center"/>
    </w:pPr>
    <w:rPr>
      <w:noProof/>
      <w:sz w:val="18"/>
      <w:szCs w:val="22"/>
      <w:lang w:val="en-US" w:eastAsia="en-US"/>
    </w:rPr>
  </w:style>
  <w:style w:type="paragraph" w:styleId="a3">
    <w:name w:val="Body Text"/>
    <w:basedOn w:val="a"/>
    <w:link w:val="a4"/>
    <w:rsid w:val="00E7596C"/>
    <w:pPr>
      <w:tabs>
        <w:tab w:val="left" w:pos="288"/>
      </w:tabs>
      <w:spacing w:after="120" w:line="228" w:lineRule="auto"/>
      <w:ind w:firstLine="288"/>
      <w:jc w:val="both"/>
    </w:pPr>
    <w:rPr>
      <w:spacing w:val="-1"/>
      <w:lang w:val="x-none" w:eastAsia="x-none"/>
    </w:rPr>
  </w:style>
  <w:style w:type="character" w:customStyle="1" w:styleId="a4">
    <w:name w:val="Основной текст Знак"/>
    <w:link w:val="a3"/>
    <w:rsid w:val="00E7596C"/>
    <w:rPr>
      <w:spacing w:val="-1"/>
      <w:lang w:val="x-none" w:eastAsia="x-none"/>
    </w:rPr>
  </w:style>
  <w:style w:type="paragraph" w:customStyle="1" w:styleId="bulletlist">
    <w:name w:val="bullet list"/>
    <w:basedOn w:val="a3"/>
    <w:rsid w:val="001B67DC"/>
    <w:pPr>
      <w:numPr>
        <w:numId w:val="1"/>
      </w:numPr>
    </w:pPr>
  </w:style>
  <w:style w:type="paragraph" w:customStyle="1" w:styleId="equation">
    <w:name w:val="equation"/>
    <w:basedOn w:val="a"/>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a5">
    <w:name w:val="header"/>
    <w:basedOn w:val="a"/>
    <w:link w:val="a6"/>
    <w:rsid w:val="001A3B3D"/>
    <w:pPr>
      <w:tabs>
        <w:tab w:val="center" w:pos="4680"/>
        <w:tab w:val="right" w:pos="9360"/>
      </w:tabs>
    </w:pPr>
  </w:style>
  <w:style w:type="character" w:customStyle="1" w:styleId="a6">
    <w:name w:val="Верхний колонтитул Знак"/>
    <w:basedOn w:val="a0"/>
    <w:link w:val="a5"/>
    <w:rsid w:val="001A3B3D"/>
  </w:style>
  <w:style w:type="paragraph" w:styleId="a7">
    <w:name w:val="footer"/>
    <w:basedOn w:val="a"/>
    <w:link w:val="a8"/>
    <w:rsid w:val="001A3B3D"/>
    <w:pPr>
      <w:tabs>
        <w:tab w:val="center" w:pos="4680"/>
        <w:tab w:val="right" w:pos="9360"/>
      </w:tabs>
    </w:pPr>
  </w:style>
  <w:style w:type="character" w:customStyle="1" w:styleId="a8">
    <w:name w:val="Нижний колонтитул Знак"/>
    <w:basedOn w:val="a0"/>
    <w:link w:val="a7"/>
    <w:rsid w:val="001A3B3D"/>
  </w:style>
  <w:style w:type="paragraph" w:styleId="a9">
    <w:name w:val="Date"/>
    <w:basedOn w:val="a"/>
    <w:next w:val="a"/>
    <w:link w:val="aa"/>
    <w:rsid w:val="00903080"/>
  </w:style>
  <w:style w:type="character" w:customStyle="1" w:styleId="aa">
    <w:name w:val="Дата Знак"/>
    <w:link w:val="a9"/>
    <w:rsid w:val="00903080"/>
    <w:rPr>
      <w:lang w:val="en-US" w:eastAsia="en-US"/>
    </w:rPr>
  </w:style>
  <w:style w:type="paragraph" w:styleId="ab">
    <w:name w:val="Normal (Web)"/>
    <w:basedOn w:val="a"/>
    <w:uiPriority w:val="99"/>
    <w:unhideWhenUsed/>
    <w:rsid w:val="00A132EE"/>
    <w:pPr>
      <w:spacing w:before="100" w:beforeAutospacing="1" w:after="100" w:afterAutospacing="1"/>
      <w:jc w:val="left"/>
    </w:pPr>
    <w:rPr>
      <w:rFonts w:eastAsia="Times New Roman"/>
      <w:sz w:val="24"/>
      <w:szCs w:val="24"/>
      <w:lang w:val="ru-RU" w:eastAsia="ru-RU"/>
    </w:rPr>
  </w:style>
  <w:style w:type="character" w:styleId="ac">
    <w:name w:val="Hyperlink"/>
    <w:rsid w:val="00AA0279"/>
    <w:rPr>
      <w:color w:val="0563C1"/>
      <w:u w:val="single"/>
    </w:rPr>
  </w:style>
  <w:style w:type="character" w:customStyle="1" w:styleId="UnresolvedMention">
    <w:name w:val="Unresolved Mention"/>
    <w:uiPriority w:val="99"/>
    <w:semiHidden/>
    <w:unhideWhenUsed/>
    <w:rsid w:val="00AA0279"/>
    <w:rPr>
      <w:color w:val="605E5C"/>
      <w:shd w:val="clear" w:color="auto" w:fill="E1DFDD"/>
    </w:rPr>
  </w:style>
  <w:style w:type="character" w:customStyle="1" w:styleId="katex-mathml">
    <w:name w:val="katex-mathml"/>
    <w:basedOn w:val="a0"/>
    <w:rsid w:val="00E55790"/>
  </w:style>
  <w:style w:type="character" w:customStyle="1" w:styleId="mord">
    <w:name w:val="mord"/>
    <w:basedOn w:val="a0"/>
    <w:rsid w:val="00E55790"/>
  </w:style>
  <w:style w:type="character" w:customStyle="1" w:styleId="mrel">
    <w:name w:val="mrel"/>
    <w:basedOn w:val="a0"/>
    <w:rsid w:val="00E55790"/>
  </w:style>
  <w:style w:type="character" w:customStyle="1" w:styleId="mopen">
    <w:name w:val="mopen"/>
    <w:basedOn w:val="a0"/>
    <w:rsid w:val="00E55790"/>
  </w:style>
  <w:style w:type="character" w:customStyle="1" w:styleId="vlist-s">
    <w:name w:val="vlist-s"/>
    <w:basedOn w:val="a0"/>
    <w:rsid w:val="00E55790"/>
  </w:style>
  <w:style w:type="character" w:customStyle="1" w:styleId="mpunct">
    <w:name w:val="mpunct"/>
    <w:basedOn w:val="a0"/>
    <w:rsid w:val="00E55790"/>
  </w:style>
  <w:style w:type="character" w:customStyle="1" w:styleId="minner">
    <w:name w:val="minner"/>
    <w:basedOn w:val="a0"/>
    <w:rsid w:val="00E55790"/>
  </w:style>
  <w:style w:type="character" w:customStyle="1" w:styleId="mclose">
    <w:name w:val="mclose"/>
    <w:basedOn w:val="a0"/>
    <w:rsid w:val="00E55790"/>
  </w:style>
  <w:style w:type="character" w:customStyle="1" w:styleId="mtight">
    <w:name w:val="mtight"/>
    <w:basedOn w:val="a0"/>
    <w:rsid w:val="00E557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425141">
      <w:bodyDiv w:val="1"/>
      <w:marLeft w:val="0"/>
      <w:marRight w:val="0"/>
      <w:marTop w:val="0"/>
      <w:marBottom w:val="0"/>
      <w:divBdr>
        <w:top w:val="none" w:sz="0" w:space="0" w:color="auto"/>
        <w:left w:val="none" w:sz="0" w:space="0" w:color="auto"/>
        <w:bottom w:val="none" w:sz="0" w:space="0" w:color="auto"/>
        <w:right w:val="none" w:sz="0" w:space="0" w:color="auto"/>
      </w:divBdr>
    </w:div>
    <w:div w:id="102506922">
      <w:bodyDiv w:val="1"/>
      <w:marLeft w:val="0"/>
      <w:marRight w:val="0"/>
      <w:marTop w:val="0"/>
      <w:marBottom w:val="0"/>
      <w:divBdr>
        <w:top w:val="none" w:sz="0" w:space="0" w:color="auto"/>
        <w:left w:val="none" w:sz="0" w:space="0" w:color="auto"/>
        <w:bottom w:val="none" w:sz="0" w:space="0" w:color="auto"/>
        <w:right w:val="none" w:sz="0" w:space="0" w:color="auto"/>
      </w:divBdr>
    </w:div>
    <w:div w:id="416832711">
      <w:bodyDiv w:val="1"/>
      <w:marLeft w:val="0"/>
      <w:marRight w:val="0"/>
      <w:marTop w:val="0"/>
      <w:marBottom w:val="0"/>
      <w:divBdr>
        <w:top w:val="none" w:sz="0" w:space="0" w:color="auto"/>
        <w:left w:val="none" w:sz="0" w:space="0" w:color="auto"/>
        <w:bottom w:val="none" w:sz="0" w:space="0" w:color="auto"/>
        <w:right w:val="none" w:sz="0" w:space="0" w:color="auto"/>
      </w:divBdr>
    </w:div>
    <w:div w:id="452797320">
      <w:bodyDiv w:val="1"/>
      <w:marLeft w:val="0"/>
      <w:marRight w:val="0"/>
      <w:marTop w:val="0"/>
      <w:marBottom w:val="0"/>
      <w:divBdr>
        <w:top w:val="none" w:sz="0" w:space="0" w:color="auto"/>
        <w:left w:val="none" w:sz="0" w:space="0" w:color="auto"/>
        <w:bottom w:val="none" w:sz="0" w:space="0" w:color="auto"/>
        <w:right w:val="none" w:sz="0" w:space="0" w:color="auto"/>
      </w:divBdr>
    </w:div>
    <w:div w:id="911936722">
      <w:bodyDiv w:val="1"/>
      <w:marLeft w:val="0"/>
      <w:marRight w:val="0"/>
      <w:marTop w:val="0"/>
      <w:marBottom w:val="0"/>
      <w:divBdr>
        <w:top w:val="none" w:sz="0" w:space="0" w:color="auto"/>
        <w:left w:val="none" w:sz="0" w:space="0" w:color="auto"/>
        <w:bottom w:val="none" w:sz="0" w:space="0" w:color="auto"/>
        <w:right w:val="none" w:sz="0" w:space="0" w:color="auto"/>
      </w:divBdr>
    </w:div>
    <w:div w:id="914779848">
      <w:bodyDiv w:val="1"/>
      <w:marLeft w:val="0"/>
      <w:marRight w:val="0"/>
      <w:marTop w:val="0"/>
      <w:marBottom w:val="0"/>
      <w:divBdr>
        <w:top w:val="none" w:sz="0" w:space="0" w:color="auto"/>
        <w:left w:val="none" w:sz="0" w:space="0" w:color="auto"/>
        <w:bottom w:val="none" w:sz="0" w:space="0" w:color="auto"/>
        <w:right w:val="none" w:sz="0" w:space="0" w:color="auto"/>
      </w:divBdr>
    </w:div>
    <w:div w:id="926571836">
      <w:bodyDiv w:val="1"/>
      <w:marLeft w:val="0"/>
      <w:marRight w:val="0"/>
      <w:marTop w:val="0"/>
      <w:marBottom w:val="0"/>
      <w:divBdr>
        <w:top w:val="none" w:sz="0" w:space="0" w:color="auto"/>
        <w:left w:val="none" w:sz="0" w:space="0" w:color="auto"/>
        <w:bottom w:val="none" w:sz="0" w:space="0" w:color="auto"/>
        <w:right w:val="none" w:sz="0" w:space="0" w:color="auto"/>
      </w:divBdr>
    </w:div>
    <w:div w:id="1555000827">
      <w:bodyDiv w:val="1"/>
      <w:marLeft w:val="0"/>
      <w:marRight w:val="0"/>
      <w:marTop w:val="0"/>
      <w:marBottom w:val="0"/>
      <w:divBdr>
        <w:top w:val="none" w:sz="0" w:space="0" w:color="auto"/>
        <w:left w:val="none" w:sz="0" w:space="0" w:color="auto"/>
        <w:bottom w:val="none" w:sz="0" w:space="0" w:color="auto"/>
        <w:right w:val="none" w:sz="0" w:space="0" w:color="auto"/>
      </w:divBdr>
    </w:div>
    <w:div w:id="1639071667">
      <w:bodyDiv w:val="1"/>
      <w:marLeft w:val="0"/>
      <w:marRight w:val="0"/>
      <w:marTop w:val="0"/>
      <w:marBottom w:val="0"/>
      <w:divBdr>
        <w:top w:val="none" w:sz="0" w:space="0" w:color="auto"/>
        <w:left w:val="none" w:sz="0" w:space="0" w:color="auto"/>
        <w:bottom w:val="none" w:sz="0" w:space="0" w:color="auto"/>
        <w:right w:val="none" w:sz="0" w:space="0" w:color="auto"/>
      </w:divBdr>
    </w:div>
    <w:div w:id="1759208269">
      <w:bodyDiv w:val="1"/>
      <w:marLeft w:val="0"/>
      <w:marRight w:val="0"/>
      <w:marTop w:val="0"/>
      <w:marBottom w:val="0"/>
      <w:divBdr>
        <w:top w:val="none" w:sz="0" w:space="0" w:color="auto"/>
        <w:left w:val="none" w:sz="0" w:space="0" w:color="auto"/>
        <w:bottom w:val="none" w:sz="0" w:space="0" w:color="auto"/>
        <w:right w:val="none" w:sz="0" w:space="0" w:color="auto"/>
      </w:divBdr>
    </w:div>
    <w:div w:id="1849638640">
      <w:bodyDiv w:val="1"/>
      <w:marLeft w:val="0"/>
      <w:marRight w:val="0"/>
      <w:marTop w:val="0"/>
      <w:marBottom w:val="0"/>
      <w:divBdr>
        <w:top w:val="none" w:sz="0" w:space="0" w:color="auto"/>
        <w:left w:val="none" w:sz="0" w:space="0" w:color="auto"/>
        <w:bottom w:val="none" w:sz="0" w:space="0" w:color="auto"/>
        <w:right w:val="none" w:sz="0" w:space="0" w:color="auto"/>
      </w:divBdr>
    </w:div>
    <w:div w:id="1886330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023B23-9860-4A01-84C4-450D91339C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3715</Words>
  <Characters>21182</Characters>
  <Application>Microsoft Office Word</Application>
  <DocSecurity>0</DocSecurity>
  <Lines>176</Lines>
  <Paragraphs>49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24848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rabota</cp:lastModifiedBy>
  <cp:revision>2</cp:revision>
  <dcterms:created xsi:type="dcterms:W3CDTF">2026-04-16T16:04:00Z</dcterms:created>
  <dcterms:modified xsi:type="dcterms:W3CDTF">2026-04-16T16:04:00Z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