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pic="http://schemas.openxmlformats.org/drawingml/2006/pictur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papertitle"/>
        <w:sectPr>
          <w:pgSz w:w="12240" w:h="15840" w:code="1"/>
          <w:pgMar w:top="1080" w:right="893" w:bottom="1440" w:left="893" w:header="720" w:footer="720" w:gutter="0"/>
          <w:cols w:space="720"/>
          <w:docGrid w:linePitch="360"/>
        </w:sectPr>
      </w:pPr>
      <w:r>
        <w:rPr>
          <w:noProof/>
          <w:lang w:val="en-US" w:eastAsia="en-US"/>
        </w:rPr>
        <w:t xml:space="preserve">A Comparative Study of Machine Learning, Deep Learning, and Foundation Models for Short-Term Electricity Load Forecasting</w:t>
      </w:r>
    </w:p>
    <w:tbl>
      <w:tblPr>
        <w:tblW w:w="0" w:type="auto"/>
        <w:tblBorders>
          <w:top w:val="nil"/>
          <w:left w:val="nil"/>
          <w:bottom w:val="nil"/>
          <w:right w:val="nil"/>
          <w:insideH w:val="nil"/>
          <w:insideV w:val="nil"/>
        </w:tblBorders>
      </w:tblPr>
      <w:tblGrid>
        <w:gridCol w:w="5000"/>
        <w:gridCol w:w="5000"/>
      </w:tblGrid>
      <w:tr>
        <w:tc>
          <w:tcPr>
            <w:tcW w:w="5000" w:type="dxa"/>
            <w:vAlign w:val="top"/>
          </w:tcPr>
          <w:p>
            <w:pPr>
              <w:pStyle w:val="Author"/>
            </w:pPr>
            <w:r>
              <w:rPr>
                <w:noProof/>
                <w:lang w:val="en-US" w:eastAsia="en-US"/>
              </w:rPr>
              <w:t xml:space="preserve">Author One</w:t>
            </w:r>
          </w:p>
          <w:p>
            <w:pPr>
              <w:pStyle w:val="Author"/>
            </w:pPr>
            <w:r>
              <w:rPr>
                <w:noProof/>
                <w:lang w:val="en-US" w:eastAsia="en-US"/>
              </w:rPr>
              <w:t xml:space="preserve">Affiliation One</w:t>
            </w:r>
          </w:p>
          <w:p>
            <w:pPr>
              <w:pStyle w:val="Author"/>
            </w:pPr>
            <w:r>
              <w:rPr>
                <w:noProof/>
                <w:lang w:val="en-US" w:eastAsia="en-US"/>
              </w:rPr>
              <w:t xml:space="preserve">City, Country</w:t>
            </w:r>
          </w:p>
          <w:p>
            <w:pPr>
              <w:pStyle w:val="Author"/>
            </w:pPr>
            <w:r>
              <w:rPr>
                <w:noProof/>
                <w:lang w:val="en-US" w:eastAsia="en-US"/>
              </w:rPr>
              <w:t xml:space="preserve">email1@example.com</w:t>
            </w:r>
          </w:p>
        </w:tc>
        <w:tc>
          <w:tcPr>
            <w:tcW w:w="5000" w:type="dxa"/>
            <w:vAlign w:val="top"/>
          </w:tcPr>
          <w:p>
            <w:pPr>
              <w:pStyle w:val="Author"/>
            </w:pPr>
            <w:r>
              <w:rPr>
                <w:noProof/>
                <w:lang w:val="en-US" w:eastAsia="en-US"/>
              </w:rPr>
              <w:t xml:space="preserve">Author Two</w:t>
            </w:r>
          </w:p>
          <w:p>
            <w:pPr>
              <w:pStyle w:val="Author"/>
            </w:pPr>
            <w:r>
              <w:rPr>
                <w:noProof/>
                <w:lang w:val="en-US" w:eastAsia="en-US"/>
              </w:rPr>
              <w:t xml:space="preserve">Affiliation Two</w:t>
            </w:r>
          </w:p>
          <w:p>
            <w:pPr>
              <w:pStyle w:val="Author"/>
            </w:pPr>
            <w:r>
              <w:rPr>
                <w:noProof/>
                <w:lang w:val="en-US" w:eastAsia="en-US"/>
              </w:rPr>
              <w:t xml:space="preserve">City, Country</w:t>
            </w:r>
          </w:p>
          <w:p>
            <w:pPr>
              <w:pStyle w:val="Author"/>
            </w:pPr>
            <w:r>
              <w:rPr>
                <w:noProof/>
                <w:lang w:val="en-US" w:eastAsia="en-US"/>
              </w:rPr>
              <w:t xml:space="preserve">email2@example.com</w:t>
            </w:r>
          </w:p>
        </w:tc>
      </w:tr>
    </w:tbl>
    <w:p>
      <w:pPr>
        <w:pStyle w:val="Author"/>
        <w:sectPr>
          <w:type w:val="continuous"/>
          <w:pgSz w:w="12240" w:h="15840" w:code="1"/>
          <w:pgMar w:top="1080" w:right="893" w:bottom="1440" w:left="893" w:header="720" w:footer="720" w:gutter="0"/>
          <w:cols w:num="2" w:space="360"/>
          <w:docGrid w:linePitch="360"/>
        </w:sectPr>
      </w:pPr>
      <w:r>
        <w:rPr>
          <w:noProof/>
          <w:lang w:val="en-US" w:eastAsia="en-US"/>
        </w:rPr>
        <w:t xml:space="preserve"/>
      </w:r>
    </w:p>
    <w:p>
      <w:pPr>
        <w:pStyle w:val="Abstract"/>
      </w:pPr>
      <w:r>
        <w:rPr>
          <w:noProof/>
          <w:lang w:val="en-US" w:eastAsia="en-US"/>
        </w:rPr>
        <w:t xml:space="preserve">Abstract — Short-term electricity load forecasting is a key task for smart-grid operation, industrial energy management, and predictive planning. This paper presents a reproducible comparative study of classical, machine-learning, deep-learning, and foundation-model approaches for hourly load forecasting. The benchmark includes SeasonalNaive, SARIMA, XGBoost, DLinear, PatchTST, iTransformer, Chronos-Bolt-Small, and TimesFM 2.5. The primary dataset is ECL with aggregate electricity load as the target; ETTh1/HUFL is used as a secondary industrial benchmark. Experiments cover 24-, 96-, and 168-hour horizons with a 336-hour context window. Results show that XGBoost and zero-shot foundation models form the leading group on ECL, while DLinear and Chronos-Bolt dominate different horizons on ETTh1/HUFL. The study also evaluates latency and statistical significance, showing that foundation models are practical cold-start tools but do not universally replace strong supervised and classical baselines.</w:t>
      </w:r>
    </w:p>
    <w:p>
      <w:pPr>
        <w:pStyle w:val="Keywords"/>
      </w:pPr>
      <w:r>
        <w:rPr>
          <w:noProof/>
          <w:lang w:val="en-US" w:eastAsia="en-US"/>
        </w:rPr>
        <w:t xml:space="preserve">Keywords — short-term load forecasting, smart grid, time series, SARIMA, XGBoost, deep learning, foundation models, Chronos, TimesFM</w:t>
      </w:r>
    </w:p>
    <w:p>
      <w:pPr>
        <w:pStyle w:val="1"/>
      </w:pPr>
      <w:r>
        <w:rPr>
          <w:noProof/>
          <w:lang w:val="en-US" w:eastAsia="en-US"/>
        </w:rPr>
        <w:t xml:space="preserve">Introduction</w:t>
      </w:r>
    </w:p>
    <w:p>
      <w:pPr>
        <w:pStyle w:val="a3"/>
      </w:pPr>
      <w:r>
        <w:rPr>
          <w:noProof/>
          <w:lang w:val="en-US" w:eastAsia="en-US"/>
        </w:rPr>
        <w:t xml:space="preserve">Short-term electricity load forecasting (STLF) supports dispatch planning, balancing, tariff-aware operation, maintenance planning, and anomaly-aware industrial energy management. Forecasting errors directly affect operational cost, reserve scheduling, and the reliability of downstream decision-support systems.</w:t>
      </w:r>
    </w:p>
    <w:p>
      <w:pPr>
        <w:pStyle w:val="a3"/>
      </w:pPr>
      <w:r>
        <w:rPr>
          <w:noProof/>
          <w:lang w:val="en-US" w:eastAsia="en-US"/>
        </w:rPr>
        <w:t xml:space="preserve">Modern energy systems generate large volumes of hourly and sub-hourly measurements. This makes it possible to train data-driven forecasting models, but it also creates a methodological problem: increasingly complex neural and foundation models must be compared against strong, transparent, and inexpensive baselines.</w:t>
      </w:r>
    </w:p>
    <w:p>
      <w:pPr>
        <w:pStyle w:val="a3"/>
      </w:pPr>
      <w:r>
        <w:rPr>
          <w:noProof/>
          <w:lang w:val="en-US" w:eastAsia="en-US"/>
        </w:rPr>
        <w:t xml:space="preserve">This paper presents a reproducible benchmark that compares classical statistical models, machine-learning methods, deep-learning architectures, and time-series foundation models under the same chronological evaluation protocol.</w:t>
      </w:r>
    </w:p>
    <w:p>
      <w:pPr>
        <w:pStyle w:val="1"/>
      </w:pPr>
      <w:r>
        <w:rPr>
          <w:noProof/>
          <w:lang w:val="en-US" w:eastAsia="en-US"/>
        </w:rPr>
        <w:t xml:space="preserve">Related Work</w:t>
      </w:r>
    </w:p>
    <w:p>
      <w:pPr>
        <w:pStyle w:val="a3"/>
      </w:pPr>
      <w:r>
        <w:rPr>
          <w:noProof/>
          <w:lang w:val="en-US" w:eastAsia="en-US"/>
        </w:rPr>
        <w:t xml:space="preserve">Classical ARIMA-family models remain widely used in industrial forecasting because they are interpretable, computationally inexpensive, and well understood. Seasonal naive models form a necessary reference for load forecasting studies with strong daily or weekly seasonality.</w:t>
      </w:r>
    </w:p>
    <w:p>
      <w:pPr>
        <w:pStyle w:val="a3"/>
      </w:pPr>
      <w:r>
        <w:rPr>
          <w:noProof/>
          <w:lang w:val="en-US" w:eastAsia="en-US"/>
        </w:rPr>
        <w:t xml:space="preserve">Gradient-boosted decision trees are a strong machine-learning baseline for energy forecasting. Deep-learning models, including linear neural baselines and transformer-based architectures, are attractive for long-horizon forecasting but often require careful tuning and sufficient data.</w:t>
      </w:r>
    </w:p>
    <w:p>
      <w:pPr>
        <w:pStyle w:val="a3"/>
      </w:pPr>
      <w:r>
        <w:rPr>
          <w:noProof/>
          <w:lang w:val="en-US" w:eastAsia="en-US"/>
        </w:rPr>
        <w:t xml:space="preserve">Recent time-series foundation models, including Chronos and TimesFM, introduce forecasting without task-specific training. This is useful for cold-start settings, but public benchmark contamination must be acknowledged.</w:t>
      </w:r>
    </w:p>
    <w:p>
      <w:pPr>
        <w:pStyle w:val="1"/>
      </w:pPr>
      <w:r>
        <w:rPr>
          <w:noProof/>
          <w:lang w:val="en-US" w:eastAsia="en-US"/>
        </w:rPr>
        <w:t xml:space="preserve">Materials and Methods</w:t>
      </w:r>
    </w:p>
    <w:p>
      <w:pPr>
        <w:pStyle w:val="a3"/>
      </w:pPr>
      <w:r>
        <w:rPr>
          <w:noProof/>
          <w:lang w:val="en-US" w:eastAsia="en-US"/>
        </w:rPr>
        <w:t xml:space="preserve">The benchmark is formulated as a rolling-origin forecasting problem. Given a fixed context window of 336 hourly observations, each model predicts the next H values, where H takes values of 24, 96, and 168 hours.</w:t>
      </w:r>
    </w:p>
    <w:p>
      <w:pPr>
        <w:pStyle w:val="a3"/>
      </w:pPr>
      <w:r>
        <w:rPr>
          <w:noProof/>
          <w:lang w:val="en-US" w:eastAsia="en-US"/>
        </w:rPr>
        <w:t xml:space="preserve">The primary dataset is ECL, represented as aggregate hourly electricity consumption across 321 clients. The secondary dataset is ETTh1, where HUFL is used as the target variable. The OT variable in ETTh1 is oil temperature and is not interpreted as electricity load.</w:t>
      </w:r>
    </w:p>
    <w:p>
      <w:pPr>
        <w:pStyle w:val="a3"/>
      </w:pPr>
      <w:r>
        <w:rPr>
          <w:noProof/>
          <w:lang w:val="en-US" w:eastAsia="en-US"/>
        </w:rPr>
        <w:t xml:space="preserve">The model set covers four families: classical baselines, feature-based supervised machine learning, trained neural forecasting models, and zero-shot foundation models. Accuracy is evaluated using MAE, RMSE, sMAPE, and wMAPE; efficiency is evaluated using training time and single-window inference latency.</w:t>
      </w:r>
    </w:p>
    <w:p>
      <w:pPr>
        <w:pStyle w:val="1"/>
      </w:pPr>
      <w:r>
        <w:rPr>
          <w:noProof/>
          <w:lang w:val="en-US" w:eastAsia="en-US"/>
        </w:rPr>
        <w:t xml:space="preserve">Results</w:t>
      </w:r>
    </w:p>
    <w:p>
      <w:pPr>
        <w:pStyle w:val="a3"/>
      </w:pPr>
      <w:r>
        <w:rPr>
          <w:noProof/>
          <w:lang w:val="en-US" w:eastAsia="en-US"/>
        </w:rPr>
        <w:t xml:space="preserve">Figure 1 summarizes the execution pipeline. The pipeline covers data validation, chronological splitting, leakage-safe preprocessing, model execution, metric calculation, statistical tests, and paper-ready artifact generation.</w:t>
      </w:r>
    </w:p>
    <w:p>
      <w:pPr>
        <w:pStyle w:val="ab"/>
        <w:jc w:val="center"/>
      </w:pPr>
      <w:r>
        <w:rPr>
          <w:noProof/>
        </w:rPr>
        <w:drawing>
          <wp:inline distT="0" distB="0" distL="0" distR="0">
            <wp:extent cx="2971800" cy="3519236"/>
            <wp:effectExtent l="0" t="0" r="0" b="0"/>
            <wp:docPr id="113" name="fig1_methodology.png"/>
            <wp:cNvGraphicFramePr>
              <a:graphicFrameLocks noChangeAspect="1"/>
            </wp:cNvGraphicFramePr>
            <a:graphic>
              <a:graphicData uri="http://schemas.openxmlformats.org/drawingml/2006/picture">
                <pic:pic>
                  <pic:nvPicPr>
                    <pic:cNvPr id="0" name="fig1_methodology.png"/>
                    <pic:cNvPicPr/>
                  </pic:nvPicPr>
                  <pic:blipFill>
                    <a:blip r:embed="rId13"/>
                    <a:stretch>
                      <a:fillRect/>
                    </a:stretch>
                  </pic:blipFill>
                  <pic:spPr>
                    <a:xfrm>
                      <a:off x="0" y="0"/>
                      <a:ext cx="2971800" cy="3519236"/>
                    </a:xfrm>
                    <a:prstGeom prst="rect">
                      <a:avLst/>
                    </a:prstGeom>
                  </pic:spPr>
                </pic:pic>
              </a:graphicData>
            </a:graphic>
          </wp:inline>
        </w:drawing>
      </w:r>
    </w:p>
    <w:p>
      <w:pPr>
        <w:pStyle w:val="figurecaption"/>
      </w:pPr>
      <w:r>
        <w:rPr>
          <w:noProof/>
          <w:lang w:val="en-US" w:eastAsia="en-US"/>
        </w:rPr>
        <w:t xml:space="preserve">Experimental pipeline used for the benchmark.</w:t>
      </w:r>
    </w:p>
    <w:p>
      <w:pPr>
        <w:pStyle w:val="a3"/>
      </w:pPr>
      <w:r>
        <w:rPr>
          <w:noProof/>
          <w:lang w:val="en-US" w:eastAsia="en-US"/>
        </w:rPr>
        <w:t xml:space="preserve">On ECL, the top group consists of TimesFM, Chronos-Bolt, and XGBoost. Their differences are small across all horizons. TimesFM is marginally best at H=24, while XGBoost is marginally best at H=96 and H=168. SARIMA remains close to this leading group.</w:t>
      </w:r>
    </w:p>
    <w:p>
      <w:pPr>
        <w:pStyle w:val="ab"/>
        <w:jc w:val="center"/>
      </w:pPr>
      <w:r>
        <w:rPr>
          <w:noProof/>
        </w:rPr>
        <w:drawing>
          <wp:inline distT="0" distB="0" distL="0" distR="0">
            <wp:extent cx="2971800" cy="1535430"/>
            <wp:effectExtent l="0" t="0" r="0" b="0"/>
            <wp:docPr id="114" name="fig2_forecasts.png"/>
            <wp:cNvGraphicFramePr>
              <a:graphicFrameLocks noChangeAspect="1"/>
            </wp:cNvGraphicFramePr>
            <a:graphic>
              <a:graphicData uri="http://schemas.openxmlformats.org/drawingml/2006/picture">
                <pic:pic>
                  <pic:nvPicPr>
                    <pic:cNvPr id="0" name="fig2_forecasts.png"/>
                    <pic:cNvPicPr/>
                  </pic:nvPicPr>
                  <pic:blipFill>
                    <a:blip r:embed="rId14"/>
                    <a:stretch>
                      <a:fillRect/>
                    </a:stretch>
                  </pic:blipFill>
                  <pic:spPr>
                    <a:xfrm>
                      <a:off x="0" y="0"/>
                      <a:ext cx="2971800" cy="1535430"/>
                    </a:xfrm>
                    <a:prstGeom prst="rect">
                      <a:avLst/>
                    </a:prstGeom>
                  </pic:spPr>
                </pic:pic>
              </a:graphicData>
            </a:graphic>
          </wp:inline>
        </w:drawing>
      </w:r>
    </w:p>
    <w:p>
      <w:pPr>
        <w:pStyle w:val="figurecaption"/>
      </w:pPr>
      <w:r>
        <w:rPr>
          <w:noProof/>
          <w:lang w:val="en-US" w:eastAsia="en-US"/>
        </w:rPr>
        <w:t xml:space="preserve">Sample 168-hour ECL forecast window.</w:t>
      </w:r>
    </w:p>
    <w:tbl>
      <w:tblPr>
        <w:tblW w:w="0" w:type="auto"/>
        <w:tblBorders>
          <w:top w:val="single" w:sz="4" w:color="808080"/>
          <w:left w:val="single" w:sz="4" w:color="808080"/>
          <w:bottom w:val="single" w:sz="4" w:color="808080"/>
          <w:right w:val="single" w:sz="4" w:color="808080"/>
          <w:insideH w:val="single" w:sz="4" w:color="D1D5DB"/>
          <w:insideV w:val="single" w:sz="4" w:color="D1D5DB"/>
        </w:tblBorders>
      </w:tblPr>
      <w:tblGrid>
        <w:gridCol w:w="1800"/>
        <w:gridCol w:w="1800"/>
        <w:gridCol w:w="1800"/>
        <w:gridCol w:w="1800"/>
      </w:tblGrid>
      <w:tr>
        <w:tc>
          <w:tcPr>
            <w:tcW w:w="1800" w:type="dxa"/>
            <w:shd w:fill="E5E7EB"/>
          </w:tcPr>
          <w:p>
            <w:pPr>
              <w:pStyle w:val="a3"/>
            </w:pPr>
            <w:r>
              <w:rPr>
                <w:noProof/>
                <w:lang w:val="en-US" w:eastAsia="en-US"/>
              </w:rPr>
              <w:t xml:space="preserve">Dataset/H</w:t>
            </w:r>
          </w:p>
        </w:tc>
        <w:tc>
          <w:tcPr>
            <w:tcW w:w="1800" w:type="dxa"/>
            <w:shd w:fill="E5E7EB"/>
          </w:tcPr>
          <w:p>
            <w:pPr>
              <w:pStyle w:val="a3"/>
            </w:pPr>
            <w:r>
              <w:rPr>
                <w:noProof/>
                <w:lang w:val="en-US" w:eastAsia="en-US"/>
              </w:rPr>
              <w:t xml:space="preserve">Best model</w:t>
            </w:r>
          </w:p>
        </w:tc>
        <w:tc>
          <w:tcPr>
            <w:tcW w:w="1800" w:type="dxa"/>
            <w:shd w:fill="E5E7EB"/>
          </w:tcPr>
          <w:p>
            <w:pPr>
              <w:pStyle w:val="a3"/>
            </w:pPr>
            <w:r>
              <w:rPr>
                <w:noProof/>
                <w:lang w:val="en-US" w:eastAsia="en-US"/>
              </w:rPr>
              <w:t xml:space="preserve">Close competitors</w:t>
            </w:r>
          </w:p>
        </w:tc>
        <w:tc>
          <w:tcPr>
            <w:tcW w:w="1800" w:type="dxa"/>
            <w:shd w:fill="E5E7EB"/>
          </w:tcPr>
          <w:p>
            <w:pPr>
              <w:pStyle w:val="a3"/>
            </w:pPr>
            <w:r>
              <w:rPr>
                <w:noProof/>
                <w:lang w:val="en-US" w:eastAsia="en-US"/>
              </w:rPr>
              <w:t xml:space="preserve">Interpretation</w:t>
            </w:r>
          </w:p>
        </w:tc>
      </w:tr>
      <w:tr>
        <w:tc>
          <w:tcPr>
            <w:tcW w:w="1800" w:type="dxa"/>
          </w:tcPr>
          <w:p>
            <w:pPr>
              <w:pStyle w:val="a3"/>
            </w:pPr>
            <w:r>
              <w:rPr>
                <w:noProof/>
                <w:lang w:val="en-US" w:eastAsia="en-US"/>
              </w:rPr>
              <w:t xml:space="preserve">ECL/H24</w:t>
            </w:r>
          </w:p>
        </w:tc>
        <w:tc>
          <w:tcPr>
            <w:tcW w:w="1800" w:type="dxa"/>
          </w:tcPr>
          <w:p>
            <w:pPr>
              <w:pStyle w:val="a3"/>
            </w:pPr>
            <w:r>
              <w:rPr>
                <w:noProof/>
                <w:lang w:val="en-US" w:eastAsia="en-US"/>
              </w:rPr>
              <w:t xml:space="preserve">TimesFM</w:t>
            </w:r>
          </w:p>
        </w:tc>
        <w:tc>
          <w:tcPr>
            <w:tcW w:w="1800" w:type="dxa"/>
          </w:tcPr>
          <w:p>
            <w:pPr>
              <w:pStyle w:val="a3"/>
            </w:pPr>
            <w:r>
              <w:rPr>
                <w:noProof/>
                <w:lang w:val="en-US" w:eastAsia="en-US"/>
              </w:rPr>
              <w:t xml:space="preserve">Chronos-Bolt, XGBoost</w:t>
            </w:r>
          </w:p>
        </w:tc>
        <w:tc>
          <w:tcPr>
            <w:tcW w:w="1800" w:type="dxa"/>
          </w:tcPr>
          <w:p>
            <w:pPr>
              <w:pStyle w:val="a3"/>
            </w:pPr>
            <w:r>
              <w:rPr>
                <w:noProof/>
                <w:lang w:val="en-US" w:eastAsia="en-US"/>
              </w:rPr>
              <w:t xml:space="preserve">Near tie</w:t>
            </w:r>
          </w:p>
        </w:tc>
      </w:tr>
      <w:tr>
        <w:tc>
          <w:tcPr>
            <w:tcW w:w="1800" w:type="dxa"/>
          </w:tcPr>
          <w:p>
            <w:pPr>
              <w:pStyle w:val="a3"/>
            </w:pPr>
            <w:r>
              <w:rPr>
                <w:noProof/>
                <w:lang w:val="en-US" w:eastAsia="en-US"/>
              </w:rPr>
              <w:t xml:space="preserve">ECL/H96</w:t>
            </w:r>
          </w:p>
        </w:tc>
        <w:tc>
          <w:tcPr>
            <w:tcW w:w="1800" w:type="dxa"/>
          </w:tcPr>
          <w:p>
            <w:pPr>
              <w:pStyle w:val="a3"/>
            </w:pPr>
            <w:r>
              <w:rPr>
                <w:noProof/>
                <w:lang w:val="en-US" w:eastAsia="en-US"/>
              </w:rPr>
              <w:t xml:space="preserve">XGBoost</w:t>
            </w:r>
          </w:p>
        </w:tc>
        <w:tc>
          <w:tcPr>
            <w:tcW w:w="1800" w:type="dxa"/>
          </w:tcPr>
          <w:p>
            <w:pPr>
              <w:pStyle w:val="a3"/>
            </w:pPr>
            <w:r>
              <w:rPr>
                <w:noProof/>
                <w:lang w:val="en-US" w:eastAsia="en-US"/>
              </w:rPr>
              <w:t xml:space="preserve">Chronos-Bolt, TimesFM</w:t>
            </w:r>
          </w:p>
        </w:tc>
        <w:tc>
          <w:tcPr>
            <w:tcW w:w="1800" w:type="dxa"/>
          </w:tcPr>
          <w:p>
            <w:pPr>
              <w:pStyle w:val="a3"/>
            </w:pPr>
            <w:r>
              <w:rPr>
                <w:noProof/>
                <w:lang w:val="en-US" w:eastAsia="en-US"/>
              </w:rPr>
              <w:t xml:space="preserve">Tree model leads</w:t>
            </w:r>
          </w:p>
        </w:tc>
      </w:tr>
      <w:tr>
        <w:tc>
          <w:tcPr>
            <w:tcW w:w="1800" w:type="dxa"/>
          </w:tcPr>
          <w:p>
            <w:pPr>
              <w:pStyle w:val="a3"/>
            </w:pPr>
            <w:r>
              <w:rPr>
                <w:noProof/>
                <w:lang w:val="en-US" w:eastAsia="en-US"/>
              </w:rPr>
              <w:t xml:space="preserve">ECL/H168</w:t>
            </w:r>
          </w:p>
        </w:tc>
        <w:tc>
          <w:tcPr>
            <w:tcW w:w="1800" w:type="dxa"/>
          </w:tcPr>
          <w:p>
            <w:pPr>
              <w:pStyle w:val="a3"/>
            </w:pPr>
            <w:r>
              <w:rPr>
                <w:noProof/>
                <w:lang w:val="en-US" w:eastAsia="en-US"/>
              </w:rPr>
              <w:t xml:space="preserve">XGBoost</w:t>
            </w:r>
          </w:p>
        </w:tc>
        <w:tc>
          <w:tcPr>
            <w:tcW w:w="1800" w:type="dxa"/>
          </w:tcPr>
          <w:p>
            <w:pPr>
              <w:pStyle w:val="a3"/>
            </w:pPr>
            <w:r>
              <w:rPr>
                <w:noProof/>
                <w:lang w:val="en-US" w:eastAsia="en-US"/>
              </w:rPr>
              <w:t xml:space="preserve">Chronos-Bolt, TimesFM</w:t>
            </w:r>
          </w:p>
        </w:tc>
        <w:tc>
          <w:tcPr>
            <w:tcW w:w="1800" w:type="dxa"/>
          </w:tcPr>
          <w:p>
            <w:pPr>
              <w:pStyle w:val="a3"/>
            </w:pPr>
            <w:r>
              <w:rPr>
                <w:noProof/>
                <w:lang w:val="en-US" w:eastAsia="en-US"/>
              </w:rPr>
              <w:t xml:space="preserve">Tree model robust</w:t>
            </w:r>
          </w:p>
        </w:tc>
      </w:tr>
      <w:tr>
        <w:tc>
          <w:tcPr>
            <w:tcW w:w="1800" w:type="dxa"/>
          </w:tcPr>
          <w:p>
            <w:pPr>
              <w:pStyle w:val="a3"/>
            </w:pPr>
            <w:r>
              <w:rPr>
                <w:noProof/>
                <w:lang w:val="en-US" w:eastAsia="en-US"/>
              </w:rPr>
              <w:t xml:space="preserve">ETTh1/H24</w:t>
            </w:r>
          </w:p>
        </w:tc>
        <w:tc>
          <w:tcPr>
            <w:tcW w:w="1800" w:type="dxa"/>
          </w:tcPr>
          <w:p>
            <w:pPr>
              <w:pStyle w:val="a3"/>
            </w:pPr>
            <w:r>
              <w:rPr>
                <w:noProof/>
                <w:lang w:val="en-US" w:eastAsia="en-US"/>
              </w:rPr>
              <w:t xml:space="preserve">Chronos-Bolt</w:t>
            </w:r>
          </w:p>
        </w:tc>
        <w:tc>
          <w:tcPr>
            <w:tcW w:w="1800" w:type="dxa"/>
          </w:tcPr>
          <w:p>
            <w:pPr>
              <w:pStyle w:val="a3"/>
            </w:pPr>
            <w:r>
              <w:rPr>
                <w:noProof/>
                <w:lang w:val="en-US" w:eastAsia="en-US"/>
              </w:rPr>
              <w:t xml:space="preserve">PatchTST, DLinear</w:t>
            </w:r>
          </w:p>
        </w:tc>
        <w:tc>
          <w:tcPr>
            <w:tcW w:w="1800" w:type="dxa"/>
          </w:tcPr>
          <w:p>
            <w:pPr>
              <w:pStyle w:val="a3"/>
            </w:pPr>
            <w:r>
              <w:rPr>
                <w:noProof/>
                <w:lang w:val="en-US" w:eastAsia="en-US"/>
              </w:rPr>
              <w:t xml:space="preserve">Foundation model strongest</w:t>
            </w:r>
          </w:p>
        </w:tc>
      </w:tr>
      <w:tr>
        <w:tc>
          <w:tcPr>
            <w:tcW w:w="1800" w:type="dxa"/>
          </w:tcPr>
          <w:p>
            <w:pPr>
              <w:pStyle w:val="a3"/>
            </w:pPr>
            <w:r>
              <w:rPr>
                <w:noProof/>
                <w:lang w:val="en-US" w:eastAsia="en-US"/>
              </w:rPr>
              <w:t xml:space="preserve">ETTh1/H96</w:t>
            </w:r>
          </w:p>
        </w:tc>
        <w:tc>
          <w:tcPr>
            <w:tcW w:w="1800" w:type="dxa"/>
          </w:tcPr>
          <w:p>
            <w:pPr>
              <w:pStyle w:val="a3"/>
            </w:pPr>
            <w:r>
              <w:rPr>
                <w:noProof/>
                <w:lang w:val="en-US" w:eastAsia="en-US"/>
              </w:rPr>
              <w:t xml:space="preserve">DLinear</w:t>
            </w:r>
          </w:p>
        </w:tc>
        <w:tc>
          <w:tcPr>
            <w:tcW w:w="1800" w:type="dxa"/>
          </w:tcPr>
          <w:p>
            <w:pPr>
              <w:pStyle w:val="a3"/>
            </w:pPr>
            <w:r>
              <w:rPr>
                <w:noProof/>
                <w:lang w:val="en-US" w:eastAsia="en-US"/>
              </w:rPr>
              <w:t xml:space="preserve">Chronos-Bolt, PatchTST</w:t>
            </w:r>
          </w:p>
        </w:tc>
        <w:tc>
          <w:tcPr>
            <w:tcW w:w="1800" w:type="dxa"/>
          </w:tcPr>
          <w:p>
            <w:pPr>
              <w:pStyle w:val="a3"/>
            </w:pPr>
            <w:r>
              <w:rPr>
                <w:noProof/>
                <w:lang w:val="en-US" w:eastAsia="en-US"/>
              </w:rPr>
              <w:t xml:space="preserve">Linear neural model wins</w:t>
            </w:r>
          </w:p>
        </w:tc>
      </w:tr>
      <w:tr>
        <w:tc>
          <w:tcPr>
            <w:tcW w:w="1800" w:type="dxa"/>
          </w:tcPr>
          <w:p>
            <w:pPr>
              <w:pStyle w:val="a3"/>
            </w:pPr>
            <w:r>
              <w:rPr>
                <w:noProof/>
                <w:lang w:val="en-US" w:eastAsia="en-US"/>
              </w:rPr>
              <w:t xml:space="preserve">ETTh1/H168</w:t>
            </w:r>
          </w:p>
        </w:tc>
        <w:tc>
          <w:tcPr>
            <w:tcW w:w="1800" w:type="dxa"/>
          </w:tcPr>
          <w:p>
            <w:pPr>
              <w:pStyle w:val="a3"/>
            </w:pPr>
            <w:r>
              <w:rPr>
                <w:noProof/>
                <w:lang w:val="en-US" w:eastAsia="en-US"/>
              </w:rPr>
              <w:t xml:space="preserve">DLinear</w:t>
            </w:r>
          </w:p>
        </w:tc>
        <w:tc>
          <w:tcPr>
            <w:tcW w:w="1800" w:type="dxa"/>
          </w:tcPr>
          <w:p>
            <w:pPr>
              <w:pStyle w:val="a3"/>
            </w:pPr>
            <w:r>
              <w:rPr>
                <w:noProof/>
                <w:lang w:val="en-US" w:eastAsia="en-US"/>
              </w:rPr>
              <w:t xml:space="preserve">Chronos-Bolt, TimesFM</w:t>
            </w:r>
          </w:p>
        </w:tc>
        <w:tc>
          <w:tcPr>
            <w:tcW w:w="1800" w:type="dxa"/>
          </w:tcPr>
          <w:p>
            <w:pPr>
              <w:pStyle w:val="a3"/>
            </w:pPr>
            <w:r>
              <w:rPr>
                <w:noProof/>
                <w:lang w:val="en-US" w:eastAsia="en-US"/>
              </w:rPr>
              <w:t xml:space="preserve">DLinear strongest</w:t>
            </w:r>
          </w:p>
        </w:tc>
      </w:tr>
    </w:tbl>
    <w:p>
      <w:pPr>
        <w:pStyle w:val="figurecaption"/>
      </w:pPr>
      <w:r>
        <w:rPr>
          <w:noProof/>
          <w:lang w:val="en-US" w:eastAsia="en-US"/>
        </w:rPr>
        <w:t xml:space="preserve">Summary of the main accuracy results.</w:t>
      </w:r>
    </w:p>
    <w:p>
      <w:pPr>
        <w:pStyle w:val="a3"/>
      </w:pPr>
      <w:r>
        <w:rPr>
          <w:noProof/>
          <w:lang w:val="en-US" w:eastAsia="en-US"/>
        </w:rPr>
        <w:t xml:space="preserve">On ETTh1/HUFL, the ranking changes. Chronos-Bolt is best at H=24, while DLinear is best at H=96 and H=168. This result supports the view that simple linear neural models remain highly competitive on some industrial time-series benchmarks.</w:t>
      </w:r>
    </w:p>
    <w:p>
      <w:pPr>
        <w:pStyle w:val="ab"/>
        <w:jc w:val="center"/>
      </w:pPr>
      <w:r>
        <w:rPr>
          <w:noProof/>
        </w:rPr>
        <w:drawing>
          <wp:inline distT="0" distB="0" distL="0" distR="0">
            <wp:extent cx="2971800" cy="1675014"/>
            <wp:effectExtent l="0" t="0" r="0" b="0"/>
            <wp:docPr id="115" name="fig3_heatmap.png"/>
            <wp:cNvGraphicFramePr>
              <a:graphicFrameLocks noChangeAspect="1"/>
            </wp:cNvGraphicFramePr>
            <a:graphic>
              <a:graphicData uri="http://schemas.openxmlformats.org/drawingml/2006/picture">
                <pic:pic>
                  <pic:nvPicPr>
                    <pic:cNvPr id="0" name="fig3_heatmap.png"/>
                    <pic:cNvPicPr/>
                  </pic:nvPicPr>
                  <pic:blipFill>
                    <a:blip r:embed="rId15"/>
                    <a:stretch>
                      <a:fillRect/>
                    </a:stretch>
                  </pic:blipFill>
                  <pic:spPr>
                    <a:xfrm>
                      <a:off x="0" y="0"/>
                      <a:ext cx="2971800" cy="1675014"/>
                    </a:xfrm>
                    <a:prstGeom prst="rect">
                      <a:avLst/>
                    </a:prstGeom>
                  </pic:spPr>
                </pic:pic>
              </a:graphicData>
            </a:graphic>
          </wp:inline>
        </w:drawing>
      </w:r>
    </w:p>
    <w:p>
      <w:pPr>
        <w:pStyle w:val="figurecaption"/>
      </w:pPr>
      <w:r>
        <w:rPr>
          <w:noProof/>
          <w:lang w:val="en-US" w:eastAsia="en-US"/>
        </w:rPr>
        <w:t xml:space="preserve">Relative MAE by dataset and horizon.</w:t>
      </w:r>
    </w:p>
    <w:p>
      <w:pPr>
        <w:pStyle w:val="ab"/>
        <w:jc w:val="center"/>
      </w:pPr>
      <w:r>
        <w:rPr>
          <w:noProof/>
        </w:rPr>
        <w:drawing>
          <wp:inline distT="0" distB="0" distL="0" distR="0">
            <wp:extent cx="2971800" cy="1754777"/>
            <wp:effectExtent l="0" t="0" r="0" b="0"/>
            <wp:docPr id="117" name="fig6_ecl_accuracy.png"/>
            <wp:cNvGraphicFramePr>
              <a:graphicFrameLocks noChangeAspect="1"/>
            </wp:cNvGraphicFramePr>
            <a:graphic>
              <a:graphicData uri="http://schemas.openxmlformats.org/drawingml/2006/picture">
                <pic:pic>
                  <pic:nvPicPr>
                    <pic:cNvPr id="0" name="fig6_ecl_accuracy.png"/>
                    <pic:cNvPicPr/>
                  </pic:nvPicPr>
                  <pic:blipFill>
                    <a:blip r:embed="rId17"/>
                    <a:stretch>
                      <a:fillRect/>
                    </a:stretch>
                  </pic:blipFill>
                  <pic:spPr>
                    <a:xfrm>
                      <a:off x="0" y="0"/>
                      <a:ext cx="2971800" cy="1754777"/>
                    </a:xfrm>
                    <a:prstGeom prst="rect">
                      <a:avLst/>
                    </a:prstGeom>
                  </pic:spPr>
                </pic:pic>
              </a:graphicData>
            </a:graphic>
          </wp:inline>
        </w:drawing>
      </w:r>
    </w:p>
    <w:p>
      <w:pPr>
        <w:pStyle w:val="figurecaption"/>
      </w:pPr>
      <w:r>
        <w:rPr>
          <w:noProof/>
          <w:lang w:val="en-US" w:eastAsia="en-US"/>
        </w:rPr>
        <w:t xml:space="preserve">MAE across forecast horizons on ECL.</w:t>
      </w:r>
    </w:p>
    <w:p>
      <w:pPr>
        <w:pStyle w:val="ab"/>
        <w:jc w:val="center"/>
      </w:pPr>
      <w:r>
        <w:rPr>
          <w:noProof/>
        </w:rPr>
        <w:drawing>
          <wp:inline distT="0" distB="0" distL="0" distR="0">
            <wp:extent cx="2971800" cy="1754777"/>
            <wp:effectExtent l="0" t="0" r="0" b="0"/>
            <wp:docPr id="118" name="fig7_etth1_accuracy.png"/>
            <wp:cNvGraphicFramePr>
              <a:graphicFrameLocks noChangeAspect="1"/>
            </wp:cNvGraphicFramePr>
            <a:graphic>
              <a:graphicData uri="http://schemas.openxmlformats.org/drawingml/2006/picture">
                <pic:pic>
                  <pic:nvPicPr>
                    <pic:cNvPr id="0" name="fig7_etth1_accuracy.png"/>
                    <pic:cNvPicPr/>
                  </pic:nvPicPr>
                  <pic:blipFill>
                    <a:blip r:embed="rId18"/>
                    <a:stretch>
                      <a:fillRect/>
                    </a:stretch>
                  </pic:blipFill>
                  <pic:spPr>
                    <a:xfrm>
                      <a:off x="0" y="0"/>
                      <a:ext cx="2971800" cy="1754777"/>
                    </a:xfrm>
                    <a:prstGeom prst="rect">
                      <a:avLst/>
                    </a:prstGeom>
                  </pic:spPr>
                </pic:pic>
              </a:graphicData>
            </a:graphic>
          </wp:inline>
        </w:drawing>
      </w:r>
    </w:p>
    <w:p>
      <w:pPr>
        <w:pStyle w:val="figurecaption"/>
      </w:pPr>
      <w:r>
        <w:rPr>
          <w:noProof/>
          <w:lang w:val="en-US" w:eastAsia="en-US"/>
        </w:rPr>
        <w:t xml:space="preserve">MAE across forecast horizons on ETTh1/HUFL.</w:t>
      </w:r>
    </w:p>
    <w:p>
      <w:pPr>
        <w:pStyle w:val="a3"/>
      </w:pPr>
      <w:r>
        <w:rPr>
          <w:noProof/>
          <w:lang w:val="en-US" w:eastAsia="en-US"/>
        </w:rPr>
        <w:t xml:space="preserve">The Diebold-Mariano tests reject equal predictive accuracy for the top model pairs in all evaluated dataset-horizon combinations. However, on ECL the absolute differences among the top three methods are operationally small.</w:t>
      </w:r>
    </w:p>
    <w:p>
      <w:pPr>
        <w:pStyle w:val="ab"/>
        <w:jc w:val="center"/>
      </w:pPr>
      <w:r>
        <w:rPr>
          <w:noProof/>
        </w:rPr>
        <w:drawing>
          <wp:inline distT="0" distB="0" distL="0" distR="0">
            <wp:extent cx="2971800" cy="1485900"/>
            <wp:effectExtent l="0" t="0" r="0" b="0"/>
            <wp:docPr id="116" name="fig4_pareto.png"/>
            <wp:cNvGraphicFramePr>
              <a:graphicFrameLocks noChangeAspect="1"/>
            </wp:cNvGraphicFramePr>
            <a:graphic>
              <a:graphicData uri="http://schemas.openxmlformats.org/drawingml/2006/picture">
                <pic:pic>
                  <pic:nvPicPr>
                    <pic:cNvPr id="0" name="fig4_pareto.png"/>
                    <pic:cNvPicPr/>
                  </pic:nvPicPr>
                  <pic:blipFill>
                    <a:blip r:embed="rId16"/>
                    <a:stretch>
                      <a:fillRect/>
                    </a:stretch>
                  </pic:blipFill>
                  <pic:spPr>
                    <a:xfrm>
                      <a:off x="0" y="0"/>
                      <a:ext cx="2971800" cy="1485900"/>
                    </a:xfrm>
                    <a:prstGeom prst="rect">
                      <a:avLst/>
                    </a:prstGeom>
                  </pic:spPr>
                </pic:pic>
              </a:graphicData>
            </a:graphic>
          </wp:inline>
        </w:drawing>
      </w:r>
    </w:p>
    <w:p>
      <w:pPr>
        <w:pStyle w:val="figurecaption"/>
      </w:pPr>
      <w:r>
        <w:rPr>
          <w:noProof/>
          <w:lang w:val="en-US" w:eastAsia="en-US"/>
        </w:rPr>
        <w:t xml:space="preserve">Accuracy-latency view at H=96.</w:t>
      </w:r>
    </w:p>
    <w:tbl>
      <w:tblPr>
        <w:tblW w:w="0" w:type="auto"/>
        <w:tblBorders>
          <w:top w:val="single" w:sz="4" w:color="808080"/>
          <w:left w:val="single" w:sz="4" w:color="808080"/>
          <w:bottom w:val="single" w:sz="4" w:color="808080"/>
          <w:right w:val="single" w:sz="4" w:color="808080"/>
          <w:insideH w:val="single" w:sz="4" w:color="D1D5DB"/>
          <w:insideV w:val="single" w:sz="4" w:color="D1D5DB"/>
        </w:tblBorders>
      </w:tblPr>
      <w:tblGrid>
        <w:gridCol w:w="1800"/>
        <w:gridCol w:w="1800"/>
        <w:gridCol w:w="1800"/>
        <w:gridCol w:w="1800"/>
      </w:tblGrid>
      <w:tr>
        <w:tc>
          <w:tcPr>
            <w:tcW w:w="1800" w:type="dxa"/>
            <w:shd w:fill="E5E7EB"/>
          </w:tcPr>
          <w:p>
            <w:pPr>
              <w:pStyle w:val="a3"/>
            </w:pPr>
            <w:r>
              <w:rPr>
                <w:noProof/>
                <w:lang w:val="en-US" w:eastAsia="en-US"/>
              </w:rPr>
              <w:t xml:space="preserve">Family</w:t>
            </w:r>
          </w:p>
        </w:tc>
        <w:tc>
          <w:tcPr>
            <w:tcW w:w="1800" w:type="dxa"/>
            <w:shd w:fill="E5E7EB"/>
          </w:tcPr>
          <w:p>
            <w:pPr>
              <w:pStyle w:val="a3"/>
            </w:pPr>
            <w:r>
              <w:rPr>
                <w:noProof/>
                <w:lang w:val="en-US" w:eastAsia="en-US"/>
              </w:rPr>
              <w:t xml:space="preserve">Training cost</w:t>
            </w:r>
          </w:p>
        </w:tc>
        <w:tc>
          <w:tcPr>
            <w:tcW w:w="1800" w:type="dxa"/>
            <w:shd w:fill="E5E7EB"/>
          </w:tcPr>
          <w:p>
            <w:pPr>
              <w:pStyle w:val="a3"/>
            </w:pPr>
            <w:r>
              <w:rPr>
                <w:noProof/>
                <w:lang w:val="en-US" w:eastAsia="en-US"/>
              </w:rPr>
              <w:t xml:space="preserve">Inference profile</w:t>
            </w:r>
          </w:p>
        </w:tc>
        <w:tc>
          <w:tcPr>
            <w:tcW w:w="1800" w:type="dxa"/>
            <w:shd w:fill="E5E7EB"/>
          </w:tcPr>
          <w:p>
            <w:pPr>
              <w:pStyle w:val="a3"/>
            </w:pPr>
            <w:r>
              <w:rPr>
                <w:noProof/>
                <w:lang w:val="en-US" w:eastAsia="en-US"/>
              </w:rPr>
              <w:t xml:space="preserve">Practical role</w:t>
            </w:r>
          </w:p>
        </w:tc>
      </w:tr>
      <w:tr>
        <w:tc>
          <w:tcPr>
            <w:tcW w:w="1800" w:type="dxa"/>
          </w:tcPr>
          <w:p>
            <w:pPr>
              <w:pStyle w:val="a3"/>
            </w:pPr>
            <w:r>
              <w:rPr>
                <w:noProof/>
                <w:lang w:val="en-US" w:eastAsia="en-US"/>
              </w:rPr>
              <w:t xml:space="preserve">SeasonalNaive/SARIMA</w:t>
            </w:r>
          </w:p>
        </w:tc>
        <w:tc>
          <w:tcPr>
            <w:tcW w:w="1800" w:type="dxa"/>
          </w:tcPr>
          <w:p>
            <w:pPr>
              <w:pStyle w:val="a3"/>
            </w:pPr>
            <w:r>
              <w:rPr>
                <w:noProof/>
                <w:lang w:val="en-US" w:eastAsia="en-US"/>
              </w:rPr>
              <w:t xml:space="preserve">Low to moderate</w:t>
            </w:r>
          </w:p>
        </w:tc>
        <w:tc>
          <w:tcPr>
            <w:tcW w:w="1800" w:type="dxa"/>
          </w:tcPr>
          <w:p>
            <w:pPr>
              <w:pStyle w:val="a3"/>
            </w:pPr>
            <w:r>
              <w:rPr>
                <w:noProof/>
                <w:lang w:val="en-US" w:eastAsia="en-US"/>
              </w:rPr>
              <w:t xml:space="preserve">Very low latency</w:t>
            </w:r>
          </w:p>
        </w:tc>
        <w:tc>
          <w:tcPr>
            <w:tcW w:w="1800" w:type="dxa"/>
          </w:tcPr>
          <w:p>
            <w:pPr>
              <w:pStyle w:val="a3"/>
            </w:pPr>
            <w:r>
              <w:rPr>
                <w:noProof/>
                <w:lang w:val="en-US" w:eastAsia="en-US"/>
              </w:rPr>
              <w:t xml:space="preserve">Reference and fallback</w:t>
            </w:r>
          </w:p>
        </w:tc>
      </w:tr>
      <w:tr>
        <w:tc>
          <w:tcPr>
            <w:tcW w:w="1800" w:type="dxa"/>
          </w:tcPr>
          <w:p>
            <w:pPr>
              <w:pStyle w:val="a3"/>
            </w:pPr>
            <w:r>
              <w:rPr>
                <w:noProof/>
                <w:lang w:val="en-US" w:eastAsia="en-US"/>
              </w:rPr>
              <w:t xml:space="preserve">XGBoost</w:t>
            </w:r>
          </w:p>
        </w:tc>
        <w:tc>
          <w:tcPr>
            <w:tcW w:w="1800" w:type="dxa"/>
          </w:tcPr>
          <w:p>
            <w:pPr>
              <w:pStyle w:val="a3"/>
            </w:pPr>
            <w:r>
              <w:rPr>
                <w:noProof/>
                <w:lang w:val="en-US" w:eastAsia="en-US"/>
              </w:rPr>
              <w:t xml:space="preserve">Low</w:t>
            </w:r>
          </w:p>
        </w:tc>
        <w:tc>
          <w:tcPr>
            <w:tcW w:w="1800" w:type="dxa"/>
          </w:tcPr>
          <w:p>
            <w:pPr>
              <w:pStyle w:val="a3"/>
            </w:pPr>
            <w:r>
              <w:rPr>
                <w:noProof/>
                <w:lang w:val="en-US" w:eastAsia="en-US"/>
              </w:rPr>
              <w:t xml:space="preserve">Low latency</w:t>
            </w:r>
          </w:p>
        </w:tc>
        <w:tc>
          <w:tcPr>
            <w:tcW w:w="1800" w:type="dxa"/>
          </w:tcPr>
          <w:p>
            <w:pPr>
              <w:pStyle w:val="a3"/>
            </w:pPr>
            <w:r>
              <w:rPr>
                <w:noProof/>
                <w:lang w:val="en-US" w:eastAsia="en-US"/>
              </w:rPr>
              <w:t xml:space="preserve">Strong supervised baseline</w:t>
            </w:r>
          </w:p>
        </w:tc>
      </w:tr>
      <w:tr>
        <w:tc>
          <w:tcPr>
            <w:tcW w:w="1800" w:type="dxa"/>
          </w:tcPr>
          <w:p>
            <w:pPr>
              <w:pStyle w:val="a3"/>
            </w:pPr>
            <w:r>
              <w:rPr>
                <w:noProof/>
                <w:lang w:val="en-US" w:eastAsia="en-US"/>
              </w:rPr>
              <w:t xml:space="preserve">DLinear/PatchTST/iTransformer</w:t>
            </w:r>
          </w:p>
        </w:tc>
        <w:tc>
          <w:tcPr>
            <w:tcW w:w="1800" w:type="dxa"/>
          </w:tcPr>
          <w:p>
            <w:pPr>
              <w:pStyle w:val="a3"/>
            </w:pPr>
            <w:r>
              <w:rPr>
                <w:noProof/>
                <w:lang w:val="en-US" w:eastAsia="en-US"/>
              </w:rPr>
              <w:t xml:space="preserve">Moderate</w:t>
            </w:r>
          </w:p>
        </w:tc>
        <w:tc>
          <w:tcPr>
            <w:tcW w:w="1800" w:type="dxa"/>
          </w:tcPr>
          <w:p>
            <w:pPr>
              <w:pStyle w:val="a3"/>
            </w:pPr>
            <w:r>
              <w:rPr>
                <w:noProof/>
                <w:lang w:val="en-US" w:eastAsia="en-US"/>
              </w:rPr>
              <w:t xml:space="preserve">GPU-friendly</w:t>
            </w:r>
          </w:p>
        </w:tc>
        <w:tc>
          <w:tcPr>
            <w:tcW w:w="1800" w:type="dxa"/>
          </w:tcPr>
          <w:p>
            <w:pPr>
              <w:pStyle w:val="a3"/>
            </w:pPr>
            <w:r>
              <w:rPr>
                <w:noProof/>
                <w:lang w:val="en-US" w:eastAsia="en-US"/>
              </w:rPr>
              <w:t xml:space="preserve">Neural references</w:t>
            </w:r>
          </w:p>
        </w:tc>
      </w:tr>
      <w:tr>
        <w:tc>
          <w:tcPr>
            <w:tcW w:w="1800" w:type="dxa"/>
          </w:tcPr>
          <w:p>
            <w:pPr>
              <w:pStyle w:val="a3"/>
            </w:pPr>
            <w:r>
              <w:rPr>
                <w:noProof/>
                <w:lang w:val="en-US" w:eastAsia="en-US"/>
              </w:rPr>
              <w:t xml:space="preserve">Chronos/TimesFM</w:t>
            </w:r>
          </w:p>
        </w:tc>
        <w:tc>
          <w:tcPr>
            <w:tcW w:w="1800" w:type="dxa"/>
          </w:tcPr>
          <w:p>
            <w:pPr>
              <w:pStyle w:val="a3"/>
            </w:pPr>
            <w:r>
              <w:rPr>
                <w:noProof/>
                <w:lang w:val="en-US" w:eastAsia="en-US"/>
              </w:rPr>
              <w:t xml:space="preserve">No task-specific training</w:t>
            </w:r>
          </w:p>
        </w:tc>
        <w:tc>
          <w:tcPr>
            <w:tcW w:w="1800" w:type="dxa"/>
          </w:tcPr>
          <w:p>
            <w:pPr>
              <w:pStyle w:val="a3"/>
            </w:pPr>
            <w:r>
              <w:rPr>
                <w:noProof/>
                <w:lang w:val="en-US" w:eastAsia="en-US"/>
              </w:rPr>
              <w:t xml:space="preserve">Model-dependent latency</w:t>
            </w:r>
          </w:p>
        </w:tc>
        <w:tc>
          <w:tcPr>
            <w:tcW w:w="1800" w:type="dxa"/>
          </w:tcPr>
          <w:p>
            <w:pPr>
              <w:pStyle w:val="a3"/>
            </w:pPr>
            <w:r>
              <w:rPr>
                <w:noProof/>
                <w:lang w:val="en-US" w:eastAsia="en-US"/>
              </w:rPr>
              <w:t xml:space="preserve">Cold-start forecasting</w:t>
            </w:r>
          </w:p>
        </w:tc>
      </w:tr>
    </w:tbl>
    <w:p>
      <w:pPr>
        <w:pStyle w:val="figurecaption"/>
      </w:pPr>
      <w:r>
        <w:rPr>
          <w:noProof/>
          <w:lang w:val="en-US" w:eastAsia="en-US"/>
        </w:rPr>
        <w:t xml:space="preserve">Operational interpretation of model families.</w:t>
      </w:r>
    </w:p>
    <w:p>
      <w:pPr>
        <w:pStyle w:val="1"/>
      </w:pPr>
      <w:r>
        <w:rPr>
          <w:noProof/>
          <w:lang w:val="en-US" w:eastAsia="en-US"/>
        </w:rPr>
        <w:t xml:space="preserve">Discussion</w:t>
      </w:r>
    </w:p>
    <w:p>
      <w:pPr>
        <w:pStyle w:val="a3"/>
      </w:pPr>
      <w:r>
        <w:rPr>
          <w:noProof/>
          <w:lang w:val="en-US" w:eastAsia="en-US"/>
        </w:rPr>
        <w:t xml:space="preserve">The main finding is that no model family dominates across datasets and horizons. On aggregate ECL load, engineered lag features with XGBoost remain a strong and inexpensive supervised solution. SARIMA provides a competitive classical reference.</w:t>
      </w:r>
    </w:p>
    <w:p>
      <w:pPr>
        <w:pStyle w:val="a3"/>
      </w:pPr>
      <w:r>
        <w:rPr>
          <w:noProof/>
          <w:lang w:val="en-US" w:eastAsia="en-US"/>
        </w:rPr>
        <w:t xml:space="preserve">Foundation models are attractive when task-specific training is undesirable, for example in cold-start industrial monitoring or rapid prototyping. Their advantage is practical rather than universal.</w:t>
      </w:r>
    </w:p>
    <w:p>
      <w:pPr>
        <w:pStyle w:val="a3"/>
      </w:pPr>
      <w:r>
        <w:rPr>
          <w:noProof/>
          <w:lang w:val="en-US" w:eastAsia="en-US"/>
        </w:rPr>
        <w:t xml:space="preserve">The trained transformer models should not be interpreted as generally ineffective. The study uses a compact target-only setup and a limited training budget.</w:t>
      </w:r>
    </w:p>
    <w:p>
      <w:pPr>
        <w:pStyle w:val="1"/>
      </w:pPr>
      <w:r>
        <w:rPr>
          <w:noProof/>
          <w:lang w:val="en-US" w:eastAsia="en-US"/>
        </w:rPr>
        <w:t xml:space="preserve">Limitations</w:t>
      </w:r>
    </w:p>
    <w:p>
      <w:pPr>
        <w:pStyle w:val="a3"/>
      </w:pPr>
      <w:r>
        <w:rPr>
          <w:noProof/>
          <w:lang w:val="en-US" w:eastAsia="en-US"/>
        </w:rPr>
        <w:t xml:space="preserve">The first limitation is public-benchmark pretraining contamination. ECL and ETT are public datasets, and they may overlap with corpora used during foundation-model development.</w:t>
      </w:r>
    </w:p>
    <w:p>
      <w:pPr>
        <w:pStyle w:val="a3"/>
      </w:pPr>
      <w:r>
        <w:rPr>
          <w:noProof/>
          <w:lang w:val="en-US" w:eastAsia="en-US"/>
        </w:rPr>
        <w:t xml:space="preserve">The second limitation is the target-only design. Real industrial forecasting systems often include weather, calendar events, tariffs, production schedules, and operational constraints.</w:t>
      </w:r>
    </w:p>
    <w:p>
      <w:pPr>
        <w:pStyle w:val="a3"/>
      </w:pPr>
      <w:r>
        <w:rPr>
          <w:noProof/>
          <w:lang w:val="en-US" w:eastAsia="en-US"/>
        </w:rPr>
        <w:t xml:space="preserve">The third limitation is the restricted hyperparameter budget. The comparison is intentionally reproducible and computationally bounded.</w:t>
      </w:r>
    </w:p>
    <w:p>
      <w:pPr>
        <w:pStyle w:val="1"/>
      </w:pPr>
      <w:r>
        <w:rPr>
          <w:noProof/>
          <w:lang w:val="en-US" w:eastAsia="en-US"/>
        </w:rPr>
        <w:t xml:space="preserve">Conclusion</w:t>
      </w:r>
    </w:p>
    <w:p>
      <w:pPr>
        <w:pStyle w:val="a3"/>
      </w:pPr>
      <w:r>
        <w:rPr>
          <w:noProof/>
          <w:lang w:val="en-US" w:eastAsia="en-US"/>
        </w:rPr>
        <w:t xml:space="preserve">This paper presented a reproducible benchmark of classical, machine-learning, deep-learning, and foundation-model approaches for short-term electricity load forecasting.</w:t>
      </w:r>
    </w:p>
    <w:p>
      <w:pPr>
        <w:pStyle w:val="a3"/>
      </w:pPr>
      <w:r>
        <w:rPr>
          <w:noProof/>
          <w:lang w:val="en-US" w:eastAsia="en-US"/>
        </w:rPr>
        <w:t xml:space="preserve">The practical conclusion is that strong simple baselines remain necessary. Foundation models are valuable cold-start tools and competitive zero-shot forecasters, but they should be evaluated alongside SARIMA, XGBoost, and compact neural baselines before deployment decisions are made.</w:t>
      </w:r>
    </w:p>
    <w:p>
      <w:pPr>
        <w:pStyle w:val="1"/>
      </w:pPr>
      <w:r>
        <w:rPr>
          <w:noProof/>
          <w:lang w:val="en-US" w:eastAsia="en-US"/>
        </w:rPr>
        <w:t xml:space="preserve">References</w:t>
      </w:r>
    </w:p>
    <w:p>
      <w:pPr>
        <w:pStyle w:val="a3"/>
      </w:pPr>
      <w:r>
        <w:rPr>
          <w:noProof/>
          <w:lang w:val="en-US" w:eastAsia="en-US"/>
        </w:rPr>
        <w:t xml:space="preserve">[1] R. J. Hyndman and Y. Khandakar, “Automatic time series forecasting: The forecast package for R,” Journal of Statistical Software, vol. 27, no. 3, pp. 1–22, 2008.</w:t>
      </w:r>
    </w:p>
    <w:p>
      <w:pPr>
        <w:pStyle w:val="a3"/>
      </w:pPr>
      <w:r>
        <w:rPr>
          <w:noProof/>
          <w:lang w:val="en-US" w:eastAsia="en-US"/>
        </w:rPr>
        <w:t xml:space="preserve">[2] T. Chen and C. Guestrin, “XGBoost: A scalable tree boosting system,” in Proc. 22nd ACM SIGKDD Int. Conf. Knowledge Discovery and Data Mining, 2016, pp. 785–794.</w:t>
      </w:r>
    </w:p>
    <w:p>
      <w:pPr>
        <w:pStyle w:val="a3"/>
      </w:pPr>
      <w:r>
        <w:rPr>
          <w:noProof/>
          <w:lang w:val="en-US" w:eastAsia="en-US"/>
        </w:rPr>
        <w:t xml:space="preserve">[3] S. Hochreiter and J. Schmidhuber, “Long short-term memory,” Neural Computation, vol. 9, no. 8, pp. 1735–1780, 1997.</w:t>
      </w:r>
    </w:p>
    <w:p>
      <w:pPr>
        <w:pStyle w:val="a3"/>
      </w:pPr>
      <w:r>
        <w:rPr>
          <w:noProof/>
          <w:lang w:val="en-US" w:eastAsia="en-US"/>
        </w:rPr>
        <w:t xml:space="preserve">[4] A. Vaswani et al., “Attention is all you need,” in Advances in Neural Information Processing Systems, 2017.</w:t>
      </w:r>
    </w:p>
    <w:p>
      <w:pPr>
        <w:pStyle w:val="a3"/>
      </w:pPr>
      <w:r>
        <w:rPr>
          <w:noProof/>
          <w:lang w:val="en-US" w:eastAsia="en-US"/>
        </w:rPr>
        <w:t xml:space="preserve">[5] H. Zhou et al., “Informer: Beyond efficient transformer for long sequence time-series forecasting,” in Proc. AAAI Conf. Artificial Intelligence, 2021.</w:t>
      </w:r>
    </w:p>
    <w:p>
      <w:pPr>
        <w:pStyle w:val="a3"/>
      </w:pPr>
      <w:r>
        <w:rPr>
          <w:noProof/>
          <w:lang w:val="en-US" w:eastAsia="en-US"/>
        </w:rPr>
        <w:t xml:space="preserve">[6] A. Zeng et al., “Are transformers effective for time series forecasting?” in Proc. AAAI Conf. Artificial Intelligence, 2023.</w:t>
      </w:r>
    </w:p>
    <w:p>
      <w:pPr>
        <w:pStyle w:val="a3"/>
      </w:pPr>
      <w:r>
        <w:rPr>
          <w:noProof/>
          <w:lang w:val="en-US" w:eastAsia="en-US"/>
        </w:rPr>
        <w:t xml:space="preserve">[7] Y. Nie et al., “A time series is worth 64 words: Long-term forecasting with transformers,” in ICLR, 2023.</w:t>
      </w:r>
    </w:p>
    <w:p>
      <w:pPr>
        <w:pStyle w:val="a3"/>
      </w:pPr>
      <w:r>
        <w:rPr>
          <w:noProof/>
          <w:lang w:val="en-US" w:eastAsia="en-US"/>
        </w:rPr>
        <w:t xml:space="preserve">[8] Y. Liu et al., “iTransformer: Inverted transformers are effective for time series forecasting,” in ICLR, 2024.</w:t>
      </w:r>
    </w:p>
    <w:p>
      <w:pPr>
        <w:pStyle w:val="a3"/>
      </w:pPr>
      <w:r>
        <w:rPr>
          <w:noProof/>
          <w:lang w:val="en-US" w:eastAsia="en-US"/>
        </w:rPr>
        <w:t xml:space="preserve">[9] A. Das et al., “A decoder-only foundation model for time-series forecasting,” in ICML, 2024.</w:t>
      </w:r>
    </w:p>
    <w:p>
      <w:pPr>
        <w:pStyle w:val="a3"/>
      </w:pPr>
      <w:r>
        <w:rPr>
          <w:noProof/>
          <w:lang w:val="en-US" w:eastAsia="en-US"/>
        </w:rPr>
        <w:t xml:space="preserve">[10] A. F. Ansari et al., “Chronos: Learning the language of time series,” Transactions on Machine Learning Research, 2024.</w:t>
      </w:r>
    </w:p>
    <w:sectPr>
      <w:type w:val="continuous"/>
      <w:pgSz w:w="12240" w:h="15840" w:code="1"/>
      <w:pgMar w:top="1080" w:right="893" w:bottom="1440" w:left="893" w:header="720" w:footer="720" w:gutter="0"/>
      <w:cols w:num="2" w:space="36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9DD00EC" w14:textId="77777777" w:rsidR="001D560C" w:rsidRDefault="001D560C" w:rsidP="001A3B3D">
      <w:r>
        <w:separator/>
      </w:r>
    </w:p>
  </w:endnote>
  <w:endnote w:type="continuationSeparator" w:id="0">
    <w:p w14:paraId="6CD702BE" w14:textId="77777777" w:rsidR="001D560C" w:rsidRDefault="001D560C"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A00002BF" w:usb1="68C7FCFB" w:usb2="00000010" w:usb3="00000000" w:csb0="0002009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 w:name="Calibri">
    <w:panose1 w:val="020F05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2AF4E6A" w14:textId="77777777" w:rsidR="00583BD0" w:rsidRPr="006F6D3D" w:rsidRDefault="00583BD0" w:rsidP="00583BD0">
    <w:pPr>
      <w:pStyle w:val="a7"/>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75AB6FF" w14:textId="77777777" w:rsidR="001D560C" w:rsidRDefault="001D560C" w:rsidP="001A3B3D">
      <w:r>
        <w:separator/>
      </w:r>
    </w:p>
  </w:footnote>
  <w:footnote w:type="continuationSeparator" w:id="0">
    <w:p w14:paraId="68949C26" w14:textId="77777777" w:rsidR="001D560C" w:rsidRDefault="001D560C" w:rsidP="001A3B3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3F2AAD4" w14:textId="77777777" w:rsidR="002347BE" w:rsidRDefault="002347BE" w:rsidP="002347BE">
    <w:pPr>
      <w:pStyle w:val="a5"/>
    </w:pPr>
    <w:r w:rsidRPr="00AE36F2">
      <w:t xml:space="preserve">International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76668F30"/>
    <w:lvl w:ilvl="0">
      <w:start w:val="1"/>
      <w:numFmt w:val="decimal"/>
      <w:lvlText w:val="%1."/>
      <w:lvlJc w:val="left"/>
      <w:pPr>
        <w:tabs>
          <w:tab w:val="num" w:pos="1492"/>
        </w:tabs>
        <w:ind w:left="1492" w:hanging="360"/>
      </w:pPr>
    </w:lvl>
  </w:abstractNum>
  <w:abstractNum w:abstractNumId="2">
    <w:nsid w:val="FFFFFF7D"/>
    <w:multiLevelType w:val="singleLevel"/>
    <w:tmpl w:val="9F36799A"/>
    <w:lvl w:ilvl="0">
      <w:start w:val="1"/>
      <w:numFmt w:val="decimal"/>
      <w:lvlText w:val="%1."/>
      <w:lvlJc w:val="left"/>
      <w:pPr>
        <w:tabs>
          <w:tab w:val="num" w:pos="1209"/>
        </w:tabs>
        <w:ind w:left="1209" w:hanging="360"/>
      </w:pPr>
    </w:lvl>
  </w:abstractNum>
  <w:abstractNum w:abstractNumId="3">
    <w:nsid w:val="FFFFFF7E"/>
    <w:multiLevelType w:val="singleLevel"/>
    <w:tmpl w:val="E8B85734"/>
    <w:lvl w:ilvl="0">
      <w:start w:val="1"/>
      <w:numFmt w:val="decimal"/>
      <w:lvlText w:val="%1."/>
      <w:lvlJc w:val="left"/>
      <w:pPr>
        <w:tabs>
          <w:tab w:val="num" w:pos="926"/>
        </w:tabs>
        <w:ind w:left="926" w:hanging="360"/>
      </w:pPr>
    </w:lvl>
  </w:abstractNum>
  <w:abstractNum w:abstractNumId="4">
    <w:nsid w:val="FFFFFF7F"/>
    <w:multiLevelType w:val="singleLevel"/>
    <w:tmpl w:val="C130D18E"/>
    <w:lvl w:ilvl="0">
      <w:start w:val="1"/>
      <w:numFmt w:val="decimal"/>
      <w:lvlText w:val="%1."/>
      <w:lvlJc w:val="left"/>
      <w:pPr>
        <w:tabs>
          <w:tab w:val="num" w:pos="643"/>
        </w:tabs>
        <w:ind w:left="643" w:hanging="360"/>
      </w:pPr>
    </w:lvl>
  </w:abstractNum>
  <w:abstractNum w:abstractNumId="5">
    <w:nsid w:val="FFFFFF80"/>
    <w:multiLevelType w:val="singleLevel"/>
    <w:tmpl w:val="B6DED4FA"/>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96CCA176"/>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26D2B28E"/>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BA8C2E9C"/>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C3041EE8"/>
    <w:lvl w:ilvl="0">
      <w:start w:val="1"/>
      <w:numFmt w:val="decimal"/>
      <w:lvlText w:val="%1."/>
      <w:lvlJc w:val="left"/>
      <w:pPr>
        <w:tabs>
          <w:tab w:val="num" w:pos="360"/>
        </w:tabs>
        <w:ind w:left="360" w:hanging="360"/>
      </w:pPr>
    </w:lvl>
  </w:abstractNum>
  <w:abstractNum w:abstractNumId="10">
    <w:nsid w:val="FFFFFF89"/>
    <w:multiLevelType w:val="singleLevel"/>
    <w:tmpl w:val="335CD720"/>
    <w:lvl w:ilvl="0">
      <w:start w:val="1"/>
      <w:numFmt w:val="bullet"/>
      <w:lvlText w:val=""/>
      <w:lvlJc w:val="left"/>
      <w:pPr>
        <w:tabs>
          <w:tab w:val="num" w:pos="360"/>
        </w:tabs>
        <w:ind w:left="360" w:hanging="360"/>
      </w:pPr>
      <w:rPr>
        <w:rFonts w:ascii="Symbol" w:hAnsi="Symbol" w:hint="default"/>
      </w:rPr>
    </w:lvl>
  </w:abstractNum>
  <w:abstractNum w:abstractNumId="11">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nsid w:val="4189603E"/>
    <w:multiLevelType w:val="multilevel"/>
    <w:tmpl w:val="0AB06E12"/>
    <w:lvl w:ilvl="0">
      <w:start w:val="1"/>
      <w:numFmt w:val="upperRoman"/>
      <w:pStyle w:val="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21">
    <w:nsid w:val="754474F7"/>
    <w:multiLevelType w:val="singleLevel"/>
    <w:tmpl w:val="0EA0939C"/>
    <w:lvl w:ilvl="0">
      <w:start w:val="1"/>
      <w:numFmt w:val="decimal"/>
      <w:lvlText w:val="%1."/>
      <w:legacy w:legacy="1" w:legacySpace="0" w:legacyIndent="227"/>
      <w:lvlJc w:val="left"/>
      <w:pPr>
        <w:ind w:left="227" w:hanging="227"/>
      </w:pPr>
    </w:lvl>
  </w:abstractNum>
  <w:abstractNum w:abstractNumId="22">
    <w:nsid w:val="7F2E567E"/>
    <w:multiLevelType w:val="multilevel"/>
    <w:tmpl w:val="EC54F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 w:numId="25">
    <w:abstractNumId w:val="21"/>
  </w:num>
  <w:num w:numId="26">
    <w:abstractNumId w:val="14"/>
  </w:num>
  <w:num w:numId="27">
    <w:abstractNumId w:val="14"/>
  </w:num>
  <w:num w:numId="28">
    <w:abstractNumId w:val="14"/>
  </w:num>
  <w:num w:numId="29">
    <w:abstractNumId w:val="14"/>
  </w:num>
  <w:num w:numId="30">
    <w:abstractNumId w:val="14"/>
  </w:num>
  <w:num w:numId="31">
    <w:abstractNumId w:val="14"/>
  </w:num>
  <w:num w:numId="32">
    <w:abstractNumId w:val="14"/>
  </w:num>
  <w:num w:numId="33">
    <w:abstractNumId w:val="14"/>
  </w:num>
  <w:num w:numId="34">
    <w:abstractNumId w:val="22"/>
  </w:num>
  <w:num w:numId="35">
    <w:abstractNumId w:val="14"/>
  </w:num>
  <w:num w:numId="3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proofState w:grammar="clean"/>
  <w:defaultTabStop w:val="720"/>
  <w:doNotHyphenateCaps/>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A088E"/>
    <w:rsid w:val="000A47F9"/>
    <w:rsid w:val="000C1E68"/>
    <w:rsid w:val="000E7FDC"/>
    <w:rsid w:val="00140ED1"/>
    <w:rsid w:val="001515DA"/>
    <w:rsid w:val="0016145E"/>
    <w:rsid w:val="001A2EFD"/>
    <w:rsid w:val="001A3B3D"/>
    <w:rsid w:val="001A42EA"/>
    <w:rsid w:val="001B67DC"/>
    <w:rsid w:val="001D560C"/>
    <w:rsid w:val="001D7BCF"/>
    <w:rsid w:val="001F2901"/>
    <w:rsid w:val="002254A9"/>
    <w:rsid w:val="00233D97"/>
    <w:rsid w:val="002347BE"/>
    <w:rsid w:val="002720FC"/>
    <w:rsid w:val="002850E3"/>
    <w:rsid w:val="002B440F"/>
    <w:rsid w:val="002D3477"/>
    <w:rsid w:val="00322145"/>
    <w:rsid w:val="003433EC"/>
    <w:rsid w:val="00354FCF"/>
    <w:rsid w:val="003A19E2"/>
    <w:rsid w:val="003C747C"/>
    <w:rsid w:val="003E7492"/>
    <w:rsid w:val="004325FB"/>
    <w:rsid w:val="004432BA"/>
    <w:rsid w:val="0044407E"/>
    <w:rsid w:val="004848D9"/>
    <w:rsid w:val="004D72B5"/>
    <w:rsid w:val="004E7CAD"/>
    <w:rsid w:val="005519FA"/>
    <w:rsid w:val="00551B7F"/>
    <w:rsid w:val="0056610F"/>
    <w:rsid w:val="00575BCA"/>
    <w:rsid w:val="00583BD0"/>
    <w:rsid w:val="005B0344"/>
    <w:rsid w:val="005B520E"/>
    <w:rsid w:val="005D68EE"/>
    <w:rsid w:val="005E2800"/>
    <w:rsid w:val="005F0250"/>
    <w:rsid w:val="006134C8"/>
    <w:rsid w:val="0063703C"/>
    <w:rsid w:val="00645D22"/>
    <w:rsid w:val="00651A08"/>
    <w:rsid w:val="00654204"/>
    <w:rsid w:val="00670434"/>
    <w:rsid w:val="00675A61"/>
    <w:rsid w:val="006B6B66"/>
    <w:rsid w:val="006C0090"/>
    <w:rsid w:val="006C2F52"/>
    <w:rsid w:val="006F00FA"/>
    <w:rsid w:val="006F6D3D"/>
    <w:rsid w:val="00715BEA"/>
    <w:rsid w:val="00721514"/>
    <w:rsid w:val="00740EEA"/>
    <w:rsid w:val="00774378"/>
    <w:rsid w:val="00781D30"/>
    <w:rsid w:val="00794804"/>
    <w:rsid w:val="007B33F1"/>
    <w:rsid w:val="007B766B"/>
    <w:rsid w:val="007C0308"/>
    <w:rsid w:val="007C2FF2"/>
    <w:rsid w:val="007D6232"/>
    <w:rsid w:val="007E4793"/>
    <w:rsid w:val="007F1F99"/>
    <w:rsid w:val="007F768F"/>
    <w:rsid w:val="007F7D2E"/>
    <w:rsid w:val="0080791D"/>
    <w:rsid w:val="00873603"/>
    <w:rsid w:val="008819AE"/>
    <w:rsid w:val="00893053"/>
    <w:rsid w:val="008A2C7D"/>
    <w:rsid w:val="008C4B23"/>
    <w:rsid w:val="008F6E2C"/>
    <w:rsid w:val="00903080"/>
    <w:rsid w:val="009303D9"/>
    <w:rsid w:val="00933C64"/>
    <w:rsid w:val="00972203"/>
    <w:rsid w:val="009C38AD"/>
    <w:rsid w:val="00A02312"/>
    <w:rsid w:val="00A059B3"/>
    <w:rsid w:val="00A05A6C"/>
    <w:rsid w:val="00A132EE"/>
    <w:rsid w:val="00A35656"/>
    <w:rsid w:val="00A50071"/>
    <w:rsid w:val="00A6628C"/>
    <w:rsid w:val="00A83751"/>
    <w:rsid w:val="00A839D8"/>
    <w:rsid w:val="00AA0279"/>
    <w:rsid w:val="00AE3409"/>
    <w:rsid w:val="00B01BD0"/>
    <w:rsid w:val="00B103CB"/>
    <w:rsid w:val="00B109D8"/>
    <w:rsid w:val="00B11A60"/>
    <w:rsid w:val="00B22613"/>
    <w:rsid w:val="00B2486A"/>
    <w:rsid w:val="00BA1025"/>
    <w:rsid w:val="00BB48BD"/>
    <w:rsid w:val="00BC3420"/>
    <w:rsid w:val="00BE7D3C"/>
    <w:rsid w:val="00BF5FF6"/>
    <w:rsid w:val="00C0207F"/>
    <w:rsid w:val="00C16117"/>
    <w:rsid w:val="00C3075A"/>
    <w:rsid w:val="00C3745B"/>
    <w:rsid w:val="00C42765"/>
    <w:rsid w:val="00C4364C"/>
    <w:rsid w:val="00C76FFC"/>
    <w:rsid w:val="00C919A4"/>
    <w:rsid w:val="00CA4392"/>
    <w:rsid w:val="00CC393F"/>
    <w:rsid w:val="00CD6C7D"/>
    <w:rsid w:val="00D04A50"/>
    <w:rsid w:val="00D140F5"/>
    <w:rsid w:val="00D2176E"/>
    <w:rsid w:val="00D625FF"/>
    <w:rsid w:val="00D632BE"/>
    <w:rsid w:val="00D72D06"/>
    <w:rsid w:val="00D7522C"/>
    <w:rsid w:val="00D7536F"/>
    <w:rsid w:val="00D76668"/>
    <w:rsid w:val="00DF0305"/>
    <w:rsid w:val="00E0608F"/>
    <w:rsid w:val="00E24E82"/>
    <w:rsid w:val="00E55790"/>
    <w:rsid w:val="00E61E12"/>
    <w:rsid w:val="00E7596C"/>
    <w:rsid w:val="00E84B54"/>
    <w:rsid w:val="00E878F2"/>
    <w:rsid w:val="00ED0149"/>
    <w:rsid w:val="00EF7DE3"/>
    <w:rsid w:val="00F03103"/>
    <w:rsid w:val="00F1117C"/>
    <w:rsid w:val="00F271DE"/>
    <w:rsid w:val="00F32488"/>
    <w:rsid w:val="00F36080"/>
    <w:rsid w:val="00F627DA"/>
    <w:rsid w:val="00F7288F"/>
    <w:rsid w:val="00F847A6"/>
    <w:rsid w:val="00F9441B"/>
    <w:rsid w:val="00F96569"/>
    <w:rsid w:val="00F97313"/>
    <w:rsid w:val="00FA4C32"/>
    <w:rsid w:val="00FC739A"/>
    <w:rsid w:val="00FE070F"/>
    <w:rsid w:val="00FE7114"/>
    <w:rsid w:val="00FF1B10"/>
    <w:rsid w:val="00FF704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8C30010"/>
  <w15:chartTrackingRefBased/>
  <w15:docId w15:val="{70A4E05C-14E2-480D-9B1E-117D50E0496D}"/>
  <w:hideSpellingErrors/>
  <w:hideGrammaticalErro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jc w:val="center"/>
    </w:pPr>
    <w:rPr>
      <w:lang w:val="en-US" w:eastAsia="en-US"/>
    </w:rPr>
  </w:style>
  <w:style w:type="paragraph" w:styleId="1">
    <w:name w:val="heading 1"/>
    <w:basedOn w:val="a"/>
    <w:next w:val="a"/>
    <w:qFormat/>
    <w:rsid w:val="006B6B66"/>
    <w:pPr>
      <w:keepNext/>
      <w:keepLines/>
      <w:numPr>
        <w:numId w:val="4"/>
      </w:numPr>
      <w:tabs>
        <w:tab w:val="left" w:pos="216"/>
      </w:tabs>
      <w:spacing w:before="160" w:after="80"/>
      <w:ind w:firstLine="0"/>
      <w:outlineLvl w:val="0"/>
    </w:pPr>
    <w:rPr>
      <w:smallCaps/>
      <w:noProof/>
    </w:rPr>
  </w:style>
  <w:style w:type="paragraph" w:styleId="2">
    <w:name w:val="heading 2"/>
    <w:basedOn w:val="a"/>
    <w:next w:val="a"/>
    <w:qFormat/>
    <w:rsid w:val="00ED0149"/>
    <w:pPr>
      <w:keepNext/>
      <w:keepLines/>
      <w:numPr>
        <w:ilvl w:val="1"/>
        <w:numId w:val="4"/>
      </w:numPr>
      <w:tabs>
        <w:tab w:val="clear" w:pos="360"/>
        <w:tab w:val="num" w:pos="288"/>
      </w:tabs>
      <w:spacing w:before="120" w:after="60"/>
      <w:jc w:val="left"/>
      <w:outlineLvl w:val="1"/>
    </w:pPr>
    <w:rPr>
      <w:i/>
      <w:iCs/>
      <w:noProof/>
    </w:rPr>
  </w:style>
  <w:style w:type="paragraph" w:styleId="3">
    <w:name w:val="heading 3"/>
    <w:basedOn w:val="a"/>
    <w:next w:val="a"/>
    <w:qFormat/>
    <w:rsid w:val="00794804"/>
    <w:pPr>
      <w:numPr>
        <w:ilvl w:val="2"/>
        <w:numId w:val="4"/>
      </w:numPr>
      <w:spacing w:line="240" w:lineRule="exact"/>
      <w:ind w:firstLine="288"/>
      <w:jc w:val="both"/>
      <w:outlineLvl w:val="2"/>
    </w:pPr>
    <w:rPr>
      <w:i/>
      <w:iCs/>
      <w:noProof/>
    </w:rPr>
  </w:style>
  <w:style w:type="paragraph" w:styleId="4">
    <w:name w:val="heading 4"/>
    <w:basedOn w:val="a"/>
    <w:next w:val="a"/>
    <w:qFormat/>
    <w:rsid w:val="00794804"/>
    <w:pPr>
      <w:numPr>
        <w:ilvl w:val="3"/>
        <w:numId w:val="4"/>
      </w:numPr>
      <w:tabs>
        <w:tab w:val="clear" w:pos="630"/>
        <w:tab w:val="left" w:pos="720"/>
      </w:tabs>
      <w:spacing w:before="40" w:after="40"/>
      <w:ind w:firstLine="504"/>
      <w:jc w:val="both"/>
      <w:outlineLvl w:val="3"/>
    </w:pPr>
    <w:rPr>
      <w:i/>
      <w:iCs/>
      <w:noProof/>
    </w:rPr>
  </w:style>
  <w:style w:type="paragraph" w:styleId="5">
    <w:name w:val="heading 5"/>
    <w:basedOn w:val="a"/>
    <w:next w:val="a"/>
    <w:qFormat/>
    <w:pPr>
      <w:tabs>
        <w:tab w:val="left" w:pos="360"/>
      </w:tabs>
      <w:spacing w:before="160" w:after="80"/>
      <w:outlineLvl w:val="4"/>
    </w:pPr>
    <w:rPr>
      <w:smallCaps/>
      <w:noProo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bstract">
    <w:name w:val="Abstract"/>
    <w:rsid w:val="00972203"/>
    <w:pPr>
      <w:spacing w:after="200"/>
      <w:ind w:firstLine="272"/>
      <w:jc w:val="both"/>
    </w:pPr>
    <w:rPr>
      <w:b/>
      <w:bCs/>
      <w:sz w:val="18"/>
      <w:szCs w:val="18"/>
      <w:lang w:val="en-US" w:eastAsia="en-US"/>
    </w:rPr>
  </w:style>
  <w:style w:type="paragraph" w:customStyle="1" w:styleId="Affiliation">
    <w:name w:val="Affiliation"/>
    <w:pPr>
      <w:jc w:val="center"/>
    </w:pPr>
    <w:rPr>
      <w:lang w:val="en-US" w:eastAsia="en-US"/>
    </w:rPr>
  </w:style>
  <w:style w:type="paragraph" w:customStyle="1" w:styleId="Author">
    <w:name w:val="Author"/>
    <w:rsid w:val="00A02312"/>
    <w:pPr>
      <w:spacing w:before="100" w:beforeAutospacing="1" w:after="40"/>
      <w:jc w:val="center"/>
    </w:pPr>
    <w:rPr>
      <w:noProof/>
      <w:sz w:val="18"/>
      <w:szCs w:val="22"/>
      <w:lang w:val="en-US" w:eastAsia="en-US"/>
    </w:rPr>
  </w:style>
  <w:style w:type="paragraph" w:styleId="a3">
    <w:name w:val="Body Text"/>
    <w:basedOn w:val="a"/>
    <w:link w:val="a4"/>
    <w:rsid w:val="00E7596C"/>
    <w:pPr>
      <w:tabs>
        <w:tab w:val="left" w:pos="288"/>
      </w:tabs>
      <w:spacing w:after="120" w:line="228" w:lineRule="auto"/>
      <w:ind w:firstLine="288"/>
      <w:jc w:val="both"/>
    </w:pPr>
    <w:rPr>
      <w:spacing w:val="-1"/>
      <w:lang w:val="en-US" w:eastAsia="en-US"/>
    </w:rPr>
  </w:style>
  <w:style w:type="character" w:customStyle="1" w:styleId="a4">
    <w:name w:val="Основной текст Знак"/>
    <w:link w:val="a3"/>
    <w:rsid w:val="00E7596C"/>
    <w:rPr>
      <w:spacing w:val="-1"/>
      <w:lang w:val="en-US" w:eastAsia="en-US"/>
    </w:rPr>
  </w:style>
  <w:style w:type="paragraph" w:customStyle="1" w:styleId="bulletlist">
    <w:name w:val="bullet list"/>
    <w:basedOn w:val="a3"/>
    <w:rsid w:val="001B67DC"/>
    <w:pPr>
      <w:numPr>
        <w:numId w:val="1"/>
      </w:numPr>
    </w:pPr>
  </w:style>
  <w:style w:type="paragraph" w:customStyle="1" w:styleId="equation">
    <w:name w:val="equation"/>
    <w:basedOn w:val="a"/>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val="en-US" w:eastAsia="en-US"/>
    </w:rPr>
  </w:style>
  <w:style w:type="paragraph" w:customStyle="1" w:styleId="footnote">
    <w:name w:val="footnote"/>
    <w:pPr>
      <w:framePr w:hSpace="187" w:vSpace="187" w:wrap="notBeside" w:vAnchor="text" w:hAnchor="page" w:x="6121" w:y="577"/>
      <w:numPr>
        <w:numId w:val="3"/>
      </w:numPr>
      <w:spacing w:after="40"/>
    </w:pPr>
    <w:rPr>
      <w:sz w:val="16"/>
      <w:szCs w:val="16"/>
      <w:lang w:val="en-US" w:eastAsia="en-US"/>
    </w:rPr>
  </w:style>
  <w:style w:type="paragraph" w:customStyle="1" w:styleId="papersubtitle">
    <w:name w:val="paper subtitle"/>
    <w:pPr>
      <w:spacing w:after="120"/>
      <w:jc w:val="center"/>
    </w:pPr>
    <w:rPr>
      <w:rFonts w:eastAsia="MS Mincho"/>
      <w:noProof/>
      <w:sz w:val="28"/>
      <w:szCs w:val="28"/>
      <w:lang w:val="en-US" w:eastAsia="en-US"/>
    </w:rPr>
  </w:style>
  <w:style w:type="paragraph" w:customStyle="1" w:styleId="papertitle">
    <w:name w:val="paper title"/>
    <w:pPr>
      <w:spacing w:after="120"/>
      <w:jc w:val="center"/>
    </w:pPr>
    <w:rPr>
      <w:rFonts w:eastAsia="MS Mincho"/>
      <w:noProof/>
      <w:sz w:val="48"/>
      <w:szCs w:val="48"/>
      <w:lang w:val="en-US" w:eastAsia="en-US"/>
    </w:rPr>
  </w:style>
  <w:style w:type="paragraph" w:customStyle="1" w:styleId="references">
    <w:name w:val="references"/>
    <w:pPr>
      <w:numPr>
        <w:numId w:val="8"/>
      </w:numPr>
      <w:spacing w:after="50" w:line="180" w:lineRule="exact"/>
      <w:jc w:val="both"/>
    </w:pPr>
    <w:rPr>
      <w:rFonts w:eastAsia="MS Mincho"/>
      <w:noProof/>
      <w:sz w:val="16"/>
      <w:szCs w:val="16"/>
      <w:lang w:val="en-US" w:eastAsia="en-US"/>
    </w:rPr>
  </w:style>
  <w:style w:type="paragraph" w:customStyle="1" w:styleId="sponsors">
    <w:name w:val="sponsors"/>
    <w:pPr>
      <w:framePr w:wrap="auto" w:hAnchor="text" w:x="615" w:y="2239"/>
      <w:pBdr>
        <w:top w:val="single" w:sz="4" w:space="2" w:color="auto"/>
      </w:pBdr>
      <w:ind w:firstLine="288"/>
    </w:pPr>
    <w:rPr>
      <w:sz w:val="16"/>
      <w:szCs w:val="16"/>
      <w:lang w:val="en-US" w:eastAsia="en-US"/>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val="en-US" w:eastAsia="en-US"/>
    </w:rPr>
  </w:style>
  <w:style w:type="paragraph" w:customStyle="1" w:styleId="tablefootnote">
    <w:name w:val="table footnote"/>
    <w:rsid w:val="005E2800"/>
    <w:pPr>
      <w:numPr>
        <w:numId w:val="24"/>
      </w:numPr>
      <w:spacing w:before="60" w:after="30"/>
      <w:ind w:left="58" w:hanging="29"/>
      <w:jc w:val="right"/>
    </w:pPr>
    <w:rPr>
      <w:sz w:val="12"/>
      <w:szCs w:val="12"/>
      <w:lang w:val="en-US" w:eastAsia="en-US"/>
    </w:rPr>
  </w:style>
  <w:style w:type="paragraph" w:customStyle="1" w:styleId="tablehead">
    <w:name w:val="table head"/>
    <w:pPr>
      <w:numPr>
        <w:numId w:val="9"/>
      </w:numPr>
      <w:spacing w:before="240" w:after="120" w:line="216" w:lineRule="auto"/>
      <w:jc w:val="center"/>
    </w:pPr>
    <w:rPr>
      <w:smallCaps/>
      <w:noProof/>
      <w:sz w:val="16"/>
      <w:szCs w:val="16"/>
      <w:lang w:val="en-US" w:eastAsia="en-US"/>
    </w:rPr>
  </w:style>
  <w:style w:type="paragraph" w:customStyle="1" w:styleId="Keywords">
    <w:name w:val="Keywords"/>
    <w:basedOn w:val="Abstract"/>
    <w:qFormat/>
    <w:rsid w:val="00F9441B"/>
    <w:pPr>
      <w:spacing w:after="120"/>
      <w:ind w:firstLine="274"/>
    </w:pPr>
    <w:rPr>
      <w:i/>
    </w:rPr>
  </w:style>
  <w:style w:type="paragraph" w:styleId="a5">
    <w:name w:val="header"/>
    <w:basedOn w:val="a"/>
    <w:link w:val="a6"/>
    <w:rsid w:val="001A3B3D"/>
    <w:pPr>
      <w:tabs>
        <w:tab w:val="center" w:pos="4680"/>
        <w:tab w:val="right" w:pos="9360"/>
      </w:tabs>
    </w:pPr>
  </w:style>
  <w:style w:type="character" w:customStyle="1" w:styleId="a6">
    <w:name w:val="Верхний колонтитул Знак"/>
    <w:basedOn w:val="a0"/>
    <w:link w:val="a5"/>
    <w:rsid w:val="001A3B3D"/>
  </w:style>
  <w:style w:type="paragraph" w:styleId="a7">
    <w:name w:val="footer"/>
    <w:basedOn w:val="a"/>
    <w:link w:val="a8"/>
    <w:rsid w:val="001A3B3D"/>
    <w:pPr>
      <w:tabs>
        <w:tab w:val="center" w:pos="4680"/>
        <w:tab w:val="right" w:pos="9360"/>
      </w:tabs>
    </w:pPr>
  </w:style>
  <w:style w:type="character" w:customStyle="1" w:styleId="a8">
    <w:name w:val="Нижний колонтитул Знак"/>
    <w:basedOn w:val="a0"/>
    <w:link w:val="a7"/>
    <w:rsid w:val="001A3B3D"/>
  </w:style>
  <w:style w:type="paragraph" w:styleId="a9">
    <w:name w:val="Date"/>
    <w:basedOn w:val="a"/>
    <w:next w:val="a"/>
    <w:link w:val="aa"/>
    <w:rsid w:val="00903080"/>
  </w:style>
  <w:style w:type="character" w:customStyle="1" w:styleId="aa">
    <w:name w:val="Дата Знак"/>
    <w:link w:val="a9"/>
    <w:rsid w:val="00903080"/>
    <w:rPr>
      <w:lang w:val="en-US" w:eastAsia="en-US"/>
    </w:rPr>
  </w:style>
  <w:style w:type="paragraph" w:styleId="ab">
    <w:name w:val="Normal (Web)"/>
    <w:basedOn w:val="a"/>
    <w:uiPriority w:val="99"/>
    <w:unhideWhenUsed/>
    <w:rsid w:val="00A132EE"/>
    <w:pPr>
      <w:spacing w:before="100" w:beforeAutospacing="1" w:after="100" w:afterAutospacing="1"/>
      <w:jc w:val="left"/>
    </w:pPr>
    <w:rPr>
      <w:rFonts w:eastAsia="Times New Roman"/>
      <w:sz w:val="24"/>
      <w:szCs w:val="24"/>
      <w:lang w:val="ru-RU" w:eastAsia="ru-RU"/>
    </w:rPr>
  </w:style>
  <w:style w:type="character" w:styleId="ac">
    <w:name w:val="Hyperlink"/>
    <w:rsid w:val="00AA0279"/>
    <w:rPr>
      <w:color w:val="0563C1"/>
      <w:u w:val="single"/>
    </w:rPr>
  </w:style>
  <w:style w:type="character" w:customStyle="1" w:styleId="UnresolvedMention">
    <w:name w:val="Unresolved Mention"/>
    <w:uiPriority w:val="99"/>
    <w:semiHidden/>
    <w:unhideWhenUsed/>
    <w:rsid w:val="00AA0279"/>
    <w:rPr>
      <w:color w:val="605E5C"/>
      <w:shd w:val="clear" w:color="auto" w:fill="E1DFDD"/>
    </w:rPr>
  </w:style>
  <w:style w:type="character" w:customStyle="1" w:styleId="katex-mathml">
    <w:name w:val="katex-mathml"/>
    <w:basedOn w:val="a0"/>
    <w:rsid w:val="00E55790"/>
  </w:style>
  <w:style w:type="character" w:customStyle="1" w:styleId="mord">
    <w:name w:val="mord"/>
    <w:basedOn w:val="a0"/>
    <w:rsid w:val="00E55790"/>
  </w:style>
  <w:style w:type="character" w:customStyle="1" w:styleId="mrel">
    <w:name w:val="mrel"/>
    <w:basedOn w:val="a0"/>
    <w:rsid w:val="00E55790"/>
  </w:style>
  <w:style w:type="character" w:customStyle="1" w:styleId="mopen">
    <w:name w:val="mopen"/>
    <w:basedOn w:val="a0"/>
    <w:rsid w:val="00E55790"/>
  </w:style>
  <w:style w:type="character" w:customStyle="1" w:styleId="vlist-s">
    <w:name w:val="vlist-s"/>
    <w:basedOn w:val="a0"/>
    <w:rsid w:val="00E55790"/>
  </w:style>
  <w:style w:type="character" w:customStyle="1" w:styleId="mpunct">
    <w:name w:val="mpunct"/>
    <w:basedOn w:val="a0"/>
    <w:rsid w:val="00E55790"/>
  </w:style>
  <w:style w:type="character" w:customStyle="1" w:styleId="minner">
    <w:name w:val="minner"/>
    <w:basedOn w:val="a0"/>
    <w:rsid w:val="00E55790"/>
  </w:style>
  <w:style w:type="character" w:customStyle="1" w:styleId="mclose">
    <w:name w:val="mclose"/>
    <w:basedOn w:val="a0"/>
    <w:rsid w:val="00E55790"/>
  </w:style>
  <w:style w:type="character" w:customStyle="1" w:styleId="mtight">
    <w:name w:val="mtight"/>
    <w:basedOn w:val="a0"/>
    <w:rsid w:val="00E5579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8425141">
      <w:bodyDiv w:val="1"/>
      <w:marLeft w:val="0"/>
      <w:marRight w:val="0"/>
      <w:marTop w:val="0"/>
      <w:marBottom w:val="0"/>
      <w:divBdr>
        <w:top w:val="none" w:sz="0" w:space="0" w:color="auto"/>
        <w:left w:val="none" w:sz="0" w:space="0" w:color="auto"/>
        <w:bottom w:val="none" w:sz="0" w:space="0" w:color="auto"/>
        <w:right w:val="none" w:sz="0" w:space="0" w:color="auto"/>
      </w:divBdr>
    </w:div>
    <w:div w:id="102506922">
      <w:bodyDiv w:val="1"/>
      <w:marLeft w:val="0"/>
      <w:marRight w:val="0"/>
      <w:marTop w:val="0"/>
      <w:marBottom w:val="0"/>
      <w:divBdr>
        <w:top w:val="none" w:sz="0" w:space="0" w:color="auto"/>
        <w:left w:val="none" w:sz="0" w:space="0" w:color="auto"/>
        <w:bottom w:val="none" w:sz="0" w:space="0" w:color="auto"/>
        <w:right w:val="none" w:sz="0" w:space="0" w:color="auto"/>
      </w:divBdr>
    </w:div>
    <w:div w:id="416832711">
      <w:bodyDiv w:val="1"/>
      <w:marLeft w:val="0"/>
      <w:marRight w:val="0"/>
      <w:marTop w:val="0"/>
      <w:marBottom w:val="0"/>
      <w:divBdr>
        <w:top w:val="none" w:sz="0" w:space="0" w:color="auto"/>
        <w:left w:val="none" w:sz="0" w:space="0" w:color="auto"/>
        <w:bottom w:val="none" w:sz="0" w:space="0" w:color="auto"/>
        <w:right w:val="none" w:sz="0" w:space="0" w:color="auto"/>
      </w:divBdr>
    </w:div>
    <w:div w:id="452797320">
      <w:bodyDiv w:val="1"/>
      <w:marLeft w:val="0"/>
      <w:marRight w:val="0"/>
      <w:marTop w:val="0"/>
      <w:marBottom w:val="0"/>
      <w:divBdr>
        <w:top w:val="none" w:sz="0" w:space="0" w:color="auto"/>
        <w:left w:val="none" w:sz="0" w:space="0" w:color="auto"/>
        <w:bottom w:val="none" w:sz="0" w:space="0" w:color="auto"/>
        <w:right w:val="none" w:sz="0" w:space="0" w:color="auto"/>
      </w:divBdr>
    </w:div>
    <w:div w:id="911936722">
      <w:bodyDiv w:val="1"/>
      <w:marLeft w:val="0"/>
      <w:marRight w:val="0"/>
      <w:marTop w:val="0"/>
      <w:marBottom w:val="0"/>
      <w:divBdr>
        <w:top w:val="none" w:sz="0" w:space="0" w:color="auto"/>
        <w:left w:val="none" w:sz="0" w:space="0" w:color="auto"/>
        <w:bottom w:val="none" w:sz="0" w:space="0" w:color="auto"/>
        <w:right w:val="none" w:sz="0" w:space="0" w:color="auto"/>
      </w:divBdr>
    </w:div>
    <w:div w:id="914779848">
      <w:bodyDiv w:val="1"/>
      <w:marLeft w:val="0"/>
      <w:marRight w:val="0"/>
      <w:marTop w:val="0"/>
      <w:marBottom w:val="0"/>
      <w:divBdr>
        <w:top w:val="none" w:sz="0" w:space="0" w:color="auto"/>
        <w:left w:val="none" w:sz="0" w:space="0" w:color="auto"/>
        <w:bottom w:val="none" w:sz="0" w:space="0" w:color="auto"/>
        <w:right w:val="none" w:sz="0" w:space="0" w:color="auto"/>
      </w:divBdr>
    </w:div>
    <w:div w:id="926571836">
      <w:bodyDiv w:val="1"/>
      <w:marLeft w:val="0"/>
      <w:marRight w:val="0"/>
      <w:marTop w:val="0"/>
      <w:marBottom w:val="0"/>
      <w:divBdr>
        <w:top w:val="none" w:sz="0" w:space="0" w:color="auto"/>
        <w:left w:val="none" w:sz="0" w:space="0" w:color="auto"/>
        <w:bottom w:val="none" w:sz="0" w:space="0" w:color="auto"/>
        <w:right w:val="none" w:sz="0" w:space="0" w:color="auto"/>
      </w:divBdr>
    </w:div>
    <w:div w:id="1555000827">
      <w:bodyDiv w:val="1"/>
      <w:marLeft w:val="0"/>
      <w:marRight w:val="0"/>
      <w:marTop w:val="0"/>
      <w:marBottom w:val="0"/>
      <w:divBdr>
        <w:top w:val="none" w:sz="0" w:space="0" w:color="auto"/>
        <w:left w:val="none" w:sz="0" w:space="0" w:color="auto"/>
        <w:bottom w:val="none" w:sz="0" w:space="0" w:color="auto"/>
        <w:right w:val="none" w:sz="0" w:space="0" w:color="auto"/>
      </w:divBdr>
    </w:div>
    <w:div w:id="1639071667">
      <w:bodyDiv w:val="1"/>
      <w:marLeft w:val="0"/>
      <w:marRight w:val="0"/>
      <w:marTop w:val="0"/>
      <w:marBottom w:val="0"/>
      <w:divBdr>
        <w:top w:val="none" w:sz="0" w:space="0" w:color="auto"/>
        <w:left w:val="none" w:sz="0" w:space="0" w:color="auto"/>
        <w:bottom w:val="none" w:sz="0" w:space="0" w:color="auto"/>
        <w:right w:val="none" w:sz="0" w:space="0" w:color="auto"/>
      </w:divBdr>
    </w:div>
    <w:div w:id="1759208269">
      <w:bodyDiv w:val="1"/>
      <w:marLeft w:val="0"/>
      <w:marRight w:val="0"/>
      <w:marTop w:val="0"/>
      <w:marBottom w:val="0"/>
      <w:divBdr>
        <w:top w:val="none" w:sz="0" w:space="0" w:color="auto"/>
        <w:left w:val="none" w:sz="0" w:space="0" w:color="auto"/>
        <w:bottom w:val="none" w:sz="0" w:space="0" w:color="auto"/>
        <w:right w:val="none" w:sz="0" w:space="0" w:color="auto"/>
      </w:divBdr>
    </w:div>
    <w:div w:id="1849638640">
      <w:bodyDiv w:val="1"/>
      <w:marLeft w:val="0"/>
      <w:marRight w:val="0"/>
      <w:marTop w:val="0"/>
      <w:marBottom w:val="0"/>
      <w:divBdr>
        <w:top w:val="none" w:sz="0" w:space="0" w:color="auto"/>
        <w:left w:val="none" w:sz="0" w:space="0" w:color="auto"/>
        <w:bottom w:val="none" w:sz="0" w:space="0" w:color="auto"/>
        <w:right w:val="none" w:sz="0" w:space="0" w:color="auto"/>
      </w:divBdr>
    </w:div>
    <w:div w:id="18863306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final_fig1.png"/><Relationship Id="rId14" Type="http://schemas.openxmlformats.org/officeDocument/2006/relationships/image" Target="media/final_fig2.png"/><Relationship Id="rId15" Type="http://schemas.openxmlformats.org/officeDocument/2006/relationships/image" Target="media/final_fig3.png"/><Relationship Id="rId16" Type="http://schemas.openxmlformats.org/officeDocument/2006/relationships/image" Target="media/final_fig4.png"/><Relationship Id="rId17" Type="http://schemas.openxmlformats.org/officeDocument/2006/relationships/image" Target="media/final_fig5.png"/><Relationship Id="rId18" Type="http://schemas.openxmlformats.org/officeDocument/2006/relationships/image" Target="media/final_fig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7023B23-9860-4A01-84C4-450D91339C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3715</Words>
  <Characters>21182</Characters>
  <Application>Microsoft Office Word</Application>
  <DocSecurity>0</DocSecurity>
  <Lines>176</Lines>
  <Paragraphs>49</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24848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rabota</cp:lastModifiedBy>
  <cp:revision>2</cp:revision>
  <dcterms:created xsi:type="dcterms:W3CDTF">2026-04-16T16:04:00Z</dcterms:created>
  <dcterms:modified xsi:type="dcterms:W3CDTF">2026-04-16T16:04:00Z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