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65A16" w14:textId="0A40379E" w:rsidR="00FA4C71" w:rsidRDefault="008A2932">
      <w:r w:rsidRPr="008A2932">
        <w:t>How does the process of dyeing fabrics work, and what environmental considerations should be taken into account when choosing dyes?</w:t>
      </w:r>
    </w:p>
    <w:sectPr w:rsidR="00FA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71"/>
    <w:rsid w:val="008A2932"/>
    <w:rsid w:val="00CF2F2E"/>
    <w:rsid w:val="00F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DF2B4-75BF-40EB-A109-6E55AFE0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2024-06-24T20:23:00Z</dcterms:created>
  <dcterms:modified xsi:type="dcterms:W3CDTF">2024-06-24T20:23:00Z</dcterms:modified>
</cp:coreProperties>
</file>